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A025" w14:textId="28D1390B" w:rsidR="005E191D" w:rsidRPr="005F68AD" w:rsidRDefault="005E191D" w:rsidP="008F1A3C">
      <w:pPr>
        <w:shd w:val="clear" w:color="auto" w:fill="FFFFFF"/>
        <w:spacing w:before="300" w:after="150" w:line="240" w:lineRule="auto"/>
        <w:jc w:val="both"/>
        <w:outlineLvl w:val="0"/>
        <w:rPr>
          <w:rFonts w:ascii="Arial" w:eastAsia="Times New Roman" w:hAnsi="Arial" w:cs="Arial"/>
          <w:b/>
          <w:kern w:val="36"/>
          <w:sz w:val="24"/>
          <w:szCs w:val="24"/>
          <w:lang w:eastAsia="en-CA"/>
        </w:rPr>
      </w:pPr>
      <w:r w:rsidRPr="005F68AD">
        <w:rPr>
          <w:rFonts w:ascii="Arial" w:eastAsia="Times New Roman" w:hAnsi="Arial" w:cs="Arial"/>
          <w:b/>
          <w:kern w:val="36"/>
          <w:sz w:val="24"/>
          <w:szCs w:val="24"/>
          <w:lang w:eastAsia="en-CA"/>
        </w:rPr>
        <w:t>Plaintree Systems Inc. Announces</w:t>
      </w:r>
      <w:r w:rsidR="001B1842" w:rsidRPr="005F68AD">
        <w:rPr>
          <w:rFonts w:ascii="Arial" w:eastAsia="Times New Roman" w:hAnsi="Arial" w:cs="Arial"/>
          <w:b/>
          <w:kern w:val="36"/>
          <w:sz w:val="24"/>
          <w:szCs w:val="24"/>
          <w:lang w:eastAsia="en-CA"/>
        </w:rPr>
        <w:t xml:space="preserve"> </w:t>
      </w:r>
      <w:r w:rsidR="00304155" w:rsidRPr="005F68AD">
        <w:rPr>
          <w:rFonts w:ascii="Arial" w:eastAsia="Times New Roman" w:hAnsi="Arial" w:cs="Arial"/>
          <w:b/>
          <w:kern w:val="36"/>
          <w:sz w:val="24"/>
          <w:szCs w:val="24"/>
          <w:lang w:eastAsia="en-CA"/>
        </w:rPr>
        <w:t>Third</w:t>
      </w:r>
      <w:r w:rsidR="005328AF" w:rsidRPr="005F68AD">
        <w:rPr>
          <w:rFonts w:ascii="Arial" w:eastAsia="Times New Roman" w:hAnsi="Arial" w:cs="Arial"/>
          <w:b/>
          <w:kern w:val="36"/>
          <w:sz w:val="24"/>
          <w:szCs w:val="24"/>
          <w:lang w:eastAsia="en-CA"/>
        </w:rPr>
        <w:t xml:space="preserve"> Quarter Fiscal 2020</w:t>
      </w:r>
      <w:r w:rsidR="00FA4E20" w:rsidRPr="005F68AD">
        <w:rPr>
          <w:rFonts w:ascii="Arial" w:eastAsia="Times New Roman" w:hAnsi="Arial" w:cs="Arial"/>
          <w:b/>
          <w:kern w:val="36"/>
          <w:sz w:val="24"/>
          <w:szCs w:val="24"/>
          <w:lang w:eastAsia="en-CA"/>
        </w:rPr>
        <w:t xml:space="preserve"> Results </w:t>
      </w:r>
    </w:p>
    <w:p w14:paraId="229F7C97" w14:textId="60CE2ECB" w:rsidR="00220230" w:rsidRPr="005F68AD" w:rsidRDefault="005E191D" w:rsidP="008F1A3C">
      <w:pPr>
        <w:shd w:val="clear" w:color="auto" w:fill="FFFFFF"/>
        <w:spacing w:after="150" w:line="240" w:lineRule="auto"/>
        <w:jc w:val="both"/>
        <w:rPr>
          <w:rFonts w:ascii="Arial" w:eastAsia="Times New Roman" w:hAnsi="Arial" w:cs="Arial"/>
          <w:sz w:val="24"/>
          <w:szCs w:val="24"/>
          <w:lang w:eastAsia="en-CA"/>
        </w:rPr>
      </w:pPr>
      <w:r w:rsidRPr="005F68AD">
        <w:rPr>
          <w:rFonts w:ascii="Arial" w:eastAsia="Times New Roman" w:hAnsi="Arial" w:cs="Arial"/>
          <w:sz w:val="24"/>
          <w:szCs w:val="24"/>
          <w:lang w:eastAsia="en-CA"/>
        </w:rPr>
        <w:t>Arnprior, Ontario (</w:t>
      </w:r>
      <w:r w:rsidR="00304155" w:rsidRPr="005F68AD">
        <w:rPr>
          <w:rFonts w:ascii="Arial" w:eastAsia="Times New Roman" w:hAnsi="Arial" w:cs="Arial"/>
          <w:sz w:val="24"/>
          <w:szCs w:val="24"/>
          <w:lang w:eastAsia="en-CA"/>
        </w:rPr>
        <w:t xml:space="preserve">February </w:t>
      </w:r>
      <w:r w:rsidR="005F68AD" w:rsidRPr="005F68AD">
        <w:rPr>
          <w:rFonts w:ascii="Arial" w:eastAsia="Times New Roman" w:hAnsi="Arial" w:cs="Arial"/>
          <w:sz w:val="24"/>
          <w:szCs w:val="24"/>
          <w:lang w:eastAsia="en-CA"/>
        </w:rPr>
        <w:t>28</w:t>
      </w:r>
      <w:r w:rsidR="00304155" w:rsidRPr="005F68AD">
        <w:rPr>
          <w:rFonts w:ascii="Arial" w:eastAsia="Times New Roman" w:hAnsi="Arial" w:cs="Arial"/>
          <w:sz w:val="24"/>
          <w:szCs w:val="24"/>
          <w:lang w:eastAsia="en-CA"/>
        </w:rPr>
        <w:t>, 2020</w:t>
      </w:r>
      <w:r w:rsidRPr="005F68AD">
        <w:rPr>
          <w:rFonts w:ascii="Arial" w:eastAsia="Times New Roman" w:hAnsi="Arial" w:cs="Arial"/>
          <w:sz w:val="24"/>
          <w:szCs w:val="24"/>
          <w:lang w:eastAsia="en-CA"/>
        </w:rPr>
        <w:t xml:space="preserve">) – </w:t>
      </w:r>
      <w:r w:rsidR="008F21BE" w:rsidRPr="005F68AD">
        <w:rPr>
          <w:rFonts w:ascii="Arial" w:eastAsia="Times New Roman" w:hAnsi="Arial" w:cs="Arial"/>
          <w:sz w:val="24"/>
          <w:szCs w:val="24"/>
          <w:lang w:eastAsia="en-CA"/>
        </w:rPr>
        <w:t>Plaintree Systems Inc. (</w:t>
      </w:r>
      <w:r w:rsidR="008F21BE" w:rsidRPr="005F68AD">
        <w:rPr>
          <w:rFonts w:ascii="Arial" w:eastAsia="Times New Roman" w:hAnsi="Arial" w:cs="Arial"/>
          <w:b/>
          <w:bCs/>
          <w:sz w:val="24"/>
          <w:szCs w:val="24"/>
          <w:lang w:eastAsia="en-CA"/>
        </w:rPr>
        <w:t>CSE: NPT</w:t>
      </w:r>
      <w:r w:rsidR="008F21BE" w:rsidRPr="005F68AD">
        <w:rPr>
          <w:rFonts w:ascii="Arial" w:eastAsia="Times New Roman" w:hAnsi="Arial" w:cs="Arial"/>
          <w:sz w:val="24"/>
          <w:szCs w:val="24"/>
          <w:lang w:eastAsia="en-CA"/>
        </w:rPr>
        <w:t>) (“</w:t>
      </w:r>
      <w:r w:rsidR="008F21BE" w:rsidRPr="005F68AD">
        <w:rPr>
          <w:rFonts w:ascii="Arial" w:eastAsia="Times New Roman" w:hAnsi="Arial" w:cs="Arial"/>
          <w:b/>
          <w:sz w:val="24"/>
          <w:szCs w:val="24"/>
          <w:lang w:eastAsia="en-CA"/>
        </w:rPr>
        <w:t>Plaintree</w:t>
      </w:r>
      <w:r w:rsidR="008F21BE" w:rsidRPr="005F68AD">
        <w:rPr>
          <w:rFonts w:ascii="Arial" w:eastAsia="Times New Roman" w:hAnsi="Arial" w:cs="Arial"/>
          <w:sz w:val="24"/>
          <w:szCs w:val="24"/>
          <w:lang w:eastAsia="en-CA"/>
        </w:rPr>
        <w:t>” or the “</w:t>
      </w:r>
      <w:r w:rsidR="008F21BE" w:rsidRPr="005F68AD">
        <w:rPr>
          <w:rFonts w:ascii="Arial" w:eastAsia="Times New Roman" w:hAnsi="Arial" w:cs="Arial"/>
          <w:b/>
          <w:bCs/>
          <w:sz w:val="24"/>
          <w:szCs w:val="24"/>
          <w:lang w:eastAsia="en-CA"/>
        </w:rPr>
        <w:t>Company”</w:t>
      </w:r>
      <w:r w:rsidR="008F21BE" w:rsidRPr="005F68AD">
        <w:rPr>
          <w:rFonts w:ascii="Arial" w:eastAsia="Times New Roman" w:hAnsi="Arial" w:cs="Arial"/>
          <w:sz w:val="24"/>
          <w:szCs w:val="24"/>
          <w:lang w:eastAsia="en-CA"/>
        </w:rPr>
        <w:t>)</w:t>
      </w:r>
      <w:r w:rsidR="00220230" w:rsidRPr="005F68AD">
        <w:rPr>
          <w:rFonts w:ascii="Arial" w:eastAsia="Times New Roman" w:hAnsi="Arial" w:cs="Arial"/>
          <w:sz w:val="24"/>
          <w:szCs w:val="24"/>
          <w:lang w:eastAsia="en-CA"/>
        </w:rPr>
        <w:t>.</w:t>
      </w:r>
    </w:p>
    <w:p w14:paraId="5B7B7BD4" w14:textId="6E4246AB" w:rsidR="00220230" w:rsidRPr="005F68AD" w:rsidRDefault="00AB4975" w:rsidP="008F1A3C">
      <w:pPr>
        <w:shd w:val="clear" w:color="auto" w:fill="FFFFFF"/>
        <w:spacing w:after="150" w:line="240" w:lineRule="auto"/>
        <w:jc w:val="both"/>
        <w:rPr>
          <w:rFonts w:ascii="Arial" w:eastAsia="Times New Roman" w:hAnsi="Arial" w:cs="Arial"/>
          <w:b/>
          <w:sz w:val="24"/>
          <w:szCs w:val="24"/>
          <w:u w:val="single"/>
          <w:lang w:eastAsia="en-CA"/>
        </w:rPr>
      </w:pPr>
      <w:r w:rsidRPr="005F68AD">
        <w:rPr>
          <w:rFonts w:ascii="Arial" w:eastAsia="Times New Roman" w:hAnsi="Arial" w:cs="Arial"/>
          <w:b/>
          <w:sz w:val="24"/>
          <w:szCs w:val="24"/>
          <w:u w:val="single"/>
          <w:lang w:eastAsia="en-CA"/>
        </w:rPr>
        <w:t>Quarterly</w:t>
      </w:r>
      <w:r w:rsidR="00220230" w:rsidRPr="005F68AD">
        <w:rPr>
          <w:rFonts w:ascii="Arial" w:eastAsia="Times New Roman" w:hAnsi="Arial" w:cs="Arial"/>
          <w:b/>
          <w:sz w:val="24"/>
          <w:szCs w:val="24"/>
          <w:u w:val="single"/>
          <w:lang w:eastAsia="en-CA"/>
        </w:rPr>
        <w:t xml:space="preserve"> Statements for the </w:t>
      </w:r>
      <w:r w:rsidR="00304155" w:rsidRPr="005F68AD">
        <w:rPr>
          <w:rFonts w:ascii="Arial" w:eastAsia="Times New Roman" w:hAnsi="Arial" w:cs="Arial"/>
          <w:b/>
          <w:sz w:val="24"/>
          <w:szCs w:val="24"/>
          <w:u w:val="single"/>
          <w:lang w:eastAsia="en-CA"/>
        </w:rPr>
        <w:t>Third</w:t>
      </w:r>
      <w:r w:rsidR="001B1842" w:rsidRPr="005F68AD">
        <w:rPr>
          <w:rFonts w:ascii="Arial" w:eastAsia="Times New Roman" w:hAnsi="Arial" w:cs="Arial"/>
          <w:b/>
          <w:sz w:val="24"/>
          <w:szCs w:val="24"/>
          <w:u w:val="single"/>
          <w:lang w:eastAsia="en-CA"/>
        </w:rPr>
        <w:t xml:space="preserve"> Quarter</w:t>
      </w:r>
      <w:r w:rsidR="005328AF" w:rsidRPr="005F68AD">
        <w:rPr>
          <w:rFonts w:ascii="Arial" w:eastAsia="Times New Roman" w:hAnsi="Arial" w:cs="Arial"/>
          <w:b/>
          <w:sz w:val="24"/>
          <w:szCs w:val="24"/>
          <w:u w:val="single"/>
          <w:lang w:eastAsia="en-CA"/>
        </w:rPr>
        <w:t xml:space="preserve"> of Fiscal 2020 ending </w:t>
      </w:r>
      <w:r w:rsidR="00304155" w:rsidRPr="005F68AD">
        <w:rPr>
          <w:rFonts w:ascii="Arial" w:eastAsia="Times New Roman" w:hAnsi="Arial" w:cs="Arial"/>
          <w:b/>
          <w:sz w:val="24"/>
          <w:szCs w:val="24"/>
          <w:u w:val="single"/>
          <w:lang w:eastAsia="en-CA"/>
        </w:rPr>
        <w:t>December 31</w:t>
      </w:r>
      <w:r w:rsidR="005328AF" w:rsidRPr="005F68AD">
        <w:rPr>
          <w:rFonts w:ascii="Arial" w:eastAsia="Times New Roman" w:hAnsi="Arial" w:cs="Arial"/>
          <w:b/>
          <w:sz w:val="24"/>
          <w:szCs w:val="24"/>
          <w:u w:val="single"/>
          <w:lang w:eastAsia="en-CA"/>
        </w:rPr>
        <w:t>, 2019</w:t>
      </w:r>
    </w:p>
    <w:p w14:paraId="2B4A5F17" w14:textId="55044DAA" w:rsidR="00220230" w:rsidRPr="005F68AD" w:rsidRDefault="00220230" w:rsidP="008F1A3C">
      <w:pPr>
        <w:shd w:val="clear" w:color="auto" w:fill="FFFFFF"/>
        <w:spacing w:after="150" w:line="240" w:lineRule="auto"/>
        <w:jc w:val="both"/>
        <w:rPr>
          <w:rFonts w:ascii="Arial" w:hAnsi="Arial" w:cs="Arial"/>
          <w:sz w:val="24"/>
          <w:szCs w:val="24"/>
        </w:rPr>
      </w:pPr>
      <w:r w:rsidRPr="005F68AD">
        <w:rPr>
          <w:rFonts w:ascii="Arial" w:eastAsia="Times New Roman" w:hAnsi="Arial" w:cs="Arial"/>
          <w:sz w:val="24"/>
          <w:szCs w:val="24"/>
          <w:lang w:eastAsia="en-CA"/>
        </w:rPr>
        <w:t>Plaintree</w:t>
      </w:r>
      <w:r w:rsidR="008F21BE" w:rsidRPr="005F68AD">
        <w:rPr>
          <w:rFonts w:ascii="Arial" w:eastAsia="Times New Roman" w:hAnsi="Arial" w:cs="Arial"/>
          <w:sz w:val="24"/>
          <w:szCs w:val="24"/>
          <w:lang w:eastAsia="en-CA"/>
        </w:rPr>
        <w:t xml:space="preserve"> </w:t>
      </w:r>
      <w:r w:rsidRPr="005F68AD">
        <w:rPr>
          <w:rFonts w:ascii="Arial" w:hAnsi="Arial" w:cs="Arial"/>
          <w:sz w:val="24"/>
          <w:szCs w:val="24"/>
        </w:rPr>
        <w:t xml:space="preserve">announced today that it has released its </w:t>
      </w:r>
      <w:r w:rsidR="005328AF" w:rsidRPr="005F68AD">
        <w:rPr>
          <w:rFonts w:ascii="Arial" w:hAnsi="Arial" w:cs="Arial"/>
          <w:sz w:val="24"/>
          <w:szCs w:val="24"/>
        </w:rPr>
        <w:t>un</w:t>
      </w:r>
      <w:r w:rsidRPr="005F68AD">
        <w:rPr>
          <w:rFonts w:ascii="Arial" w:hAnsi="Arial" w:cs="Arial"/>
          <w:sz w:val="24"/>
          <w:szCs w:val="24"/>
        </w:rPr>
        <w:t xml:space="preserve">audited </w:t>
      </w:r>
      <w:r w:rsidR="005328AF" w:rsidRPr="005F68AD">
        <w:rPr>
          <w:rFonts w:ascii="Arial" w:hAnsi="Arial" w:cs="Arial"/>
          <w:sz w:val="24"/>
          <w:szCs w:val="24"/>
        </w:rPr>
        <w:t xml:space="preserve">interim </w:t>
      </w:r>
      <w:r w:rsidRPr="005F68AD">
        <w:rPr>
          <w:rFonts w:ascii="Arial" w:hAnsi="Arial" w:cs="Arial"/>
          <w:sz w:val="24"/>
          <w:szCs w:val="24"/>
        </w:rPr>
        <w:t xml:space="preserve">consolidated financial statements and related management discussions and analysis for the </w:t>
      </w:r>
      <w:proofErr w:type="gramStart"/>
      <w:r w:rsidR="005B7518" w:rsidRPr="005F68AD">
        <w:rPr>
          <w:rFonts w:ascii="Arial" w:hAnsi="Arial" w:cs="Arial"/>
          <w:sz w:val="24"/>
          <w:szCs w:val="24"/>
        </w:rPr>
        <w:t>three and nine</w:t>
      </w:r>
      <w:r w:rsidR="00874297">
        <w:rPr>
          <w:rFonts w:ascii="Arial" w:hAnsi="Arial" w:cs="Arial"/>
          <w:sz w:val="24"/>
          <w:szCs w:val="24"/>
        </w:rPr>
        <w:t xml:space="preserve"> </w:t>
      </w:r>
      <w:bookmarkStart w:id="0" w:name="_GoBack"/>
      <w:bookmarkEnd w:id="0"/>
      <w:r w:rsidR="005B7518" w:rsidRPr="005F68AD">
        <w:rPr>
          <w:rFonts w:ascii="Arial" w:hAnsi="Arial" w:cs="Arial"/>
          <w:sz w:val="24"/>
          <w:szCs w:val="24"/>
        </w:rPr>
        <w:t>months</w:t>
      </w:r>
      <w:proofErr w:type="gramEnd"/>
      <w:r w:rsidR="005328AF" w:rsidRPr="005F68AD">
        <w:rPr>
          <w:rFonts w:ascii="Arial" w:hAnsi="Arial" w:cs="Arial"/>
          <w:sz w:val="24"/>
          <w:szCs w:val="24"/>
        </w:rPr>
        <w:t xml:space="preserve"> </w:t>
      </w:r>
      <w:r w:rsidR="000A5921" w:rsidRPr="005F68AD">
        <w:rPr>
          <w:rFonts w:ascii="Arial" w:hAnsi="Arial" w:cs="Arial"/>
          <w:sz w:val="24"/>
          <w:szCs w:val="24"/>
        </w:rPr>
        <w:t>end</w:t>
      </w:r>
      <w:r w:rsidR="000A5921">
        <w:rPr>
          <w:rFonts w:ascii="Arial" w:hAnsi="Arial" w:cs="Arial"/>
          <w:sz w:val="24"/>
          <w:szCs w:val="24"/>
        </w:rPr>
        <w:t>ing</w:t>
      </w:r>
      <w:r w:rsidR="000A5921" w:rsidRPr="005F68AD">
        <w:rPr>
          <w:rFonts w:ascii="Arial" w:hAnsi="Arial" w:cs="Arial"/>
          <w:sz w:val="24"/>
          <w:szCs w:val="24"/>
        </w:rPr>
        <w:t xml:space="preserve"> </w:t>
      </w:r>
      <w:r w:rsidR="00304155" w:rsidRPr="005F68AD">
        <w:rPr>
          <w:rFonts w:ascii="Arial" w:hAnsi="Arial" w:cs="Arial"/>
          <w:sz w:val="24"/>
          <w:szCs w:val="24"/>
        </w:rPr>
        <w:t>December 31</w:t>
      </w:r>
      <w:r w:rsidR="005328AF" w:rsidRPr="005F68AD">
        <w:rPr>
          <w:rFonts w:ascii="Arial" w:hAnsi="Arial" w:cs="Arial"/>
          <w:sz w:val="24"/>
          <w:szCs w:val="24"/>
        </w:rPr>
        <w:t>, 2019</w:t>
      </w:r>
      <w:r w:rsidRPr="005F68AD">
        <w:rPr>
          <w:rFonts w:ascii="Arial" w:hAnsi="Arial" w:cs="Arial"/>
          <w:sz w:val="24"/>
          <w:szCs w:val="24"/>
        </w:rPr>
        <w:t>.</w:t>
      </w:r>
    </w:p>
    <w:p w14:paraId="1A30E8EC" w14:textId="7359A377" w:rsidR="001B1842" w:rsidRPr="005F68AD" w:rsidRDefault="001B1842" w:rsidP="001B1842">
      <w:pPr>
        <w:shd w:val="clear" w:color="auto" w:fill="FFFFFF"/>
        <w:spacing w:line="240" w:lineRule="auto"/>
        <w:jc w:val="both"/>
        <w:textAlignment w:val="baseline"/>
        <w:rPr>
          <w:rFonts w:ascii="Arial" w:eastAsia="Times New Roman" w:hAnsi="Arial" w:cs="Arial"/>
          <w:color w:val="000000"/>
          <w:sz w:val="24"/>
          <w:szCs w:val="24"/>
          <w:lang w:eastAsia="en-CA"/>
        </w:rPr>
      </w:pPr>
      <w:bookmarkStart w:id="1" w:name="_Hlk33696861"/>
      <w:r w:rsidRPr="005B7518">
        <w:rPr>
          <w:rFonts w:ascii="Arial" w:eastAsia="Times New Roman" w:hAnsi="Arial" w:cs="Arial"/>
          <w:color w:val="000000"/>
          <w:sz w:val="24"/>
          <w:szCs w:val="24"/>
          <w:lang w:eastAsia="en-CA"/>
        </w:rPr>
        <w:t xml:space="preserve">During the three and </w:t>
      </w:r>
      <w:r w:rsidR="00304155" w:rsidRPr="005B7518">
        <w:rPr>
          <w:rFonts w:ascii="Arial" w:eastAsia="Times New Roman" w:hAnsi="Arial" w:cs="Arial"/>
          <w:color w:val="000000"/>
          <w:sz w:val="24"/>
          <w:szCs w:val="24"/>
          <w:lang w:eastAsia="en-CA"/>
        </w:rPr>
        <w:t>nine</w:t>
      </w:r>
      <w:r w:rsidRPr="005B7518">
        <w:rPr>
          <w:rFonts w:ascii="Arial" w:eastAsia="Times New Roman" w:hAnsi="Arial" w:cs="Arial"/>
          <w:color w:val="000000"/>
          <w:sz w:val="24"/>
          <w:szCs w:val="24"/>
          <w:lang w:eastAsia="en-CA"/>
        </w:rPr>
        <w:t xml:space="preserve"> months </w:t>
      </w:r>
      <w:r w:rsidR="00541C7C" w:rsidRPr="005B7518">
        <w:rPr>
          <w:rFonts w:ascii="Arial" w:eastAsia="Times New Roman" w:hAnsi="Arial" w:cs="Arial"/>
          <w:color w:val="000000"/>
          <w:sz w:val="24"/>
          <w:szCs w:val="24"/>
          <w:lang w:eastAsia="en-CA"/>
        </w:rPr>
        <w:t xml:space="preserve">of fiscal 2020 </w:t>
      </w:r>
      <w:r w:rsidRPr="005B7518">
        <w:rPr>
          <w:rFonts w:ascii="Arial" w:eastAsia="Times New Roman" w:hAnsi="Arial" w:cs="Arial"/>
          <w:color w:val="000000"/>
          <w:sz w:val="24"/>
          <w:szCs w:val="24"/>
          <w:lang w:eastAsia="en-CA"/>
        </w:rPr>
        <w:t>end</w:t>
      </w:r>
      <w:r w:rsidR="000A5921" w:rsidRPr="005B7518">
        <w:rPr>
          <w:rFonts w:ascii="Arial" w:eastAsia="Times New Roman" w:hAnsi="Arial" w:cs="Arial"/>
          <w:color w:val="000000"/>
          <w:sz w:val="24"/>
          <w:szCs w:val="24"/>
          <w:lang w:eastAsia="en-CA"/>
        </w:rPr>
        <w:t>ing</w:t>
      </w:r>
      <w:r w:rsidRPr="005B7518">
        <w:rPr>
          <w:rFonts w:ascii="Arial" w:eastAsia="Times New Roman" w:hAnsi="Arial" w:cs="Arial"/>
          <w:color w:val="000000"/>
          <w:sz w:val="24"/>
          <w:szCs w:val="24"/>
          <w:lang w:eastAsia="en-CA"/>
        </w:rPr>
        <w:t xml:space="preserve"> </w:t>
      </w:r>
      <w:r w:rsidR="00304155" w:rsidRPr="005B7518">
        <w:rPr>
          <w:rFonts w:ascii="Arial" w:eastAsia="Times New Roman" w:hAnsi="Arial" w:cs="Arial"/>
          <w:color w:val="000000"/>
          <w:sz w:val="24"/>
          <w:szCs w:val="24"/>
          <w:lang w:eastAsia="en-CA"/>
        </w:rPr>
        <w:t>December 31</w:t>
      </w:r>
      <w:r w:rsidRPr="005B7518">
        <w:rPr>
          <w:rFonts w:ascii="Arial" w:eastAsia="Times New Roman" w:hAnsi="Arial" w:cs="Arial"/>
          <w:color w:val="000000"/>
          <w:sz w:val="24"/>
          <w:szCs w:val="24"/>
          <w:lang w:eastAsia="en-CA"/>
        </w:rPr>
        <w:t xml:space="preserve">, 2019, </w:t>
      </w:r>
      <w:proofErr w:type="spellStart"/>
      <w:r w:rsidRPr="005B7518">
        <w:rPr>
          <w:rFonts w:ascii="Arial" w:eastAsia="Times New Roman" w:hAnsi="Arial" w:cs="Arial"/>
          <w:color w:val="000000"/>
          <w:sz w:val="24"/>
          <w:szCs w:val="24"/>
          <w:lang w:eastAsia="en-CA"/>
        </w:rPr>
        <w:t>Plaintree</w:t>
      </w:r>
      <w:proofErr w:type="spellEnd"/>
      <w:r w:rsidRPr="005B7518">
        <w:rPr>
          <w:rFonts w:ascii="Arial" w:eastAsia="Times New Roman" w:hAnsi="Arial" w:cs="Arial"/>
          <w:color w:val="000000"/>
          <w:sz w:val="24"/>
          <w:szCs w:val="24"/>
          <w:lang w:eastAsia="en-CA"/>
        </w:rPr>
        <w:t xml:space="preserve"> realized revenues</w:t>
      </w:r>
      <w:r w:rsidR="005F68AD" w:rsidRPr="005B7518">
        <w:rPr>
          <w:rFonts w:ascii="Arial" w:eastAsia="Times New Roman" w:hAnsi="Arial" w:cs="Arial"/>
          <w:color w:val="000000"/>
          <w:sz w:val="24"/>
          <w:szCs w:val="24"/>
          <w:lang w:eastAsia="en-CA"/>
        </w:rPr>
        <w:t xml:space="preserve"> from</w:t>
      </w:r>
      <w:r w:rsidR="000B232F" w:rsidRPr="005B7518">
        <w:rPr>
          <w:rFonts w:ascii="Arial" w:eastAsia="Times New Roman" w:hAnsi="Arial" w:cs="Arial"/>
          <w:color w:val="000000"/>
          <w:sz w:val="24"/>
          <w:szCs w:val="24"/>
          <w:lang w:eastAsia="en-CA"/>
        </w:rPr>
        <w:t xml:space="preserve"> both</w:t>
      </w:r>
      <w:r w:rsidR="005F68AD" w:rsidRPr="005B7518">
        <w:rPr>
          <w:rFonts w:ascii="Arial" w:eastAsia="Times New Roman" w:hAnsi="Arial" w:cs="Arial"/>
          <w:color w:val="000000"/>
          <w:sz w:val="24"/>
          <w:szCs w:val="24"/>
          <w:lang w:eastAsia="en-CA"/>
        </w:rPr>
        <w:t xml:space="preserve"> operations</w:t>
      </w:r>
      <w:r w:rsidR="000B232F" w:rsidRPr="005B7518">
        <w:rPr>
          <w:rFonts w:ascii="Arial" w:eastAsia="Times New Roman" w:hAnsi="Arial" w:cs="Arial"/>
          <w:color w:val="000000"/>
          <w:sz w:val="24"/>
          <w:szCs w:val="24"/>
          <w:lang w:eastAsia="en-CA"/>
        </w:rPr>
        <w:t xml:space="preserve"> and operations held for sale </w:t>
      </w:r>
      <w:r w:rsidR="005B7518" w:rsidRPr="005B7518">
        <w:rPr>
          <w:rFonts w:ascii="Arial" w:eastAsia="Times New Roman" w:hAnsi="Arial" w:cs="Arial"/>
          <w:color w:val="000000"/>
          <w:sz w:val="24"/>
          <w:szCs w:val="24"/>
          <w:lang w:eastAsia="en-CA"/>
        </w:rPr>
        <w:t>of $</w:t>
      </w:r>
      <w:r w:rsidR="000B232F" w:rsidRPr="005B7518">
        <w:rPr>
          <w:rFonts w:ascii="Arial" w:eastAsia="Times New Roman" w:hAnsi="Arial" w:cs="Arial"/>
          <w:color w:val="000000"/>
          <w:sz w:val="24"/>
          <w:szCs w:val="24"/>
          <w:lang w:eastAsia="en-CA"/>
        </w:rPr>
        <w:t>3,157,878</w:t>
      </w:r>
      <w:r w:rsidRPr="005B7518">
        <w:rPr>
          <w:rFonts w:ascii="Arial" w:eastAsia="Times New Roman" w:hAnsi="Arial" w:cs="Arial"/>
          <w:color w:val="000000"/>
          <w:sz w:val="24"/>
          <w:szCs w:val="24"/>
          <w:lang w:eastAsia="en-CA"/>
        </w:rPr>
        <w:t xml:space="preserve"> and $</w:t>
      </w:r>
      <w:r w:rsidR="000B232F" w:rsidRPr="005B7518">
        <w:rPr>
          <w:rFonts w:ascii="Arial" w:eastAsia="Times New Roman" w:hAnsi="Arial" w:cs="Arial"/>
          <w:color w:val="000000"/>
          <w:sz w:val="24"/>
          <w:szCs w:val="24"/>
          <w:lang w:eastAsia="en-CA"/>
        </w:rPr>
        <w:t>14,331,912</w:t>
      </w:r>
      <w:r w:rsidR="00304155" w:rsidRPr="005B7518">
        <w:rPr>
          <w:rFonts w:ascii="Arial" w:eastAsia="Times New Roman" w:hAnsi="Arial" w:cs="Arial"/>
          <w:color w:val="000000"/>
          <w:sz w:val="24"/>
          <w:szCs w:val="24"/>
          <w:lang w:eastAsia="en-CA"/>
        </w:rPr>
        <w:t xml:space="preserve"> </w:t>
      </w:r>
      <w:r w:rsidRPr="005B7518">
        <w:rPr>
          <w:rFonts w:ascii="Arial" w:eastAsia="Times New Roman" w:hAnsi="Arial" w:cs="Arial"/>
          <w:color w:val="000000"/>
          <w:sz w:val="24"/>
          <w:szCs w:val="24"/>
          <w:lang w:eastAsia="en-CA"/>
        </w:rPr>
        <w:t>respectively, comparable to $</w:t>
      </w:r>
      <w:r w:rsidR="00556306" w:rsidRPr="005B7518">
        <w:rPr>
          <w:rFonts w:ascii="Arial" w:eastAsia="Times New Roman" w:hAnsi="Arial" w:cs="Arial"/>
          <w:color w:val="000000"/>
          <w:sz w:val="24"/>
          <w:szCs w:val="24"/>
          <w:lang w:eastAsia="en-CA"/>
        </w:rPr>
        <w:t>5,315,402</w:t>
      </w:r>
      <w:r w:rsidRPr="005B7518">
        <w:rPr>
          <w:rFonts w:ascii="Arial" w:eastAsia="Times New Roman" w:hAnsi="Arial" w:cs="Arial"/>
          <w:color w:val="000000"/>
          <w:sz w:val="24"/>
          <w:szCs w:val="24"/>
          <w:lang w:eastAsia="en-CA"/>
        </w:rPr>
        <w:t xml:space="preserve"> and $</w:t>
      </w:r>
      <w:r w:rsidR="00556306" w:rsidRPr="005B7518">
        <w:rPr>
          <w:rFonts w:ascii="Arial" w:eastAsia="Times New Roman" w:hAnsi="Arial" w:cs="Arial"/>
          <w:color w:val="000000"/>
          <w:sz w:val="24"/>
          <w:szCs w:val="24"/>
          <w:lang w:eastAsia="en-CA"/>
        </w:rPr>
        <w:t>17,952,624</w:t>
      </w:r>
      <w:r w:rsidRPr="005F68AD">
        <w:rPr>
          <w:rFonts w:ascii="Arial" w:eastAsia="Times New Roman" w:hAnsi="Arial" w:cs="Arial"/>
          <w:color w:val="000000"/>
          <w:sz w:val="24"/>
          <w:szCs w:val="24"/>
          <w:lang w:eastAsia="en-CA"/>
        </w:rPr>
        <w:t xml:space="preserve"> for the same periods of fiscal 2019</w:t>
      </w:r>
      <w:r w:rsidR="00556306">
        <w:rPr>
          <w:rFonts w:ascii="Arial" w:eastAsia="Times New Roman" w:hAnsi="Arial" w:cs="Arial"/>
          <w:color w:val="000000"/>
          <w:sz w:val="24"/>
          <w:szCs w:val="24"/>
          <w:lang w:eastAsia="en-CA"/>
        </w:rPr>
        <w:t>.</w:t>
      </w:r>
      <w:r w:rsidRPr="005F68AD">
        <w:rPr>
          <w:rFonts w:ascii="Arial" w:eastAsia="Times New Roman" w:hAnsi="Arial" w:cs="Arial"/>
          <w:color w:val="000000"/>
          <w:sz w:val="24"/>
          <w:szCs w:val="24"/>
          <w:lang w:eastAsia="en-CA"/>
        </w:rPr>
        <w:t xml:space="preserve"> </w:t>
      </w:r>
    </w:p>
    <w:bookmarkEnd w:id="1"/>
    <w:p w14:paraId="24EEDBD3" w14:textId="2008B6A8" w:rsidR="001B1842" w:rsidRPr="005F68AD" w:rsidRDefault="001B1842" w:rsidP="001B1842">
      <w:pPr>
        <w:shd w:val="clear" w:color="auto" w:fill="FFFFFF"/>
        <w:spacing w:line="240" w:lineRule="auto"/>
        <w:jc w:val="both"/>
        <w:textAlignment w:val="baseline"/>
        <w:rPr>
          <w:rFonts w:ascii="Arial" w:eastAsia="Times New Roman" w:hAnsi="Arial" w:cs="Arial"/>
          <w:color w:val="000000"/>
          <w:sz w:val="24"/>
          <w:szCs w:val="24"/>
          <w:lang w:eastAsia="en-CA"/>
        </w:rPr>
      </w:pPr>
      <w:r w:rsidRPr="005F68AD">
        <w:rPr>
          <w:rFonts w:ascii="Arial" w:eastAsia="Times New Roman" w:hAnsi="Arial" w:cs="Arial"/>
          <w:color w:val="000000"/>
          <w:sz w:val="24"/>
          <w:szCs w:val="24"/>
          <w:lang w:eastAsia="en-CA"/>
        </w:rPr>
        <w:t xml:space="preserve">Net </w:t>
      </w:r>
      <w:r w:rsidR="00304155" w:rsidRPr="005F68AD">
        <w:rPr>
          <w:rFonts w:ascii="Arial" w:eastAsia="Times New Roman" w:hAnsi="Arial" w:cs="Arial"/>
          <w:color w:val="000000"/>
          <w:sz w:val="24"/>
          <w:szCs w:val="24"/>
          <w:lang w:eastAsia="en-CA"/>
        </w:rPr>
        <w:t xml:space="preserve">(loss) </w:t>
      </w:r>
      <w:r w:rsidRPr="005F68AD">
        <w:rPr>
          <w:rFonts w:ascii="Arial" w:eastAsia="Times New Roman" w:hAnsi="Arial" w:cs="Arial"/>
          <w:color w:val="000000"/>
          <w:sz w:val="24"/>
          <w:szCs w:val="24"/>
          <w:lang w:eastAsia="en-CA"/>
        </w:rPr>
        <w:t>income</w:t>
      </w:r>
      <w:r w:rsidR="000B5546" w:rsidRPr="005F68AD">
        <w:rPr>
          <w:rFonts w:ascii="Arial" w:eastAsia="Times New Roman" w:hAnsi="Arial" w:cs="Arial"/>
          <w:color w:val="000000"/>
          <w:sz w:val="24"/>
          <w:szCs w:val="24"/>
          <w:lang w:eastAsia="en-CA"/>
        </w:rPr>
        <w:t xml:space="preserve"> </w:t>
      </w:r>
      <w:r w:rsidR="001C22C3" w:rsidRPr="005F68AD">
        <w:rPr>
          <w:rFonts w:ascii="Arial" w:eastAsia="Times New Roman" w:hAnsi="Arial" w:cs="Arial"/>
          <w:color w:val="000000"/>
          <w:sz w:val="24"/>
          <w:szCs w:val="24"/>
          <w:lang w:eastAsia="en-CA"/>
        </w:rPr>
        <w:t>(</w:t>
      </w:r>
      <w:r w:rsidR="000B5546" w:rsidRPr="005F68AD">
        <w:rPr>
          <w:rFonts w:ascii="Arial" w:eastAsia="Times New Roman" w:hAnsi="Arial" w:cs="Arial"/>
          <w:color w:val="000000"/>
          <w:sz w:val="24"/>
          <w:szCs w:val="24"/>
          <w:lang w:eastAsia="en-CA"/>
        </w:rPr>
        <w:t>including earnings from operations held for sale</w:t>
      </w:r>
      <w:r w:rsidR="001C22C3" w:rsidRPr="005F68AD">
        <w:rPr>
          <w:rFonts w:ascii="Arial" w:eastAsia="Times New Roman" w:hAnsi="Arial" w:cs="Arial"/>
          <w:color w:val="000000"/>
          <w:sz w:val="24"/>
          <w:szCs w:val="24"/>
          <w:lang w:eastAsia="en-CA"/>
        </w:rPr>
        <w:t>)</w:t>
      </w:r>
      <w:r w:rsidRPr="005F68AD">
        <w:rPr>
          <w:rFonts w:ascii="Arial" w:eastAsia="Times New Roman" w:hAnsi="Arial" w:cs="Arial"/>
          <w:color w:val="000000"/>
          <w:sz w:val="24"/>
          <w:szCs w:val="24"/>
          <w:lang w:eastAsia="en-CA"/>
        </w:rPr>
        <w:t xml:space="preserve"> was $</w:t>
      </w:r>
      <w:r w:rsidR="00304155" w:rsidRPr="005F68AD">
        <w:rPr>
          <w:rFonts w:ascii="Arial" w:eastAsia="Times New Roman" w:hAnsi="Arial" w:cs="Arial"/>
          <w:color w:val="000000"/>
          <w:sz w:val="24"/>
          <w:szCs w:val="24"/>
          <w:lang w:eastAsia="en-CA"/>
        </w:rPr>
        <w:t>(782,726)</w:t>
      </w:r>
      <w:r w:rsidRPr="005F68AD">
        <w:rPr>
          <w:rFonts w:ascii="Arial" w:eastAsia="Times New Roman" w:hAnsi="Arial" w:cs="Arial"/>
          <w:color w:val="000000"/>
          <w:sz w:val="24"/>
          <w:szCs w:val="24"/>
          <w:lang w:eastAsia="en-CA"/>
        </w:rPr>
        <w:t xml:space="preserve"> and $</w:t>
      </w:r>
      <w:r w:rsidR="00304155" w:rsidRPr="005F68AD">
        <w:rPr>
          <w:rFonts w:ascii="Arial" w:eastAsia="Times New Roman" w:hAnsi="Arial" w:cs="Arial"/>
          <w:color w:val="000000"/>
          <w:sz w:val="24"/>
          <w:szCs w:val="24"/>
          <w:lang w:eastAsia="en-CA"/>
        </w:rPr>
        <w:t>401,157</w:t>
      </w:r>
      <w:r w:rsidRPr="005F68AD">
        <w:rPr>
          <w:rFonts w:ascii="Arial" w:eastAsia="Times New Roman" w:hAnsi="Arial" w:cs="Arial"/>
          <w:color w:val="000000"/>
          <w:sz w:val="24"/>
          <w:szCs w:val="24"/>
          <w:lang w:eastAsia="en-CA"/>
        </w:rPr>
        <w:t xml:space="preserve"> in the </w:t>
      </w:r>
      <w:r w:rsidR="005B7518" w:rsidRPr="005F68AD">
        <w:rPr>
          <w:rFonts w:ascii="Arial" w:eastAsia="Times New Roman" w:hAnsi="Arial" w:cs="Arial"/>
          <w:color w:val="000000"/>
          <w:sz w:val="24"/>
          <w:szCs w:val="24"/>
          <w:lang w:eastAsia="en-CA"/>
        </w:rPr>
        <w:t>three- and nine-month</w:t>
      </w:r>
      <w:r w:rsidRPr="005F68AD">
        <w:rPr>
          <w:rFonts w:ascii="Arial" w:eastAsia="Times New Roman" w:hAnsi="Arial" w:cs="Arial"/>
          <w:color w:val="000000"/>
          <w:sz w:val="24"/>
          <w:szCs w:val="24"/>
          <w:lang w:eastAsia="en-CA"/>
        </w:rPr>
        <w:t xml:space="preserve"> period ending </w:t>
      </w:r>
      <w:r w:rsidR="00304155" w:rsidRPr="005F68AD">
        <w:rPr>
          <w:rFonts w:ascii="Arial" w:eastAsia="Times New Roman" w:hAnsi="Arial" w:cs="Arial"/>
          <w:color w:val="000000"/>
          <w:sz w:val="24"/>
          <w:szCs w:val="24"/>
          <w:lang w:eastAsia="en-CA"/>
        </w:rPr>
        <w:t>December 31</w:t>
      </w:r>
      <w:r w:rsidRPr="005F68AD">
        <w:rPr>
          <w:rFonts w:ascii="Arial" w:eastAsia="Times New Roman" w:hAnsi="Arial" w:cs="Arial"/>
          <w:color w:val="000000"/>
          <w:sz w:val="24"/>
          <w:szCs w:val="24"/>
          <w:lang w:eastAsia="en-CA"/>
        </w:rPr>
        <w:t>, 2019</w:t>
      </w:r>
      <w:r w:rsidR="001C22C3" w:rsidRPr="005F68AD">
        <w:rPr>
          <w:rFonts w:ascii="Arial" w:eastAsia="Times New Roman" w:hAnsi="Arial" w:cs="Arial"/>
          <w:color w:val="000000"/>
          <w:sz w:val="24"/>
          <w:szCs w:val="24"/>
          <w:lang w:eastAsia="en-CA"/>
        </w:rPr>
        <w:t xml:space="preserve"> respectively,</w:t>
      </w:r>
      <w:r w:rsidRPr="005F68AD">
        <w:rPr>
          <w:rFonts w:ascii="Arial" w:eastAsia="Times New Roman" w:hAnsi="Arial" w:cs="Arial"/>
          <w:color w:val="000000"/>
          <w:sz w:val="24"/>
          <w:szCs w:val="24"/>
          <w:lang w:eastAsia="en-CA"/>
        </w:rPr>
        <w:t xml:space="preserve"> as compared to net income of $</w:t>
      </w:r>
      <w:r w:rsidR="00304155" w:rsidRPr="005F68AD">
        <w:rPr>
          <w:rFonts w:ascii="Arial" w:eastAsia="Times New Roman" w:hAnsi="Arial" w:cs="Arial"/>
          <w:color w:val="000000"/>
          <w:sz w:val="24"/>
          <w:szCs w:val="24"/>
          <w:lang w:eastAsia="en-CA"/>
        </w:rPr>
        <w:t>338,739</w:t>
      </w:r>
      <w:r w:rsidRPr="005F68AD">
        <w:rPr>
          <w:rFonts w:ascii="Arial" w:eastAsia="Times New Roman" w:hAnsi="Arial" w:cs="Arial"/>
          <w:color w:val="000000"/>
          <w:sz w:val="24"/>
          <w:szCs w:val="24"/>
          <w:lang w:eastAsia="en-CA"/>
        </w:rPr>
        <w:t xml:space="preserve"> and $</w:t>
      </w:r>
      <w:r w:rsidR="00304155" w:rsidRPr="005F68AD">
        <w:rPr>
          <w:rFonts w:ascii="Arial" w:eastAsia="Times New Roman" w:hAnsi="Arial" w:cs="Arial"/>
          <w:color w:val="000000"/>
          <w:sz w:val="24"/>
          <w:szCs w:val="24"/>
          <w:lang w:eastAsia="en-CA"/>
        </w:rPr>
        <w:t>1,694,145</w:t>
      </w:r>
      <w:r w:rsidRPr="005F68AD">
        <w:rPr>
          <w:rFonts w:ascii="Arial" w:eastAsia="Times New Roman" w:hAnsi="Arial" w:cs="Arial"/>
          <w:color w:val="000000"/>
          <w:sz w:val="24"/>
          <w:szCs w:val="24"/>
          <w:lang w:eastAsia="en-CA"/>
        </w:rPr>
        <w:t xml:space="preserve"> for the same periods a year earlier.  </w:t>
      </w:r>
    </w:p>
    <w:p w14:paraId="7A3B43AD" w14:textId="6D48FAE0" w:rsidR="005F68AD" w:rsidRPr="005F68AD" w:rsidRDefault="005F68AD" w:rsidP="005F68AD">
      <w:pPr>
        <w:pStyle w:val="ydp412e0dc9yiv7861066731ydp19e5edc7yiv1428560538msonormal"/>
        <w:jc w:val="both"/>
        <w:rPr>
          <w:rFonts w:ascii="Arial" w:hAnsi="Arial" w:cs="Arial"/>
          <w:color w:val="26282A"/>
          <w:lang w:val="en-CA"/>
        </w:rPr>
      </w:pPr>
      <w:r>
        <w:rPr>
          <w:rFonts w:ascii="Arial" w:hAnsi="Arial" w:cs="Arial"/>
          <w:color w:val="26282A"/>
        </w:rPr>
        <w:t>“</w:t>
      </w:r>
      <w:r w:rsidRPr="005F68AD">
        <w:rPr>
          <w:rFonts w:ascii="Arial" w:hAnsi="Arial" w:cs="Arial"/>
          <w:color w:val="26282A"/>
        </w:rPr>
        <w:t>Plaintree’s three main product lines are</w:t>
      </w:r>
      <w:r w:rsidR="00541C7C">
        <w:rPr>
          <w:rFonts w:ascii="Arial" w:hAnsi="Arial" w:cs="Arial"/>
          <w:color w:val="26282A"/>
        </w:rPr>
        <w:t>:</w:t>
      </w:r>
      <w:r w:rsidRPr="005F68AD">
        <w:rPr>
          <w:rFonts w:ascii="Arial" w:hAnsi="Arial" w:cs="Arial"/>
          <w:color w:val="26282A"/>
        </w:rPr>
        <w:t xml:space="preserve"> Aerospace</w:t>
      </w:r>
      <w:r w:rsidR="00541C7C">
        <w:rPr>
          <w:rFonts w:ascii="Arial" w:hAnsi="Arial" w:cs="Arial"/>
          <w:color w:val="26282A"/>
        </w:rPr>
        <w:t>;</w:t>
      </w:r>
      <w:r w:rsidRPr="005F68AD">
        <w:rPr>
          <w:rFonts w:ascii="Arial" w:hAnsi="Arial" w:cs="Arial"/>
          <w:color w:val="26282A"/>
        </w:rPr>
        <w:t xml:space="preserve"> Mining </w:t>
      </w:r>
      <w:r w:rsidR="00541C7C">
        <w:rPr>
          <w:rFonts w:ascii="Arial" w:hAnsi="Arial" w:cs="Arial"/>
          <w:color w:val="26282A"/>
        </w:rPr>
        <w:t>D</w:t>
      </w:r>
      <w:r w:rsidRPr="005F68AD">
        <w:rPr>
          <w:rFonts w:ascii="Arial" w:hAnsi="Arial" w:cs="Arial"/>
          <w:color w:val="26282A"/>
        </w:rPr>
        <w:t>omes</w:t>
      </w:r>
      <w:r w:rsidR="00541C7C">
        <w:rPr>
          <w:rFonts w:ascii="Arial" w:hAnsi="Arial" w:cs="Arial"/>
          <w:color w:val="26282A"/>
        </w:rPr>
        <w:t>;</w:t>
      </w:r>
      <w:r w:rsidRPr="005F68AD">
        <w:rPr>
          <w:rFonts w:ascii="Arial" w:hAnsi="Arial" w:cs="Arial"/>
          <w:color w:val="26282A"/>
        </w:rPr>
        <w:t xml:space="preserve"> and Foundations.</w:t>
      </w:r>
      <w:r w:rsidRPr="005F68AD">
        <w:rPr>
          <w:rFonts w:ascii="Arial" w:hAnsi="Arial" w:cs="Arial"/>
        </w:rPr>
        <w:t>” said David Watson CEO.</w:t>
      </w:r>
      <w:r w:rsidRPr="005F68AD">
        <w:rPr>
          <w:rFonts w:ascii="Arial" w:hAnsi="Arial" w:cs="Arial"/>
          <w:color w:val="26282A"/>
        </w:rPr>
        <w:t xml:space="preserve"> </w:t>
      </w:r>
      <w:r w:rsidR="00541C7C">
        <w:rPr>
          <w:rFonts w:ascii="Arial" w:hAnsi="Arial" w:cs="Arial"/>
          <w:color w:val="26282A"/>
        </w:rPr>
        <w:t>“</w:t>
      </w:r>
      <w:r w:rsidRPr="005F68AD">
        <w:rPr>
          <w:rFonts w:ascii="Arial" w:hAnsi="Arial" w:cs="Arial"/>
          <w:color w:val="26282A"/>
        </w:rPr>
        <w:t xml:space="preserve">In Q3 of Fiscal 2020, </w:t>
      </w:r>
      <w:r w:rsidR="00541C7C">
        <w:rPr>
          <w:rFonts w:ascii="Arial" w:hAnsi="Arial" w:cs="Arial"/>
          <w:color w:val="26282A"/>
        </w:rPr>
        <w:t>A</w:t>
      </w:r>
      <w:r w:rsidRPr="005F68AD">
        <w:rPr>
          <w:rFonts w:ascii="Arial" w:hAnsi="Arial" w:cs="Arial"/>
          <w:color w:val="26282A"/>
        </w:rPr>
        <w:t>erospace remained strong and growing, however</w:t>
      </w:r>
      <w:r w:rsidR="00541C7C">
        <w:rPr>
          <w:rFonts w:ascii="Arial" w:hAnsi="Arial" w:cs="Arial"/>
          <w:color w:val="26282A"/>
        </w:rPr>
        <w:t>,</w:t>
      </w:r>
      <w:r w:rsidRPr="005F68AD">
        <w:rPr>
          <w:rFonts w:ascii="Arial" w:hAnsi="Arial" w:cs="Arial"/>
          <w:color w:val="26282A"/>
        </w:rPr>
        <w:t xml:space="preserve"> both </w:t>
      </w:r>
      <w:r w:rsidR="00541C7C">
        <w:rPr>
          <w:rFonts w:ascii="Arial" w:hAnsi="Arial" w:cs="Arial"/>
          <w:color w:val="26282A"/>
        </w:rPr>
        <w:t>M</w:t>
      </w:r>
      <w:r w:rsidRPr="005F68AD">
        <w:rPr>
          <w:rFonts w:ascii="Arial" w:hAnsi="Arial" w:cs="Arial"/>
          <w:color w:val="26282A"/>
        </w:rPr>
        <w:t xml:space="preserve">ining </w:t>
      </w:r>
      <w:r w:rsidR="00541C7C">
        <w:rPr>
          <w:rFonts w:ascii="Arial" w:hAnsi="Arial" w:cs="Arial"/>
          <w:color w:val="26282A"/>
        </w:rPr>
        <w:t>D</w:t>
      </w:r>
      <w:r w:rsidRPr="005F68AD">
        <w:rPr>
          <w:rFonts w:ascii="Arial" w:hAnsi="Arial" w:cs="Arial"/>
          <w:color w:val="26282A"/>
        </w:rPr>
        <w:t xml:space="preserve">omes and </w:t>
      </w:r>
      <w:r w:rsidR="00541C7C">
        <w:rPr>
          <w:rFonts w:ascii="Arial" w:hAnsi="Arial" w:cs="Arial"/>
          <w:color w:val="26282A"/>
        </w:rPr>
        <w:t>F</w:t>
      </w:r>
      <w:r w:rsidRPr="005F68AD">
        <w:rPr>
          <w:rFonts w:ascii="Arial" w:hAnsi="Arial" w:cs="Arial"/>
          <w:color w:val="26282A"/>
        </w:rPr>
        <w:t>oundations for</w:t>
      </w:r>
      <w:r>
        <w:rPr>
          <w:rFonts w:ascii="Arial" w:hAnsi="Arial" w:cs="Arial"/>
          <w:color w:val="26282A"/>
        </w:rPr>
        <w:t xml:space="preserve"> building structures</w:t>
      </w:r>
      <w:r w:rsidR="00541C7C">
        <w:rPr>
          <w:rFonts w:ascii="Arial" w:hAnsi="Arial" w:cs="Arial"/>
          <w:color w:val="26282A"/>
        </w:rPr>
        <w:t>,</w:t>
      </w:r>
      <w:r>
        <w:rPr>
          <w:rFonts w:ascii="Arial" w:hAnsi="Arial" w:cs="Arial"/>
          <w:color w:val="26282A"/>
        </w:rPr>
        <w:t xml:space="preserve"> including </w:t>
      </w:r>
      <w:r w:rsidRPr="005F68AD">
        <w:rPr>
          <w:rFonts w:ascii="Arial" w:hAnsi="Arial" w:cs="Arial"/>
          <w:color w:val="26282A"/>
        </w:rPr>
        <w:t>unstable soils</w:t>
      </w:r>
      <w:r>
        <w:rPr>
          <w:rFonts w:ascii="Arial" w:hAnsi="Arial" w:cs="Arial"/>
          <w:color w:val="26282A"/>
        </w:rPr>
        <w:t xml:space="preserve">, permafrost and </w:t>
      </w:r>
      <w:r w:rsidR="009E6B03">
        <w:rPr>
          <w:rFonts w:ascii="Arial" w:hAnsi="Arial" w:cs="Arial"/>
          <w:color w:val="26282A"/>
        </w:rPr>
        <w:t>flooding</w:t>
      </w:r>
      <w:r w:rsidR="00541C7C">
        <w:rPr>
          <w:rFonts w:ascii="Arial" w:hAnsi="Arial" w:cs="Arial"/>
          <w:color w:val="26282A"/>
        </w:rPr>
        <w:t>,</w:t>
      </w:r>
      <w:r w:rsidRPr="005F68AD">
        <w:rPr>
          <w:rFonts w:ascii="Arial" w:hAnsi="Arial" w:cs="Arial"/>
          <w:color w:val="26282A"/>
        </w:rPr>
        <w:t xml:space="preserve"> encountered their usual </w:t>
      </w:r>
      <w:r w:rsidR="00541C7C">
        <w:rPr>
          <w:rFonts w:ascii="Arial" w:hAnsi="Arial" w:cs="Arial"/>
          <w:color w:val="26282A"/>
        </w:rPr>
        <w:t xml:space="preserve">holiday season </w:t>
      </w:r>
      <w:r w:rsidRPr="005F68AD">
        <w:rPr>
          <w:rFonts w:ascii="Arial" w:hAnsi="Arial" w:cs="Arial"/>
          <w:color w:val="26282A"/>
        </w:rPr>
        <w:t xml:space="preserve">slowdowns. </w:t>
      </w:r>
      <w:r w:rsidRPr="005F68AD">
        <w:rPr>
          <w:rFonts w:ascii="Arial" w:hAnsi="Arial" w:cs="Arial"/>
        </w:rPr>
        <w:t>In addition to the seasonal slowdown for these product lines</w:t>
      </w:r>
      <w:r w:rsidR="00541C7C">
        <w:rPr>
          <w:rFonts w:ascii="Arial" w:hAnsi="Arial" w:cs="Arial"/>
        </w:rPr>
        <w:t>,</w:t>
      </w:r>
      <w:r w:rsidRPr="005F68AD">
        <w:rPr>
          <w:rFonts w:ascii="Arial" w:hAnsi="Arial" w:cs="Arial"/>
        </w:rPr>
        <w:t xml:space="preserve"> they have historically long lead times that can result in revenue swings from quarter to quarter. Quoting requests for both </w:t>
      </w:r>
      <w:r w:rsidR="00541C7C">
        <w:rPr>
          <w:rFonts w:ascii="Arial" w:hAnsi="Arial" w:cs="Arial"/>
        </w:rPr>
        <w:t xml:space="preserve">the Mining Domes and Foundations </w:t>
      </w:r>
      <w:r w:rsidRPr="005F68AD">
        <w:rPr>
          <w:rFonts w:ascii="Arial" w:hAnsi="Arial" w:cs="Arial"/>
        </w:rPr>
        <w:t>product lines remain strong and will impact Q1 &amp; Q2 FYE 2021 company performance.</w:t>
      </w:r>
      <w:r w:rsidR="00541C7C">
        <w:rPr>
          <w:rFonts w:ascii="Arial" w:hAnsi="Arial" w:cs="Arial"/>
        </w:rPr>
        <w:t>”</w:t>
      </w:r>
      <w:r w:rsidRPr="005F68AD">
        <w:rPr>
          <w:rFonts w:ascii="Arial" w:hAnsi="Arial" w:cs="Arial"/>
        </w:rPr>
        <w:t xml:space="preserve"> </w:t>
      </w:r>
    </w:p>
    <w:p w14:paraId="5898B05B" w14:textId="5C39B78C" w:rsidR="00D64944" w:rsidRPr="005F68AD" w:rsidRDefault="00D64944" w:rsidP="008F1A3C">
      <w:pPr>
        <w:widowControl w:val="0"/>
        <w:jc w:val="both"/>
        <w:outlineLvl w:val="0"/>
        <w:rPr>
          <w:rFonts w:ascii="Arial" w:hAnsi="Arial" w:cs="Arial"/>
          <w:b/>
          <w:u w:val="single"/>
        </w:rPr>
      </w:pPr>
      <w:r w:rsidRPr="005F68AD">
        <w:rPr>
          <w:rFonts w:ascii="Arial" w:hAnsi="Arial" w:cs="Arial"/>
          <w:b/>
          <w:u w:val="single"/>
        </w:rPr>
        <w:t xml:space="preserve">About </w:t>
      </w:r>
      <w:r w:rsidR="00AB4975" w:rsidRPr="005F68AD">
        <w:rPr>
          <w:rFonts w:ascii="Arial" w:hAnsi="Arial" w:cs="Arial"/>
          <w:b/>
          <w:u w:val="single"/>
        </w:rPr>
        <w:t xml:space="preserve">Plaintree </w:t>
      </w:r>
    </w:p>
    <w:p w14:paraId="74B28519" w14:textId="77777777" w:rsidR="00D64944" w:rsidRPr="005F68AD" w:rsidRDefault="00D64944" w:rsidP="008F1A3C">
      <w:pPr>
        <w:jc w:val="both"/>
        <w:rPr>
          <w:rFonts w:ascii="Arial" w:hAnsi="Arial" w:cs="Arial"/>
        </w:rPr>
      </w:pPr>
      <w:r w:rsidRPr="005F68AD">
        <w:rPr>
          <w:rFonts w:ascii="Arial" w:hAnsi="Arial" w:cs="Arial"/>
          <w:b/>
        </w:rPr>
        <w:t>Plaintree</w:t>
      </w:r>
      <w:r w:rsidRPr="005F68AD">
        <w:rPr>
          <w:rFonts w:ascii="Arial" w:hAnsi="Arial" w:cs="Arial"/>
        </w:rPr>
        <w:t xml:space="preserve"> has two diversified product lines consisting of Specialty Structures and Electronics.</w:t>
      </w:r>
    </w:p>
    <w:p w14:paraId="7FA8FB73" w14:textId="7EC3B46A" w:rsidR="00D64944" w:rsidRPr="005F68AD" w:rsidRDefault="00D64944" w:rsidP="008F1A3C">
      <w:pPr>
        <w:jc w:val="both"/>
        <w:rPr>
          <w:rFonts w:ascii="Arial" w:hAnsi="Arial" w:cs="Arial"/>
        </w:rPr>
      </w:pPr>
      <w:r w:rsidRPr="005F68AD">
        <w:rPr>
          <w:rFonts w:ascii="Arial" w:hAnsi="Arial" w:cs="Arial"/>
        </w:rPr>
        <w:t xml:space="preserve">The Specialty Structures Division includes the former Triodetic Group with over 40 years of experience, is a design/build manufacturer of steel, aluminum and stainless steel specialty structures such as commercial domes, </w:t>
      </w:r>
      <w:r w:rsidR="006F5C44" w:rsidRPr="005F68AD">
        <w:rPr>
          <w:rFonts w:ascii="Arial" w:hAnsi="Arial" w:cs="Arial"/>
        </w:rPr>
        <w:t>foundations</w:t>
      </w:r>
      <w:r w:rsidR="008334E7" w:rsidRPr="005F68AD">
        <w:rPr>
          <w:rFonts w:ascii="Arial" w:hAnsi="Arial" w:cs="Arial"/>
        </w:rPr>
        <w:t xml:space="preserve"> for </w:t>
      </w:r>
      <w:r w:rsidR="007D7B29" w:rsidRPr="005F68AD">
        <w:rPr>
          <w:rFonts w:ascii="Arial" w:hAnsi="Arial" w:cs="Arial"/>
        </w:rPr>
        <w:t>unstable soil conditions and flood zones</w:t>
      </w:r>
      <w:r w:rsidR="008334E7" w:rsidRPr="005F68AD">
        <w:rPr>
          <w:rFonts w:ascii="Arial" w:hAnsi="Arial" w:cs="Arial"/>
        </w:rPr>
        <w:t>,</w:t>
      </w:r>
      <w:r w:rsidR="006F5C44" w:rsidRPr="005F68AD">
        <w:rPr>
          <w:rFonts w:ascii="Arial" w:hAnsi="Arial" w:cs="Arial"/>
        </w:rPr>
        <w:t xml:space="preserve"> for </w:t>
      </w:r>
      <w:r w:rsidRPr="005F68AD">
        <w:rPr>
          <w:rFonts w:ascii="Arial" w:hAnsi="Arial" w:cs="Arial"/>
        </w:rPr>
        <w:t>free form structures, barrel vaults, space frames and industrial dome coverings and Spotton Corporation, a design and manufacturer of high end custom hydraulic and pneumatic valves and cylinders.</w:t>
      </w:r>
    </w:p>
    <w:p w14:paraId="10C37639" w14:textId="77777777" w:rsidR="00D64944" w:rsidRPr="005F68AD" w:rsidRDefault="00D64944" w:rsidP="008F1A3C">
      <w:pPr>
        <w:jc w:val="both"/>
        <w:rPr>
          <w:rFonts w:ascii="Arial" w:hAnsi="Arial" w:cs="Arial"/>
          <w:lang w:eastAsia="en-CA"/>
        </w:rPr>
      </w:pPr>
      <w:r w:rsidRPr="005F68AD">
        <w:rPr>
          <w:rFonts w:ascii="Arial" w:hAnsi="Arial" w:cs="Arial"/>
        </w:rPr>
        <w:t xml:space="preserve">The Electronics Division includes the legacy Hypernetics and Summit Aerospace USA Inc. businesses. Hypernetics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w:t>
      </w:r>
      <w:r w:rsidRPr="005F68AD">
        <w:rPr>
          <w:rFonts w:ascii="Arial" w:hAnsi="Arial" w:cs="Arial"/>
        </w:rPr>
        <w:lastRenderedPageBreak/>
        <w:t xml:space="preserve">shrouds as well as assembly &amp; pressure seals. Summit </w:t>
      </w:r>
      <w:r w:rsidRPr="005F68AD">
        <w:rPr>
          <w:rFonts w:ascii="Arial" w:hAnsi="Arial" w:cs="Arial"/>
          <w:lang w:eastAsia="en-CA"/>
        </w:rPr>
        <w:t xml:space="preserve">will support requirements from concept, prototype and throughout production.  </w:t>
      </w:r>
    </w:p>
    <w:p w14:paraId="359B1D88" w14:textId="77777777" w:rsidR="00D64944" w:rsidRPr="005F68AD" w:rsidRDefault="00D64944" w:rsidP="008F1A3C">
      <w:pPr>
        <w:spacing w:before="120"/>
        <w:jc w:val="both"/>
        <w:rPr>
          <w:rFonts w:ascii="Arial" w:hAnsi="Arial" w:cs="Arial"/>
        </w:rPr>
      </w:pPr>
      <w:r w:rsidRPr="005F68AD">
        <w:rPr>
          <w:rFonts w:ascii="Arial" w:hAnsi="Arial" w:cs="Arial"/>
        </w:rPr>
        <w:t>Plaintree’s shares are traded under the symbol “NPT”.  Shareholders and Investors can access Company information on CSE’s website and receive full Company disclosure monthly.  For more information on Plaintree or to receive stock quotes, complete with trading summaries, bid size and ask price, brokerage house participation, insider reports, news releases, disclosure information, and CSE and SEDAR filings, visit the CSE website at www.cnsx.ca</w:t>
      </w:r>
      <w:hyperlink w:history="1"/>
      <w:r w:rsidRPr="005F68AD">
        <w:rPr>
          <w:rFonts w:ascii="Arial" w:hAnsi="Arial" w:cs="Arial"/>
        </w:rPr>
        <w:t xml:space="preserve"> or the Company’s website at www.plaintree.com. </w:t>
      </w:r>
    </w:p>
    <w:p w14:paraId="1AC8C66C" w14:textId="77777777" w:rsidR="00D64944" w:rsidRPr="005F68AD" w:rsidRDefault="00D64944" w:rsidP="008F1A3C">
      <w:pPr>
        <w:jc w:val="both"/>
        <w:rPr>
          <w:rFonts w:ascii="Arial" w:hAnsi="Arial" w:cs="Arial"/>
          <w:snapToGrid w:val="0"/>
        </w:rPr>
      </w:pPr>
      <w:r w:rsidRPr="005F68AD">
        <w:rPr>
          <w:rFonts w:ascii="Arial" w:hAnsi="Arial" w:cs="Arial"/>
          <w:snapToGrid w:val="0"/>
        </w:rPr>
        <w:t xml:space="preserve">Plaintree is publicly traded in Canada on the CSE (NPT) with </w:t>
      </w:r>
      <w:r w:rsidRPr="005F68AD">
        <w:rPr>
          <w:rFonts w:ascii="Arial" w:hAnsi="Arial" w:cs="Arial"/>
          <w:b/>
          <w:snapToGrid w:val="0"/>
        </w:rPr>
        <w:t>12,925,253</w:t>
      </w:r>
      <w:r w:rsidRPr="005F68AD">
        <w:rPr>
          <w:rFonts w:ascii="Arial" w:hAnsi="Arial" w:cs="Arial"/>
          <w:snapToGrid w:val="0"/>
        </w:rPr>
        <w:t xml:space="preserve"> common shares and 18,325 class A preferred shares outstanding. </w:t>
      </w:r>
    </w:p>
    <w:p w14:paraId="2370D2CF" w14:textId="77777777" w:rsidR="00D64944" w:rsidRPr="005F68AD" w:rsidRDefault="00D64944" w:rsidP="008F1A3C">
      <w:pPr>
        <w:jc w:val="both"/>
        <w:rPr>
          <w:rFonts w:ascii="Arial" w:hAnsi="Arial" w:cs="Arial"/>
          <w:i/>
          <w:snapToGrid w:val="0"/>
        </w:rPr>
      </w:pPr>
      <w:r w:rsidRPr="005F68AD">
        <w:rPr>
          <w:rFonts w:ascii="Arial" w:hAnsi="Arial" w:cs="Arial"/>
          <w:i/>
          <w:snapToGrid w:val="0"/>
        </w:rPr>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201</w:t>
      </w:r>
      <w:r w:rsidR="0026657A" w:rsidRPr="005F68AD">
        <w:rPr>
          <w:rFonts w:ascii="Arial" w:hAnsi="Arial" w:cs="Arial"/>
          <w:i/>
          <w:snapToGrid w:val="0"/>
        </w:rPr>
        <w:t>9</w:t>
      </w:r>
      <w:r w:rsidRPr="005F68AD">
        <w:rPr>
          <w:rFonts w:ascii="Arial" w:hAnsi="Arial" w:cs="Arial"/>
          <w:i/>
          <w:snapToGrid w:val="0"/>
        </w:rPr>
        <w:t xml:space="preserve"> and related management discussion and analysis. </w:t>
      </w:r>
    </w:p>
    <w:p w14:paraId="3A54242B" w14:textId="77777777" w:rsidR="00D64944" w:rsidRPr="005F68AD" w:rsidRDefault="00D64944" w:rsidP="008F1A3C">
      <w:pPr>
        <w:autoSpaceDE w:val="0"/>
        <w:autoSpaceDN w:val="0"/>
        <w:adjustRightInd w:val="0"/>
        <w:jc w:val="both"/>
        <w:rPr>
          <w:rFonts w:ascii="Arial" w:hAnsi="Arial" w:cs="Arial"/>
          <w:i/>
          <w:iCs/>
          <w:lang w:eastAsia="en-CA"/>
        </w:rPr>
      </w:pPr>
      <w:r w:rsidRPr="005F68AD">
        <w:rPr>
          <w:rFonts w:ascii="Arial" w:hAnsi="Arial" w:cs="Arial"/>
          <w:i/>
          <w:iCs/>
          <w:lang w:eastAsia="en-CA"/>
        </w:rPr>
        <w:t>Canadian Securities Exchange has not reviewed and does not accept responsibility for the adequacy or accuracy of the content of this news release.</w:t>
      </w:r>
    </w:p>
    <w:p w14:paraId="48FC5EB6" w14:textId="1C0BE15F" w:rsidR="00D64944" w:rsidRPr="005F68AD" w:rsidRDefault="00D64944" w:rsidP="008F1A3C">
      <w:pPr>
        <w:autoSpaceDE w:val="0"/>
        <w:autoSpaceDN w:val="0"/>
        <w:adjustRightInd w:val="0"/>
        <w:jc w:val="both"/>
        <w:rPr>
          <w:rFonts w:ascii="Arial" w:hAnsi="Arial" w:cs="Arial"/>
        </w:rPr>
      </w:pPr>
      <w:r w:rsidRPr="005F68AD">
        <w:rPr>
          <w:rFonts w:ascii="Arial" w:hAnsi="Arial" w:cs="Arial"/>
        </w:rPr>
        <w:t>For further information:</w:t>
      </w:r>
      <w:r w:rsidR="00AE7E14" w:rsidRPr="005F68AD">
        <w:rPr>
          <w:rFonts w:ascii="Arial" w:hAnsi="Arial" w:cs="Arial"/>
        </w:rPr>
        <w:t xml:space="preserve"> Lynn Saunders, </w:t>
      </w:r>
      <w:r w:rsidR="00E854F0" w:rsidRPr="005F68AD">
        <w:rPr>
          <w:rFonts w:ascii="Arial" w:hAnsi="Arial" w:cs="Arial"/>
        </w:rPr>
        <w:t>CFO (</w:t>
      </w:r>
      <w:r w:rsidRPr="005F68AD">
        <w:rPr>
          <w:rFonts w:ascii="Arial" w:hAnsi="Arial" w:cs="Arial"/>
        </w:rPr>
        <w:t xml:space="preserve">613) 623-3434 </w:t>
      </w:r>
      <w:r w:rsidR="00AE7E14" w:rsidRPr="005F68AD">
        <w:rPr>
          <w:rFonts w:ascii="Arial" w:hAnsi="Arial" w:cs="Arial"/>
        </w:rPr>
        <w:t>x2223</w:t>
      </w:r>
    </w:p>
    <w:sectPr w:rsidR="00D64944" w:rsidRPr="005F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1D"/>
    <w:rsid w:val="00036BBB"/>
    <w:rsid w:val="000938F6"/>
    <w:rsid w:val="000A5921"/>
    <w:rsid w:val="000B232F"/>
    <w:rsid w:val="000B5546"/>
    <w:rsid w:val="00146CC2"/>
    <w:rsid w:val="001B1842"/>
    <w:rsid w:val="001C22C3"/>
    <w:rsid w:val="00220230"/>
    <w:rsid w:val="00227094"/>
    <w:rsid w:val="00243C86"/>
    <w:rsid w:val="0026657A"/>
    <w:rsid w:val="002C092E"/>
    <w:rsid w:val="002F1123"/>
    <w:rsid w:val="00304155"/>
    <w:rsid w:val="00355B19"/>
    <w:rsid w:val="00445607"/>
    <w:rsid w:val="00457F17"/>
    <w:rsid w:val="004A4A8F"/>
    <w:rsid w:val="004D378C"/>
    <w:rsid w:val="005328AF"/>
    <w:rsid w:val="00541C7C"/>
    <w:rsid w:val="00556306"/>
    <w:rsid w:val="00591FF8"/>
    <w:rsid w:val="005B6488"/>
    <w:rsid w:val="005B7518"/>
    <w:rsid w:val="005E191D"/>
    <w:rsid w:val="005F68AD"/>
    <w:rsid w:val="00630950"/>
    <w:rsid w:val="006F5C44"/>
    <w:rsid w:val="007D7B29"/>
    <w:rsid w:val="008334E7"/>
    <w:rsid w:val="008570D2"/>
    <w:rsid w:val="00874297"/>
    <w:rsid w:val="00886C4C"/>
    <w:rsid w:val="008F1A3C"/>
    <w:rsid w:val="008F21BE"/>
    <w:rsid w:val="009E6B03"/>
    <w:rsid w:val="00AB4975"/>
    <w:rsid w:val="00AC675C"/>
    <w:rsid w:val="00AE7E14"/>
    <w:rsid w:val="00B154E3"/>
    <w:rsid w:val="00C06B66"/>
    <w:rsid w:val="00D40448"/>
    <w:rsid w:val="00D6353A"/>
    <w:rsid w:val="00D64944"/>
    <w:rsid w:val="00E06E85"/>
    <w:rsid w:val="00E24ED4"/>
    <w:rsid w:val="00E80248"/>
    <w:rsid w:val="00E854F0"/>
    <w:rsid w:val="00EC3714"/>
    <w:rsid w:val="00EC4620"/>
    <w:rsid w:val="00F053FD"/>
    <w:rsid w:val="00F65345"/>
    <w:rsid w:val="00F8714D"/>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223EC"/>
  <w15:docId w15:val="{EF2E6ACD-280F-4CDD-BBBE-EC5536CD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 w:type="paragraph" w:customStyle="1" w:styleId="ydp412e0dc9yiv7861066731ydp19e5edc7yiv1428560538msonormal">
    <w:name w:val="ydp412e0dc9yiv7861066731ydp19e5edc7yiv1428560538msonormal"/>
    <w:basedOn w:val="Normal"/>
    <w:rsid w:val="005F68AD"/>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57154">
      <w:bodyDiv w:val="1"/>
      <w:marLeft w:val="0"/>
      <w:marRight w:val="0"/>
      <w:marTop w:val="0"/>
      <w:marBottom w:val="0"/>
      <w:divBdr>
        <w:top w:val="none" w:sz="0" w:space="0" w:color="auto"/>
        <w:left w:val="none" w:sz="0" w:space="0" w:color="auto"/>
        <w:bottom w:val="none" w:sz="0" w:space="0" w:color="auto"/>
        <w:right w:val="none" w:sz="0" w:space="0" w:color="auto"/>
      </w:divBdr>
    </w:div>
    <w:div w:id="781995277">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068186975">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BD78C-A889-4DE8-9FEA-C5C3CF408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Pages>
  <Words>665</Words>
  <Characters>3844</Characters>
  <Application>Microsoft Office Word</Application>
  <DocSecurity>0</DocSecurity>
  <Lines>62</Lines>
  <Paragraphs>19</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Jessop</dc:creator>
  <cp:lastModifiedBy>Lynn Saunders</cp:lastModifiedBy>
  <cp:revision>3</cp:revision>
  <cp:lastPrinted>2019-07-25T19:30:00Z</cp:lastPrinted>
  <dcterms:created xsi:type="dcterms:W3CDTF">2020-02-28T15:03:00Z</dcterms:created>
  <dcterms:modified xsi:type="dcterms:W3CDTF">2020-02-28T15:04:00Z</dcterms:modified>
</cp:coreProperties>
</file>