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D4C4B" w14:textId="77777777" w:rsidR="00E32097" w:rsidRPr="00CF6A25" w:rsidRDefault="00E32097" w:rsidP="00373CEB">
      <w:pPr>
        <w:spacing w:after="0"/>
        <w:rPr>
          <w:rFonts w:asciiTheme="minorHAnsi" w:hAnsiTheme="minorHAnsi" w:cstheme="minorHAnsi"/>
          <w:b/>
        </w:rPr>
      </w:pPr>
    </w:p>
    <w:p w14:paraId="5A0578DC" w14:textId="49E3B62A" w:rsidR="00CD3EBB" w:rsidRPr="00FF68E1" w:rsidRDefault="00941BC8" w:rsidP="00FF68E1">
      <w:pPr>
        <w:jc w:val="center"/>
        <w:rPr>
          <w:rFonts w:asciiTheme="minorHAnsi" w:hAnsiTheme="minorHAnsi" w:cstheme="minorHAnsi"/>
          <w:b/>
          <w:sz w:val="32"/>
          <w:szCs w:val="32"/>
          <w:u w:val="single"/>
        </w:rPr>
      </w:pPr>
      <w:r w:rsidRPr="00941BC8">
        <w:rPr>
          <w:rFonts w:asciiTheme="minorHAnsi" w:hAnsiTheme="minorHAnsi" w:cstheme="minorHAnsi"/>
          <w:b/>
          <w:sz w:val="32"/>
          <w:szCs w:val="32"/>
          <w:u w:val="single"/>
        </w:rPr>
        <w:t xml:space="preserve">TRILLION ENERGY </w:t>
      </w:r>
      <w:r w:rsidR="007472DC">
        <w:rPr>
          <w:rFonts w:asciiTheme="minorHAnsi" w:hAnsiTheme="minorHAnsi" w:cstheme="minorHAnsi"/>
          <w:b/>
          <w:sz w:val="32"/>
          <w:szCs w:val="32"/>
          <w:u w:val="single"/>
        </w:rPr>
        <w:t xml:space="preserve">ANNOUNCES </w:t>
      </w:r>
      <w:r w:rsidR="00D0720E">
        <w:rPr>
          <w:rFonts w:asciiTheme="minorHAnsi" w:hAnsiTheme="minorHAnsi" w:cstheme="minorHAnsi"/>
          <w:b/>
          <w:sz w:val="32"/>
          <w:szCs w:val="32"/>
          <w:u w:val="single"/>
        </w:rPr>
        <w:t xml:space="preserve">RESOURCE &amp; </w:t>
      </w:r>
      <w:r w:rsidR="007472DC">
        <w:rPr>
          <w:rFonts w:asciiTheme="minorHAnsi" w:hAnsiTheme="minorHAnsi" w:cstheme="minorHAnsi"/>
          <w:b/>
          <w:sz w:val="32"/>
          <w:szCs w:val="32"/>
          <w:u w:val="single"/>
        </w:rPr>
        <w:t xml:space="preserve">RESERVE </w:t>
      </w:r>
      <w:r w:rsidR="00D0720E">
        <w:rPr>
          <w:rFonts w:asciiTheme="minorHAnsi" w:hAnsiTheme="minorHAnsi" w:cstheme="minorHAnsi"/>
          <w:b/>
          <w:sz w:val="32"/>
          <w:szCs w:val="32"/>
          <w:u w:val="single"/>
        </w:rPr>
        <w:t>UPDATE</w:t>
      </w:r>
    </w:p>
    <w:p w14:paraId="3A06934B" w14:textId="3FED64A4" w:rsidR="00B561AA" w:rsidRPr="00036CB7" w:rsidRDefault="008E2026" w:rsidP="00B561AA">
      <w:pPr>
        <w:pStyle w:val="NormalWeb"/>
        <w:jc w:val="center"/>
        <w:rPr>
          <w:rFonts w:ascii="Calibri" w:hAnsi="Calibri" w:cs="Calibri"/>
          <w:b/>
          <w:bCs/>
          <w:sz w:val="20"/>
          <w:szCs w:val="18"/>
        </w:rPr>
      </w:pPr>
      <w:r>
        <w:rPr>
          <w:rFonts w:asciiTheme="minorHAnsi" w:hAnsiTheme="minorHAnsi" w:cstheme="minorHAnsi"/>
          <w:b/>
        </w:rPr>
        <w:t xml:space="preserve">Net Present </w:t>
      </w:r>
      <w:r w:rsidR="00D0720E">
        <w:rPr>
          <w:rFonts w:asciiTheme="minorHAnsi" w:hAnsiTheme="minorHAnsi" w:cstheme="minorHAnsi"/>
          <w:b/>
        </w:rPr>
        <w:t xml:space="preserve">Value of </w:t>
      </w:r>
      <w:r w:rsidR="00CF3ECB">
        <w:rPr>
          <w:rFonts w:asciiTheme="minorHAnsi" w:hAnsiTheme="minorHAnsi" w:cstheme="minorHAnsi"/>
          <w:b/>
        </w:rPr>
        <w:t xml:space="preserve">SASB </w:t>
      </w:r>
      <w:r w:rsidR="00D0720E">
        <w:rPr>
          <w:rFonts w:asciiTheme="minorHAnsi" w:hAnsiTheme="minorHAnsi" w:cstheme="minorHAnsi"/>
          <w:b/>
        </w:rPr>
        <w:t>G</w:t>
      </w:r>
      <w:r w:rsidR="00617008">
        <w:rPr>
          <w:rFonts w:asciiTheme="minorHAnsi" w:hAnsiTheme="minorHAnsi" w:cstheme="minorHAnsi"/>
          <w:b/>
        </w:rPr>
        <w:t xml:space="preserve">as </w:t>
      </w:r>
      <w:r w:rsidR="00632A09">
        <w:rPr>
          <w:rFonts w:asciiTheme="minorHAnsi" w:hAnsiTheme="minorHAnsi" w:cstheme="minorHAnsi"/>
          <w:b/>
        </w:rPr>
        <w:t>F</w:t>
      </w:r>
      <w:r w:rsidR="00617008">
        <w:rPr>
          <w:rFonts w:asciiTheme="minorHAnsi" w:hAnsiTheme="minorHAnsi" w:cstheme="minorHAnsi"/>
          <w:b/>
        </w:rPr>
        <w:t>ield</w:t>
      </w:r>
      <w:r w:rsidR="007D374F">
        <w:rPr>
          <w:rFonts w:asciiTheme="minorHAnsi" w:hAnsiTheme="minorHAnsi" w:cstheme="minorHAnsi"/>
          <w:b/>
        </w:rPr>
        <w:t xml:space="preserve"> </w:t>
      </w:r>
      <w:r w:rsidR="007F5085">
        <w:rPr>
          <w:rFonts w:asciiTheme="minorHAnsi" w:hAnsiTheme="minorHAnsi" w:cstheme="minorHAnsi"/>
          <w:b/>
        </w:rPr>
        <w:t xml:space="preserve">Asset </w:t>
      </w:r>
      <w:r w:rsidR="00035DEB">
        <w:rPr>
          <w:rFonts w:asciiTheme="minorHAnsi" w:hAnsiTheme="minorHAnsi" w:cstheme="minorHAnsi"/>
          <w:b/>
        </w:rPr>
        <w:t>Increase</w:t>
      </w:r>
      <w:r w:rsidR="00632A09">
        <w:rPr>
          <w:rFonts w:asciiTheme="minorHAnsi" w:hAnsiTheme="minorHAnsi" w:cstheme="minorHAnsi"/>
          <w:b/>
        </w:rPr>
        <w:t>s</w:t>
      </w:r>
      <w:r w:rsidR="00EE56C3">
        <w:rPr>
          <w:rFonts w:asciiTheme="minorHAnsi" w:hAnsiTheme="minorHAnsi" w:cstheme="minorHAnsi"/>
          <w:b/>
        </w:rPr>
        <w:t xml:space="preserve"> </w:t>
      </w:r>
      <w:r w:rsidR="00157707">
        <w:rPr>
          <w:rFonts w:asciiTheme="minorHAnsi" w:hAnsiTheme="minorHAnsi" w:cstheme="minorHAnsi"/>
          <w:b/>
        </w:rPr>
        <w:t xml:space="preserve">Significantly </w:t>
      </w:r>
      <w:r w:rsidR="00632A09">
        <w:rPr>
          <w:rFonts w:asciiTheme="minorHAnsi" w:hAnsiTheme="minorHAnsi" w:cstheme="minorHAnsi"/>
          <w:b/>
        </w:rPr>
        <w:t>d</w:t>
      </w:r>
      <w:r w:rsidR="00D0720E">
        <w:rPr>
          <w:rFonts w:asciiTheme="minorHAnsi" w:hAnsiTheme="minorHAnsi" w:cstheme="minorHAnsi"/>
          <w:b/>
        </w:rPr>
        <w:t xml:space="preserve">ue to </w:t>
      </w:r>
      <w:r w:rsidR="00632A09">
        <w:rPr>
          <w:rFonts w:asciiTheme="minorHAnsi" w:hAnsiTheme="minorHAnsi" w:cstheme="minorHAnsi"/>
          <w:b/>
        </w:rPr>
        <w:t>I</w:t>
      </w:r>
      <w:r w:rsidR="00D0720E">
        <w:rPr>
          <w:rFonts w:asciiTheme="minorHAnsi" w:hAnsiTheme="minorHAnsi" w:cstheme="minorHAnsi"/>
          <w:b/>
        </w:rPr>
        <w:t>ncrease</w:t>
      </w:r>
      <w:r w:rsidR="00632A09">
        <w:rPr>
          <w:rFonts w:asciiTheme="minorHAnsi" w:hAnsiTheme="minorHAnsi" w:cstheme="minorHAnsi"/>
          <w:b/>
        </w:rPr>
        <w:t>d</w:t>
      </w:r>
      <w:r w:rsidR="00D0720E">
        <w:rPr>
          <w:rFonts w:asciiTheme="minorHAnsi" w:hAnsiTheme="minorHAnsi" w:cstheme="minorHAnsi"/>
          <w:b/>
        </w:rPr>
        <w:t xml:space="preserve"> </w:t>
      </w:r>
      <w:r>
        <w:rPr>
          <w:rFonts w:asciiTheme="minorHAnsi" w:hAnsiTheme="minorHAnsi" w:cstheme="minorHAnsi"/>
          <w:b/>
        </w:rPr>
        <w:t>C</w:t>
      </w:r>
      <w:r w:rsidR="00D0720E">
        <w:rPr>
          <w:rFonts w:asciiTheme="minorHAnsi" w:hAnsiTheme="minorHAnsi" w:cstheme="minorHAnsi"/>
          <w:b/>
        </w:rPr>
        <w:t xml:space="preserve">ommodity </w:t>
      </w:r>
      <w:r>
        <w:rPr>
          <w:rFonts w:asciiTheme="minorHAnsi" w:hAnsiTheme="minorHAnsi" w:cstheme="minorHAnsi"/>
          <w:b/>
        </w:rPr>
        <w:t>P</w:t>
      </w:r>
      <w:r w:rsidR="00D0720E">
        <w:rPr>
          <w:rFonts w:asciiTheme="minorHAnsi" w:hAnsiTheme="minorHAnsi" w:cstheme="minorHAnsi"/>
          <w:b/>
        </w:rPr>
        <w:t>rices</w:t>
      </w:r>
    </w:p>
    <w:p w14:paraId="22C88593" w14:textId="77777777" w:rsidR="00A8526E" w:rsidRDefault="00D0720E" w:rsidP="00941BC8">
      <w:pPr>
        <w:pStyle w:val="NormalWeb"/>
        <w:rPr>
          <w:rFonts w:ascii="Calibri" w:hAnsi="Calibri" w:cs="Calibri"/>
          <w:szCs w:val="22"/>
        </w:rPr>
      </w:pPr>
      <w:r>
        <w:rPr>
          <w:rFonts w:ascii="Calibri" w:hAnsi="Calibri" w:cs="Calibri"/>
          <w:b/>
          <w:bCs/>
          <w:szCs w:val="22"/>
        </w:rPr>
        <w:t>December</w:t>
      </w:r>
      <w:r w:rsidR="00DC1601">
        <w:rPr>
          <w:rFonts w:ascii="Calibri" w:hAnsi="Calibri" w:cs="Calibri"/>
          <w:b/>
          <w:bCs/>
          <w:szCs w:val="22"/>
        </w:rPr>
        <w:t xml:space="preserve"> </w:t>
      </w:r>
      <w:r>
        <w:rPr>
          <w:rFonts w:ascii="Calibri" w:hAnsi="Calibri" w:cs="Calibri"/>
          <w:b/>
          <w:bCs/>
          <w:szCs w:val="22"/>
        </w:rPr>
        <w:t>2</w:t>
      </w:r>
      <w:r w:rsidR="006C66DB">
        <w:rPr>
          <w:rFonts w:ascii="Calibri" w:hAnsi="Calibri" w:cs="Calibri"/>
          <w:b/>
          <w:bCs/>
          <w:szCs w:val="22"/>
        </w:rPr>
        <w:t>,</w:t>
      </w:r>
      <w:r w:rsidR="00941BC8" w:rsidRPr="00B9579A">
        <w:rPr>
          <w:rFonts w:ascii="Calibri" w:hAnsi="Calibri" w:cs="Calibri"/>
          <w:b/>
          <w:bCs/>
          <w:szCs w:val="22"/>
        </w:rPr>
        <w:t xml:space="preserve"> 202</w:t>
      </w:r>
      <w:r w:rsidR="00DC1601">
        <w:rPr>
          <w:rFonts w:ascii="Calibri" w:hAnsi="Calibri" w:cs="Calibri"/>
          <w:b/>
          <w:bCs/>
          <w:szCs w:val="22"/>
        </w:rPr>
        <w:t>1</w:t>
      </w:r>
      <w:r w:rsidR="00941BC8" w:rsidRPr="00B9579A">
        <w:rPr>
          <w:rFonts w:ascii="Calibri" w:hAnsi="Calibri" w:cs="Calibri"/>
          <w:b/>
          <w:bCs/>
          <w:szCs w:val="22"/>
        </w:rPr>
        <w:t xml:space="preserve"> - Vancouver, BC - Trillion Energy International Inc. (“Trillion” or the “Company”) </w:t>
      </w:r>
      <w:r w:rsidR="00941BC8" w:rsidRPr="00B9579A">
        <w:rPr>
          <w:rFonts w:ascii="Calibri" w:hAnsi="Calibri" w:cs="Calibri"/>
          <w:bCs/>
          <w:szCs w:val="22"/>
        </w:rPr>
        <w:t>(CSE: TCF) (OTC: TCFF) (Frankfurt: 3P2N</w:t>
      </w:r>
      <w:r w:rsidR="00941BC8" w:rsidRPr="00B9579A">
        <w:rPr>
          <w:rFonts w:ascii="Calibri" w:hAnsi="Calibri" w:cs="Calibri"/>
          <w:szCs w:val="22"/>
          <w:lang w:val="en-CA"/>
        </w:rPr>
        <w:t>)</w:t>
      </w:r>
      <w:r w:rsidR="000C4D9A">
        <w:rPr>
          <w:rFonts w:ascii="Calibri" w:hAnsi="Calibri" w:cs="Calibri"/>
          <w:szCs w:val="22"/>
        </w:rPr>
        <w:t xml:space="preserve"> </w:t>
      </w:r>
      <w:r w:rsidR="00A61B9C">
        <w:rPr>
          <w:rFonts w:ascii="Calibri" w:hAnsi="Calibri" w:cs="Calibri"/>
          <w:szCs w:val="22"/>
        </w:rPr>
        <w:t xml:space="preserve">is pleased </w:t>
      </w:r>
      <w:r w:rsidR="006C1D38">
        <w:rPr>
          <w:rFonts w:ascii="Calibri" w:hAnsi="Calibri" w:cs="Calibri"/>
          <w:szCs w:val="22"/>
        </w:rPr>
        <w:t xml:space="preserve">to </w:t>
      </w:r>
      <w:r w:rsidR="00A61B9C">
        <w:rPr>
          <w:rFonts w:ascii="Calibri" w:hAnsi="Calibri" w:cs="Calibri"/>
          <w:szCs w:val="22"/>
        </w:rPr>
        <w:t xml:space="preserve">announce </w:t>
      </w:r>
      <w:r w:rsidR="003D1C6A">
        <w:rPr>
          <w:rFonts w:ascii="Calibri" w:hAnsi="Calibri" w:cs="Calibri"/>
          <w:szCs w:val="22"/>
        </w:rPr>
        <w:t xml:space="preserve">completion of </w:t>
      </w:r>
      <w:r w:rsidR="00EE4EC2">
        <w:rPr>
          <w:rFonts w:ascii="Calibri" w:hAnsi="Calibri" w:cs="Calibri"/>
          <w:szCs w:val="22"/>
        </w:rPr>
        <w:t xml:space="preserve">an update to its </w:t>
      </w:r>
      <w:r w:rsidR="00582338">
        <w:rPr>
          <w:rFonts w:ascii="Calibri" w:hAnsi="Calibri" w:cs="Calibri"/>
          <w:szCs w:val="22"/>
        </w:rPr>
        <w:t>reserve</w:t>
      </w:r>
      <w:r w:rsidR="00EE4EC2">
        <w:rPr>
          <w:rFonts w:ascii="Calibri" w:hAnsi="Calibri" w:cs="Calibri"/>
          <w:szCs w:val="22"/>
        </w:rPr>
        <w:t>s</w:t>
      </w:r>
      <w:r w:rsidR="00582338">
        <w:rPr>
          <w:rFonts w:ascii="Calibri" w:hAnsi="Calibri" w:cs="Calibri"/>
          <w:szCs w:val="22"/>
        </w:rPr>
        <w:t xml:space="preserve"> </w:t>
      </w:r>
      <w:r w:rsidR="00EE4EC2">
        <w:rPr>
          <w:rFonts w:ascii="Calibri" w:hAnsi="Calibri" w:cs="Calibri"/>
          <w:szCs w:val="22"/>
        </w:rPr>
        <w:t xml:space="preserve">and resources </w:t>
      </w:r>
      <w:r w:rsidR="008E2026">
        <w:rPr>
          <w:rFonts w:ascii="Calibri" w:hAnsi="Calibri" w:cs="Calibri"/>
          <w:szCs w:val="22"/>
        </w:rPr>
        <w:t xml:space="preserve">for the SASB Gas field </w:t>
      </w:r>
      <w:r w:rsidR="00BC69B1">
        <w:rPr>
          <w:rFonts w:ascii="Calibri" w:hAnsi="Calibri" w:cs="Calibri"/>
          <w:szCs w:val="22"/>
        </w:rPr>
        <w:t xml:space="preserve">(the “Report”) </w:t>
      </w:r>
      <w:r w:rsidR="008E2026">
        <w:rPr>
          <w:rFonts w:ascii="Calibri" w:hAnsi="Calibri" w:cs="Calibri"/>
          <w:szCs w:val="22"/>
        </w:rPr>
        <w:t xml:space="preserve">as </w:t>
      </w:r>
      <w:r w:rsidR="00582338">
        <w:rPr>
          <w:rFonts w:ascii="Calibri" w:hAnsi="Calibri" w:cs="Calibri"/>
          <w:szCs w:val="22"/>
        </w:rPr>
        <w:t>prepared by GLJ</w:t>
      </w:r>
      <w:r w:rsidR="008E2026">
        <w:rPr>
          <w:rFonts w:ascii="Calibri" w:hAnsi="Calibri" w:cs="Calibri"/>
          <w:szCs w:val="22"/>
        </w:rPr>
        <w:t>, Ltd</w:t>
      </w:r>
      <w:r w:rsidR="00582338">
        <w:rPr>
          <w:rFonts w:ascii="Calibri" w:hAnsi="Calibri" w:cs="Calibri"/>
          <w:szCs w:val="22"/>
        </w:rPr>
        <w:t xml:space="preserve"> (“GLJ”), an independent third</w:t>
      </w:r>
      <w:r w:rsidR="00DF3490">
        <w:rPr>
          <w:rFonts w:ascii="Calibri" w:hAnsi="Calibri" w:cs="Calibri"/>
          <w:szCs w:val="22"/>
        </w:rPr>
        <w:t>-</w:t>
      </w:r>
      <w:r w:rsidR="00582338">
        <w:rPr>
          <w:rFonts w:ascii="Calibri" w:hAnsi="Calibri" w:cs="Calibri"/>
          <w:szCs w:val="22"/>
        </w:rPr>
        <w:t>party consulting</w:t>
      </w:r>
      <w:r w:rsidR="008E2026">
        <w:rPr>
          <w:rFonts w:ascii="Calibri" w:hAnsi="Calibri" w:cs="Calibri"/>
          <w:szCs w:val="22"/>
        </w:rPr>
        <w:t xml:space="preserve"> firm</w:t>
      </w:r>
      <w:r w:rsidR="00582338">
        <w:rPr>
          <w:rFonts w:ascii="Calibri" w:hAnsi="Calibri" w:cs="Calibri"/>
          <w:szCs w:val="22"/>
        </w:rPr>
        <w:t>.</w:t>
      </w:r>
      <w:r w:rsidR="00F16CCF">
        <w:rPr>
          <w:rFonts w:ascii="Calibri" w:hAnsi="Calibri" w:cs="Calibri"/>
          <w:szCs w:val="22"/>
        </w:rPr>
        <w:t xml:space="preserve"> </w:t>
      </w:r>
    </w:p>
    <w:p w14:paraId="733E7318" w14:textId="7D68861C" w:rsidR="00B524CC" w:rsidRDefault="00726F3F" w:rsidP="00941BC8">
      <w:pPr>
        <w:pStyle w:val="NormalWeb"/>
        <w:rPr>
          <w:rFonts w:ascii="Calibri" w:hAnsi="Calibri" w:cs="Calibri"/>
          <w:szCs w:val="22"/>
        </w:rPr>
      </w:pPr>
      <w:r>
        <w:rPr>
          <w:rFonts w:ascii="Calibri" w:hAnsi="Calibri" w:cs="Calibri"/>
          <w:szCs w:val="22"/>
        </w:rPr>
        <w:t>T</w:t>
      </w:r>
      <w:r w:rsidR="00F16CCF">
        <w:rPr>
          <w:rFonts w:ascii="Calibri" w:hAnsi="Calibri" w:cs="Calibri"/>
          <w:szCs w:val="22"/>
        </w:rPr>
        <w:t xml:space="preserve">he Company assessed </w:t>
      </w:r>
      <w:r>
        <w:rPr>
          <w:rFonts w:ascii="Calibri" w:hAnsi="Calibri" w:cs="Calibri"/>
          <w:szCs w:val="22"/>
        </w:rPr>
        <w:t xml:space="preserve">its natural gas </w:t>
      </w:r>
      <w:r w:rsidR="00F16CCF">
        <w:rPr>
          <w:rFonts w:ascii="Calibri" w:hAnsi="Calibri" w:cs="Calibri"/>
          <w:szCs w:val="22"/>
        </w:rPr>
        <w:t>resources</w:t>
      </w:r>
      <w:r w:rsidR="002865C9">
        <w:rPr>
          <w:rFonts w:ascii="Calibri" w:hAnsi="Calibri" w:cs="Calibri"/>
          <w:szCs w:val="22"/>
        </w:rPr>
        <w:t xml:space="preserve"> </w:t>
      </w:r>
      <w:r w:rsidR="00DF616D">
        <w:rPr>
          <w:rFonts w:ascii="Calibri" w:hAnsi="Calibri" w:cs="Calibri"/>
          <w:szCs w:val="22"/>
        </w:rPr>
        <w:t xml:space="preserve">it plans to develop in its </w:t>
      </w:r>
      <w:r w:rsidR="00B62B2E">
        <w:rPr>
          <w:rFonts w:ascii="Calibri" w:hAnsi="Calibri" w:cs="Calibri"/>
          <w:szCs w:val="22"/>
        </w:rPr>
        <w:t>P</w:t>
      </w:r>
      <w:r w:rsidR="00DF616D">
        <w:rPr>
          <w:rFonts w:ascii="Calibri" w:hAnsi="Calibri" w:cs="Calibri"/>
          <w:szCs w:val="22"/>
        </w:rPr>
        <w:t xml:space="preserve">hase III and </w:t>
      </w:r>
      <w:r w:rsidR="00B62B2E">
        <w:rPr>
          <w:rFonts w:ascii="Calibri" w:hAnsi="Calibri" w:cs="Calibri"/>
          <w:szCs w:val="22"/>
        </w:rPr>
        <w:t>P</w:t>
      </w:r>
      <w:r w:rsidR="00DF616D">
        <w:rPr>
          <w:rFonts w:ascii="Calibri" w:hAnsi="Calibri" w:cs="Calibri"/>
          <w:szCs w:val="22"/>
        </w:rPr>
        <w:t>hase IV development programs set to commence mid-2022</w:t>
      </w:r>
      <w:r w:rsidR="00093D4F">
        <w:rPr>
          <w:rFonts w:ascii="Calibri" w:hAnsi="Calibri" w:cs="Calibri"/>
          <w:szCs w:val="22"/>
        </w:rPr>
        <w:t>.</w:t>
      </w:r>
      <w:r w:rsidR="00CF5608">
        <w:rPr>
          <w:rFonts w:ascii="Calibri" w:hAnsi="Calibri" w:cs="Calibri"/>
          <w:szCs w:val="22"/>
        </w:rPr>
        <w:t xml:space="preserve"> The report does not contain an assessment of Phase V </w:t>
      </w:r>
      <w:r w:rsidR="00D800D1">
        <w:rPr>
          <w:rFonts w:ascii="Calibri" w:hAnsi="Calibri" w:cs="Calibri"/>
          <w:szCs w:val="22"/>
        </w:rPr>
        <w:t xml:space="preserve">gas </w:t>
      </w:r>
      <w:r w:rsidR="00A8526E">
        <w:rPr>
          <w:rFonts w:ascii="Calibri" w:hAnsi="Calibri" w:cs="Calibri"/>
          <w:szCs w:val="22"/>
        </w:rPr>
        <w:t xml:space="preserve">work program </w:t>
      </w:r>
      <w:r w:rsidR="00CF5608">
        <w:rPr>
          <w:rFonts w:ascii="Calibri" w:hAnsi="Calibri" w:cs="Calibri"/>
          <w:szCs w:val="22"/>
        </w:rPr>
        <w:t xml:space="preserve">or any of </w:t>
      </w:r>
      <w:r w:rsidR="00E91C8B">
        <w:rPr>
          <w:rFonts w:ascii="Calibri" w:hAnsi="Calibri" w:cs="Calibri"/>
          <w:szCs w:val="22"/>
        </w:rPr>
        <w:t xml:space="preserve">the Company’s </w:t>
      </w:r>
      <w:r w:rsidR="00CF5608">
        <w:rPr>
          <w:rFonts w:ascii="Calibri" w:hAnsi="Calibri" w:cs="Calibri"/>
          <w:szCs w:val="22"/>
        </w:rPr>
        <w:t>oil properties.</w:t>
      </w:r>
    </w:p>
    <w:p w14:paraId="0D7A5B6B" w14:textId="74D0B9E2" w:rsidR="00A476CA" w:rsidRPr="00D800D1" w:rsidRDefault="00360EEC" w:rsidP="00EA5DD7">
      <w:pPr>
        <w:pStyle w:val="NormalWeb"/>
        <w:rPr>
          <w:rFonts w:ascii="Calibri" w:hAnsi="Calibri" w:cs="Calibri"/>
          <w:b/>
          <w:bCs/>
          <w:szCs w:val="22"/>
          <w:u w:val="single"/>
        </w:rPr>
      </w:pPr>
      <w:r w:rsidRPr="00D800D1">
        <w:rPr>
          <w:rFonts w:ascii="Calibri" w:hAnsi="Calibri" w:cs="Calibri"/>
          <w:b/>
          <w:bCs/>
          <w:szCs w:val="22"/>
          <w:u w:val="single"/>
        </w:rPr>
        <w:t>R</w:t>
      </w:r>
      <w:r w:rsidR="006A08E2" w:rsidRPr="00D800D1">
        <w:rPr>
          <w:rFonts w:ascii="Calibri" w:hAnsi="Calibri" w:cs="Calibri"/>
          <w:b/>
          <w:bCs/>
          <w:szCs w:val="22"/>
          <w:u w:val="single"/>
        </w:rPr>
        <w:t xml:space="preserve">eport </w:t>
      </w:r>
      <w:r w:rsidRPr="00D800D1">
        <w:rPr>
          <w:rFonts w:ascii="Calibri" w:hAnsi="Calibri" w:cs="Calibri"/>
          <w:b/>
          <w:bCs/>
          <w:szCs w:val="22"/>
          <w:u w:val="single"/>
        </w:rPr>
        <w:t>S</w:t>
      </w:r>
      <w:r w:rsidR="00093D4F" w:rsidRPr="00D800D1">
        <w:rPr>
          <w:rFonts w:ascii="Calibri" w:hAnsi="Calibri" w:cs="Calibri"/>
          <w:b/>
          <w:bCs/>
          <w:szCs w:val="22"/>
          <w:u w:val="single"/>
        </w:rPr>
        <w:t>ummary</w:t>
      </w:r>
      <w:r w:rsidR="00CE105A">
        <w:rPr>
          <w:rFonts w:ascii="Calibri" w:hAnsi="Calibri" w:cs="Calibri"/>
          <w:b/>
          <w:bCs/>
          <w:szCs w:val="22"/>
          <w:u w:val="single"/>
        </w:rPr>
        <w:t xml:space="preserve"> </w:t>
      </w:r>
      <w:r w:rsidR="0048239A">
        <w:rPr>
          <w:rFonts w:ascii="Calibri" w:hAnsi="Calibri" w:cs="Calibri"/>
          <w:b/>
          <w:bCs/>
          <w:szCs w:val="22"/>
          <w:u w:val="single"/>
        </w:rPr>
        <w:t>N</w:t>
      </w:r>
      <w:r w:rsidR="00CE105A">
        <w:rPr>
          <w:rFonts w:ascii="Calibri" w:hAnsi="Calibri" w:cs="Calibri"/>
          <w:b/>
          <w:bCs/>
          <w:szCs w:val="22"/>
          <w:u w:val="single"/>
        </w:rPr>
        <w:t>et to Trillion</w:t>
      </w:r>
    </w:p>
    <w:p w14:paraId="4089A8F7" w14:textId="265B1691" w:rsidR="00026A34" w:rsidRDefault="0081216F" w:rsidP="003D2736">
      <w:pPr>
        <w:pStyle w:val="NormalWeb"/>
        <w:rPr>
          <w:rFonts w:ascii="Calibri" w:hAnsi="Calibri" w:cs="Calibri"/>
          <w:szCs w:val="22"/>
        </w:rPr>
      </w:pPr>
      <w:r>
        <w:rPr>
          <w:rFonts w:ascii="Calibri" w:hAnsi="Calibri" w:cs="Calibri"/>
          <w:szCs w:val="22"/>
        </w:rPr>
        <w:t>The c</w:t>
      </w:r>
      <w:r w:rsidR="00AF591D">
        <w:rPr>
          <w:rFonts w:ascii="Calibri" w:hAnsi="Calibri" w:cs="Calibri"/>
          <w:szCs w:val="22"/>
        </w:rPr>
        <w:t xml:space="preserve">ombined </w:t>
      </w:r>
      <w:r w:rsidR="000442DA">
        <w:rPr>
          <w:rFonts w:ascii="Calibri" w:hAnsi="Calibri" w:cs="Calibri"/>
          <w:szCs w:val="22"/>
        </w:rPr>
        <w:t xml:space="preserve">net present value discounted at 10% </w:t>
      </w:r>
      <w:r w:rsidR="00026A34">
        <w:rPr>
          <w:rFonts w:ascii="Calibri" w:hAnsi="Calibri" w:cs="Calibri"/>
          <w:szCs w:val="22"/>
        </w:rPr>
        <w:t>(“</w:t>
      </w:r>
      <w:r w:rsidR="00AF591D">
        <w:rPr>
          <w:rFonts w:ascii="Calibri" w:hAnsi="Calibri" w:cs="Calibri"/>
          <w:szCs w:val="22"/>
        </w:rPr>
        <w:t>NPV10%</w:t>
      </w:r>
      <w:r w:rsidR="00026A34">
        <w:rPr>
          <w:rFonts w:ascii="Calibri" w:hAnsi="Calibri" w:cs="Calibri"/>
          <w:szCs w:val="22"/>
        </w:rPr>
        <w:t>”)</w:t>
      </w:r>
      <w:r w:rsidR="00AF591D">
        <w:rPr>
          <w:rFonts w:ascii="Calibri" w:hAnsi="Calibri" w:cs="Calibri"/>
          <w:szCs w:val="22"/>
        </w:rPr>
        <w:t xml:space="preserve"> </w:t>
      </w:r>
      <w:r w:rsidR="0039569C">
        <w:rPr>
          <w:rFonts w:ascii="Calibri" w:hAnsi="Calibri" w:cs="Calibri"/>
          <w:szCs w:val="22"/>
        </w:rPr>
        <w:t xml:space="preserve">for the </w:t>
      </w:r>
      <w:r w:rsidR="00AF591D">
        <w:rPr>
          <w:rFonts w:ascii="Calibri" w:hAnsi="Calibri" w:cs="Calibri"/>
          <w:szCs w:val="22"/>
        </w:rPr>
        <w:t xml:space="preserve">2P </w:t>
      </w:r>
      <w:r w:rsidR="00D800D1">
        <w:rPr>
          <w:rFonts w:ascii="Calibri" w:hAnsi="Calibri" w:cs="Calibri"/>
          <w:szCs w:val="22"/>
        </w:rPr>
        <w:t>gas r</w:t>
      </w:r>
      <w:r w:rsidR="003A1244">
        <w:rPr>
          <w:rFonts w:ascii="Calibri" w:hAnsi="Calibri" w:cs="Calibri"/>
          <w:szCs w:val="22"/>
        </w:rPr>
        <w:t>eserve</w:t>
      </w:r>
      <w:r w:rsidR="000442DA">
        <w:rPr>
          <w:rFonts w:ascii="Calibri" w:hAnsi="Calibri" w:cs="Calibri"/>
          <w:szCs w:val="22"/>
        </w:rPr>
        <w:t>s</w:t>
      </w:r>
      <w:r w:rsidR="003A1244">
        <w:rPr>
          <w:rFonts w:ascii="Calibri" w:hAnsi="Calibri" w:cs="Calibri"/>
          <w:szCs w:val="22"/>
        </w:rPr>
        <w:t xml:space="preserve"> </w:t>
      </w:r>
      <w:r w:rsidR="000442DA">
        <w:rPr>
          <w:rFonts w:ascii="Calibri" w:hAnsi="Calibri" w:cs="Calibri"/>
          <w:szCs w:val="22"/>
        </w:rPr>
        <w:t xml:space="preserve">plus </w:t>
      </w:r>
      <w:r w:rsidR="0039569C">
        <w:rPr>
          <w:rFonts w:ascii="Calibri" w:hAnsi="Calibri" w:cs="Calibri"/>
          <w:szCs w:val="22"/>
        </w:rPr>
        <w:t xml:space="preserve">risked </w:t>
      </w:r>
      <w:r w:rsidR="003A1244">
        <w:rPr>
          <w:rFonts w:ascii="Calibri" w:hAnsi="Calibri" w:cs="Calibri"/>
          <w:szCs w:val="22"/>
        </w:rPr>
        <w:t>m</w:t>
      </w:r>
      <w:r w:rsidR="00AF591D">
        <w:rPr>
          <w:rFonts w:ascii="Calibri" w:hAnsi="Calibri" w:cs="Calibri"/>
          <w:szCs w:val="22"/>
        </w:rPr>
        <w:t xml:space="preserve">edium </w:t>
      </w:r>
      <w:r w:rsidR="0039569C">
        <w:rPr>
          <w:rFonts w:ascii="Calibri" w:hAnsi="Calibri" w:cs="Calibri"/>
          <w:szCs w:val="22"/>
        </w:rPr>
        <w:t xml:space="preserve">case </w:t>
      </w:r>
      <w:r w:rsidR="00AF591D">
        <w:rPr>
          <w:rFonts w:ascii="Calibri" w:hAnsi="Calibri" w:cs="Calibri"/>
          <w:szCs w:val="22"/>
        </w:rPr>
        <w:t>estimate</w:t>
      </w:r>
      <w:r w:rsidR="0039569C">
        <w:rPr>
          <w:rFonts w:ascii="Calibri" w:hAnsi="Calibri" w:cs="Calibri"/>
          <w:szCs w:val="22"/>
        </w:rPr>
        <w:t xml:space="preserve"> of </w:t>
      </w:r>
      <w:r w:rsidR="00D800D1">
        <w:rPr>
          <w:rFonts w:ascii="Calibri" w:hAnsi="Calibri" w:cs="Calibri"/>
          <w:szCs w:val="22"/>
        </w:rPr>
        <w:t xml:space="preserve">gas </w:t>
      </w:r>
      <w:r w:rsidR="0039569C">
        <w:rPr>
          <w:rFonts w:ascii="Calibri" w:hAnsi="Calibri" w:cs="Calibri"/>
          <w:szCs w:val="22"/>
        </w:rPr>
        <w:t>p</w:t>
      </w:r>
      <w:r w:rsidR="000442DA">
        <w:rPr>
          <w:rFonts w:ascii="Calibri" w:hAnsi="Calibri" w:cs="Calibri"/>
          <w:szCs w:val="22"/>
        </w:rPr>
        <w:t xml:space="preserve">rospects </w:t>
      </w:r>
      <w:r w:rsidR="003F4988">
        <w:rPr>
          <w:rFonts w:ascii="Calibri" w:hAnsi="Calibri" w:cs="Calibri"/>
          <w:szCs w:val="22"/>
        </w:rPr>
        <w:t>is US</w:t>
      </w:r>
      <w:r w:rsidR="000442DA">
        <w:rPr>
          <w:rFonts w:ascii="Calibri" w:hAnsi="Calibri" w:cs="Calibri"/>
          <w:szCs w:val="22"/>
        </w:rPr>
        <w:t>D</w:t>
      </w:r>
      <w:r w:rsidR="003F4988">
        <w:rPr>
          <w:rFonts w:ascii="Calibri" w:hAnsi="Calibri" w:cs="Calibri"/>
          <w:szCs w:val="22"/>
        </w:rPr>
        <w:t xml:space="preserve"> </w:t>
      </w:r>
      <w:r w:rsidR="0039569C" w:rsidRPr="0039569C">
        <w:rPr>
          <w:rFonts w:ascii="Calibri" w:hAnsi="Calibri" w:cs="Calibri"/>
          <w:szCs w:val="22"/>
        </w:rPr>
        <w:t>$169.3</w:t>
      </w:r>
      <w:r w:rsidR="003F4988">
        <w:rPr>
          <w:rFonts w:ascii="Calibri" w:hAnsi="Calibri" w:cs="Calibri"/>
          <w:szCs w:val="22"/>
        </w:rPr>
        <w:t xml:space="preserve"> Million</w:t>
      </w:r>
      <w:r w:rsidR="0039569C">
        <w:rPr>
          <w:rFonts w:ascii="Calibri" w:hAnsi="Calibri" w:cs="Calibri"/>
          <w:szCs w:val="22"/>
        </w:rPr>
        <w:t xml:space="preserve"> (CND</w:t>
      </w:r>
      <w:r w:rsidR="0039569C" w:rsidRPr="0039569C">
        <w:rPr>
          <w:rFonts w:ascii="Calibri" w:hAnsi="Calibri" w:cs="Calibri"/>
          <w:szCs w:val="22"/>
        </w:rPr>
        <w:t>$216</w:t>
      </w:r>
      <w:r w:rsidR="0039569C">
        <w:rPr>
          <w:rFonts w:ascii="Calibri" w:hAnsi="Calibri" w:cs="Calibri"/>
          <w:szCs w:val="22"/>
        </w:rPr>
        <w:t>m)</w:t>
      </w:r>
      <w:r w:rsidR="002F512C">
        <w:rPr>
          <w:rFonts w:ascii="Calibri" w:hAnsi="Calibri" w:cs="Calibri"/>
          <w:szCs w:val="22"/>
        </w:rPr>
        <w:t xml:space="preserve"> </w:t>
      </w:r>
      <w:r w:rsidR="0039569C">
        <w:rPr>
          <w:rFonts w:ascii="Calibri" w:hAnsi="Calibri" w:cs="Calibri"/>
          <w:szCs w:val="22"/>
        </w:rPr>
        <w:t xml:space="preserve">up from </w:t>
      </w:r>
      <w:r w:rsidR="00026A34">
        <w:rPr>
          <w:rFonts w:ascii="Calibri" w:hAnsi="Calibri" w:cs="Calibri"/>
          <w:szCs w:val="22"/>
        </w:rPr>
        <w:t xml:space="preserve">US </w:t>
      </w:r>
      <w:r w:rsidR="0039569C">
        <w:rPr>
          <w:rFonts w:ascii="Calibri" w:hAnsi="Calibri" w:cs="Calibri"/>
          <w:szCs w:val="22"/>
        </w:rPr>
        <w:t>$138.64</w:t>
      </w:r>
      <w:r w:rsidR="00026A34">
        <w:rPr>
          <w:rFonts w:ascii="Calibri" w:hAnsi="Calibri" w:cs="Calibri"/>
          <w:szCs w:val="22"/>
        </w:rPr>
        <w:t>.</w:t>
      </w:r>
      <w:r w:rsidR="003F4988">
        <w:rPr>
          <w:rFonts w:ascii="Calibri" w:hAnsi="Calibri" w:cs="Calibri"/>
          <w:szCs w:val="22"/>
        </w:rPr>
        <w:t xml:space="preserve"> </w:t>
      </w:r>
    </w:p>
    <w:p w14:paraId="65658C1C" w14:textId="3D26CD9D" w:rsidR="00D800D1" w:rsidRDefault="00D800D1" w:rsidP="003D2736">
      <w:pPr>
        <w:pStyle w:val="NormalWeb"/>
        <w:rPr>
          <w:rFonts w:ascii="Calibri" w:hAnsi="Calibri" w:cs="Calibri"/>
          <w:szCs w:val="22"/>
        </w:rPr>
      </w:pPr>
      <w:r>
        <w:rPr>
          <w:rFonts w:ascii="Calibri" w:hAnsi="Calibri" w:cs="Calibri"/>
          <w:szCs w:val="22"/>
        </w:rPr>
        <w:t xml:space="preserve">The combined net present value discounted at 10% (“NPV10%”) for the </w:t>
      </w:r>
      <w:r w:rsidR="003F4988">
        <w:rPr>
          <w:rFonts w:ascii="Calibri" w:hAnsi="Calibri" w:cs="Calibri"/>
          <w:szCs w:val="22"/>
        </w:rPr>
        <w:t xml:space="preserve">3P </w:t>
      </w:r>
      <w:r w:rsidR="000442DA">
        <w:rPr>
          <w:rFonts w:ascii="Calibri" w:hAnsi="Calibri" w:cs="Calibri"/>
          <w:szCs w:val="22"/>
        </w:rPr>
        <w:t>Reserves plus h</w:t>
      </w:r>
      <w:r w:rsidR="003F4988">
        <w:rPr>
          <w:rFonts w:ascii="Calibri" w:hAnsi="Calibri" w:cs="Calibri"/>
          <w:szCs w:val="22"/>
        </w:rPr>
        <w:t>igh estimates</w:t>
      </w:r>
      <w:r w:rsidR="000442DA">
        <w:rPr>
          <w:rFonts w:ascii="Calibri" w:hAnsi="Calibri" w:cs="Calibri"/>
          <w:szCs w:val="22"/>
        </w:rPr>
        <w:t xml:space="preserve"> </w:t>
      </w:r>
      <w:r w:rsidR="002149D3">
        <w:rPr>
          <w:rFonts w:ascii="Calibri" w:hAnsi="Calibri" w:cs="Calibri"/>
          <w:szCs w:val="22"/>
        </w:rPr>
        <w:t xml:space="preserve">for prospects, </w:t>
      </w:r>
      <w:r w:rsidR="00026A34">
        <w:rPr>
          <w:rFonts w:ascii="Calibri" w:hAnsi="Calibri" w:cs="Calibri"/>
          <w:szCs w:val="22"/>
        </w:rPr>
        <w:t xml:space="preserve">the </w:t>
      </w:r>
      <w:r w:rsidR="002149D3">
        <w:rPr>
          <w:rFonts w:ascii="Calibri" w:hAnsi="Calibri" w:cs="Calibri"/>
          <w:szCs w:val="22"/>
        </w:rPr>
        <w:t>NPV10</w:t>
      </w:r>
      <w:r w:rsidR="00CE105A">
        <w:rPr>
          <w:rFonts w:ascii="Calibri" w:hAnsi="Calibri" w:cs="Calibri"/>
          <w:szCs w:val="22"/>
        </w:rPr>
        <w:t>%</w:t>
      </w:r>
      <w:r w:rsidR="002149D3">
        <w:rPr>
          <w:rFonts w:ascii="Calibri" w:hAnsi="Calibri" w:cs="Calibri"/>
          <w:szCs w:val="22"/>
        </w:rPr>
        <w:t xml:space="preserve"> </w:t>
      </w:r>
      <w:r w:rsidR="003F4988">
        <w:rPr>
          <w:rFonts w:ascii="Calibri" w:hAnsi="Calibri" w:cs="Calibri"/>
          <w:szCs w:val="22"/>
        </w:rPr>
        <w:t>US</w:t>
      </w:r>
      <w:r w:rsidR="002149D3">
        <w:rPr>
          <w:rFonts w:ascii="Calibri" w:hAnsi="Calibri" w:cs="Calibri"/>
          <w:szCs w:val="22"/>
        </w:rPr>
        <w:t>D</w:t>
      </w:r>
      <w:r w:rsidR="003F4988">
        <w:rPr>
          <w:rFonts w:ascii="Calibri" w:hAnsi="Calibri" w:cs="Calibri"/>
          <w:szCs w:val="22"/>
        </w:rPr>
        <w:t xml:space="preserve"> </w:t>
      </w:r>
      <w:r w:rsidR="00026A34">
        <w:rPr>
          <w:rFonts w:ascii="Calibri" w:hAnsi="Calibri" w:cs="Calibri"/>
          <w:szCs w:val="22"/>
        </w:rPr>
        <w:t xml:space="preserve">is USD </w:t>
      </w:r>
      <w:r w:rsidR="002149D3" w:rsidRPr="002149D3">
        <w:rPr>
          <w:rFonts w:ascii="Calibri" w:hAnsi="Calibri" w:cs="Calibri"/>
          <w:szCs w:val="22"/>
        </w:rPr>
        <w:t>$288</w:t>
      </w:r>
      <w:r w:rsidR="002149D3">
        <w:rPr>
          <w:rFonts w:ascii="Calibri" w:hAnsi="Calibri" w:cs="Calibri"/>
          <w:szCs w:val="22"/>
        </w:rPr>
        <w:t xml:space="preserve">m </w:t>
      </w:r>
      <w:r w:rsidR="00026A34">
        <w:rPr>
          <w:rFonts w:ascii="Calibri" w:hAnsi="Calibri" w:cs="Calibri"/>
          <w:szCs w:val="22"/>
        </w:rPr>
        <w:t>(</w:t>
      </w:r>
      <w:r w:rsidR="00EB09A4">
        <w:rPr>
          <w:rFonts w:ascii="Calibri" w:hAnsi="Calibri" w:cs="Calibri"/>
          <w:szCs w:val="22"/>
        </w:rPr>
        <w:t>CND</w:t>
      </w:r>
      <w:r w:rsidR="00026A34">
        <w:rPr>
          <w:rFonts w:ascii="Calibri" w:hAnsi="Calibri" w:cs="Calibri"/>
          <w:szCs w:val="22"/>
        </w:rPr>
        <w:t>$367m)</w:t>
      </w:r>
      <w:r>
        <w:rPr>
          <w:rFonts w:ascii="Calibri" w:hAnsi="Calibri" w:cs="Calibri"/>
          <w:szCs w:val="22"/>
        </w:rPr>
        <w:t xml:space="preserve"> </w:t>
      </w:r>
      <w:r w:rsidR="002149D3">
        <w:rPr>
          <w:rFonts w:ascii="Calibri" w:hAnsi="Calibri" w:cs="Calibri"/>
          <w:szCs w:val="22"/>
        </w:rPr>
        <w:t xml:space="preserve">up from </w:t>
      </w:r>
      <w:r w:rsidR="00825E16">
        <w:rPr>
          <w:rFonts w:ascii="Calibri" w:hAnsi="Calibri" w:cs="Calibri"/>
          <w:szCs w:val="22"/>
        </w:rPr>
        <w:t xml:space="preserve">USD </w:t>
      </w:r>
      <w:r w:rsidR="000442DA">
        <w:rPr>
          <w:rFonts w:ascii="Calibri" w:hAnsi="Calibri" w:cs="Calibri"/>
          <w:szCs w:val="22"/>
        </w:rPr>
        <w:t>$</w:t>
      </w:r>
      <w:r w:rsidR="00CA185D">
        <w:rPr>
          <w:rFonts w:ascii="Calibri" w:hAnsi="Calibri" w:cs="Calibri"/>
          <w:szCs w:val="22"/>
        </w:rPr>
        <w:t>243.3</w:t>
      </w:r>
      <w:r w:rsidR="002149D3">
        <w:rPr>
          <w:rFonts w:ascii="Calibri" w:hAnsi="Calibri" w:cs="Calibri"/>
          <w:szCs w:val="22"/>
        </w:rPr>
        <w:t>m</w:t>
      </w:r>
      <w:r w:rsidR="003F4988">
        <w:rPr>
          <w:rFonts w:ascii="Calibri" w:hAnsi="Calibri" w:cs="Calibri"/>
          <w:szCs w:val="22"/>
        </w:rPr>
        <w:t>.</w:t>
      </w:r>
      <w:r w:rsidR="00AF591D">
        <w:rPr>
          <w:rFonts w:ascii="Calibri" w:hAnsi="Calibri" w:cs="Calibri"/>
          <w:szCs w:val="22"/>
        </w:rPr>
        <w:t xml:space="preserve"> </w:t>
      </w:r>
    </w:p>
    <w:p w14:paraId="2BEEF08C" w14:textId="65E2ADE3" w:rsidR="00750C1A" w:rsidRDefault="00750C1A" w:rsidP="003D2736">
      <w:pPr>
        <w:pStyle w:val="NormalWeb"/>
        <w:rPr>
          <w:rFonts w:ascii="Calibri" w:hAnsi="Calibri" w:cs="Calibri"/>
          <w:szCs w:val="22"/>
        </w:rPr>
      </w:pPr>
      <w:r>
        <w:rPr>
          <w:rFonts w:ascii="Calibri" w:hAnsi="Calibri" w:cs="Calibri"/>
          <w:szCs w:val="22"/>
        </w:rPr>
        <w:t>The following table summarizes the results:</w:t>
      </w:r>
    </w:p>
    <w:tbl>
      <w:tblPr>
        <w:tblStyle w:val="TableGrid"/>
        <w:tblW w:w="0" w:type="auto"/>
        <w:tblLook w:val="04A0" w:firstRow="1" w:lastRow="0" w:firstColumn="1" w:lastColumn="0" w:noHBand="0" w:noVBand="1"/>
      </w:tblPr>
      <w:tblGrid>
        <w:gridCol w:w="1975"/>
        <w:gridCol w:w="1139"/>
        <w:gridCol w:w="1263"/>
        <w:gridCol w:w="1459"/>
        <w:gridCol w:w="1459"/>
        <w:gridCol w:w="1459"/>
        <w:gridCol w:w="1460"/>
      </w:tblGrid>
      <w:tr w:rsidR="00AF591D" w:rsidRPr="00EA5DD7" w14:paraId="39CD361A" w14:textId="77777777" w:rsidTr="007E6C39">
        <w:tc>
          <w:tcPr>
            <w:tcW w:w="1975" w:type="dxa"/>
          </w:tcPr>
          <w:p w14:paraId="7F2A368A" w14:textId="7441CF4B" w:rsidR="00AF591D" w:rsidRPr="00EA5DD7" w:rsidRDefault="00AF591D" w:rsidP="00AF591D">
            <w:pPr>
              <w:pStyle w:val="NormalWeb"/>
              <w:spacing w:after="0" w:afterAutospacing="0"/>
              <w:rPr>
                <w:rFonts w:ascii="Calibri" w:hAnsi="Calibri" w:cs="Calibri"/>
                <w:b/>
                <w:bCs/>
                <w:sz w:val="22"/>
                <w:szCs w:val="22"/>
              </w:rPr>
            </w:pPr>
            <w:r w:rsidRPr="00EA5DD7">
              <w:rPr>
                <w:rFonts w:ascii="Calibri" w:hAnsi="Calibri" w:cs="Calibri"/>
                <w:b/>
                <w:bCs/>
                <w:sz w:val="22"/>
                <w:szCs w:val="22"/>
              </w:rPr>
              <w:t>Item</w:t>
            </w:r>
          </w:p>
        </w:tc>
        <w:tc>
          <w:tcPr>
            <w:tcW w:w="1139" w:type="dxa"/>
          </w:tcPr>
          <w:p w14:paraId="117B5747" w14:textId="1136BEF7" w:rsidR="00AF591D" w:rsidRPr="00EA5DD7" w:rsidRDefault="00AF591D" w:rsidP="00AF591D">
            <w:pPr>
              <w:pStyle w:val="NormalWeb"/>
              <w:spacing w:after="0" w:afterAutospacing="0"/>
              <w:rPr>
                <w:rFonts w:ascii="Calibri" w:hAnsi="Calibri" w:cs="Calibri"/>
                <w:b/>
                <w:bCs/>
                <w:sz w:val="22"/>
                <w:szCs w:val="22"/>
              </w:rPr>
            </w:pPr>
            <w:r w:rsidRPr="00EA5DD7">
              <w:rPr>
                <w:rFonts w:ascii="Calibri" w:hAnsi="Calibri" w:cs="Calibri"/>
                <w:b/>
                <w:bCs/>
                <w:sz w:val="22"/>
                <w:szCs w:val="22"/>
              </w:rPr>
              <w:t>Class</w:t>
            </w:r>
          </w:p>
        </w:tc>
        <w:tc>
          <w:tcPr>
            <w:tcW w:w="1263" w:type="dxa"/>
          </w:tcPr>
          <w:p w14:paraId="43CFFE1C" w14:textId="6A85E516" w:rsidR="00AF591D" w:rsidRPr="00EA5DD7" w:rsidRDefault="00AF591D" w:rsidP="00AF591D">
            <w:pPr>
              <w:pStyle w:val="NormalWeb"/>
              <w:spacing w:after="0" w:afterAutospacing="0"/>
              <w:rPr>
                <w:rFonts w:ascii="Calibri" w:hAnsi="Calibri" w:cs="Calibri"/>
                <w:b/>
                <w:bCs/>
                <w:sz w:val="22"/>
                <w:szCs w:val="22"/>
              </w:rPr>
            </w:pPr>
            <w:proofErr w:type="gramStart"/>
            <w:r w:rsidRPr="00EA5DD7">
              <w:rPr>
                <w:rFonts w:ascii="Calibri" w:hAnsi="Calibri" w:cs="Calibri"/>
                <w:b/>
                <w:bCs/>
                <w:sz w:val="22"/>
                <w:szCs w:val="22"/>
              </w:rPr>
              <w:t>B</w:t>
            </w:r>
            <w:r w:rsidR="00E014C0">
              <w:rPr>
                <w:rFonts w:ascii="Calibri" w:hAnsi="Calibri" w:cs="Calibri"/>
                <w:b/>
                <w:bCs/>
                <w:sz w:val="22"/>
                <w:szCs w:val="22"/>
              </w:rPr>
              <w:t>CF</w:t>
            </w:r>
            <w:r w:rsidR="004B2219" w:rsidRPr="00A47E70">
              <w:rPr>
                <w:rFonts w:ascii="Calibri" w:hAnsi="Calibri" w:cs="Calibri"/>
                <w:sz w:val="20"/>
                <w:szCs w:val="20"/>
                <w:vertAlign w:val="superscript"/>
              </w:rPr>
              <w:t>(</w:t>
            </w:r>
            <w:proofErr w:type="gramEnd"/>
            <w:r w:rsidR="004B2219" w:rsidRPr="00A47E70">
              <w:rPr>
                <w:rFonts w:ascii="Calibri" w:hAnsi="Calibri" w:cs="Calibri"/>
                <w:sz w:val="20"/>
                <w:szCs w:val="20"/>
                <w:vertAlign w:val="superscript"/>
              </w:rPr>
              <w:t>1)</w:t>
            </w:r>
          </w:p>
        </w:tc>
        <w:tc>
          <w:tcPr>
            <w:tcW w:w="1459" w:type="dxa"/>
          </w:tcPr>
          <w:p w14:paraId="1D543E4F" w14:textId="0792E075" w:rsidR="00AF591D" w:rsidRPr="00EA5DD7" w:rsidRDefault="00AF591D" w:rsidP="00AF591D">
            <w:pPr>
              <w:pStyle w:val="NormalWeb"/>
              <w:spacing w:after="0" w:afterAutospacing="0"/>
              <w:rPr>
                <w:rFonts w:ascii="Calibri" w:hAnsi="Calibri" w:cs="Calibri"/>
                <w:b/>
                <w:bCs/>
                <w:sz w:val="22"/>
                <w:szCs w:val="22"/>
              </w:rPr>
            </w:pPr>
            <w:r w:rsidRPr="00EA5DD7">
              <w:rPr>
                <w:rFonts w:ascii="Calibri" w:hAnsi="Calibri" w:cs="Calibri"/>
                <w:b/>
                <w:bCs/>
                <w:sz w:val="20"/>
                <w:szCs w:val="20"/>
              </w:rPr>
              <w:t xml:space="preserve">NPV10% $US </w:t>
            </w:r>
            <w:proofErr w:type="gramStart"/>
            <w:r w:rsidRPr="00EA5DD7">
              <w:rPr>
                <w:rFonts w:ascii="Calibri" w:hAnsi="Calibri" w:cs="Calibri"/>
                <w:b/>
                <w:bCs/>
                <w:sz w:val="20"/>
                <w:szCs w:val="20"/>
              </w:rPr>
              <w:t>Million</w:t>
            </w:r>
            <w:r w:rsidR="004B2219" w:rsidRPr="00A47E70">
              <w:rPr>
                <w:rFonts w:ascii="Calibri" w:hAnsi="Calibri" w:cs="Calibri"/>
                <w:sz w:val="20"/>
                <w:szCs w:val="20"/>
                <w:vertAlign w:val="superscript"/>
              </w:rPr>
              <w:t>(</w:t>
            </w:r>
            <w:proofErr w:type="gramEnd"/>
            <w:r w:rsidR="004B2219">
              <w:rPr>
                <w:rFonts w:ascii="Calibri" w:hAnsi="Calibri" w:cs="Calibri"/>
                <w:sz w:val="20"/>
                <w:szCs w:val="20"/>
                <w:vertAlign w:val="superscript"/>
              </w:rPr>
              <w:t>2</w:t>
            </w:r>
            <w:r w:rsidR="004B2219" w:rsidRPr="00A47E70">
              <w:rPr>
                <w:rFonts w:ascii="Calibri" w:hAnsi="Calibri" w:cs="Calibri"/>
                <w:sz w:val="20"/>
                <w:szCs w:val="20"/>
                <w:vertAlign w:val="superscript"/>
              </w:rPr>
              <w:t>)</w:t>
            </w:r>
          </w:p>
        </w:tc>
        <w:tc>
          <w:tcPr>
            <w:tcW w:w="1459" w:type="dxa"/>
          </w:tcPr>
          <w:p w14:paraId="43E710C6" w14:textId="49D134C9" w:rsidR="00AF591D" w:rsidRPr="00EA5DD7" w:rsidRDefault="00AF591D" w:rsidP="00AF591D">
            <w:pPr>
              <w:pStyle w:val="NormalWeb"/>
              <w:spacing w:after="0" w:afterAutospacing="0"/>
              <w:rPr>
                <w:rFonts w:ascii="Calibri" w:hAnsi="Calibri" w:cs="Calibri"/>
                <w:b/>
                <w:bCs/>
                <w:sz w:val="22"/>
                <w:szCs w:val="22"/>
              </w:rPr>
            </w:pPr>
            <w:r w:rsidRPr="00EA5DD7">
              <w:rPr>
                <w:rFonts w:ascii="Calibri" w:hAnsi="Calibri" w:cs="Calibri"/>
                <w:b/>
                <w:bCs/>
                <w:sz w:val="22"/>
                <w:szCs w:val="22"/>
              </w:rPr>
              <w:t>Class</w:t>
            </w:r>
          </w:p>
        </w:tc>
        <w:tc>
          <w:tcPr>
            <w:tcW w:w="1459" w:type="dxa"/>
          </w:tcPr>
          <w:p w14:paraId="127B5EFD" w14:textId="4AD137AC" w:rsidR="00AF591D" w:rsidRPr="00EA5DD7" w:rsidRDefault="00AF591D" w:rsidP="00AF591D">
            <w:pPr>
              <w:pStyle w:val="NormalWeb"/>
              <w:spacing w:after="0" w:afterAutospacing="0"/>
              <w:rPr>
                <w:rFonts w:ascii="Calibri" w:hAnsi="Calibri" w:cs="Calibri"/>
                <w:b/>
                <w:bCs/>
                <w:sz w:val="22"/>
                <w:szCs w:val="22"/>
              </w:rPr>
            </w:pPr>
            <w:proofErr w:type="spellStart"/>
            <w:proofErr w:type="gramStart"/>
            <w:r w:rsidRPr="00EA5DD7">
              <w:rPr>
                <w:rFonts w:ascii="Calibri" w:hAnsi="Calibri" w:cs="Calibri"/>
                <w:b/>
                <w:bCs/>
                <w:sz w:val="22"/>
                <w:szCs w:val="22"/>
              </w:rPr>
              <w:t>Bcf</w:t>
            </w:r>
            <w:proofErr w:type="spellEnd"/>
            <w:r w:rsidR="004B2219" w:rsidRPr="00A47E70">
              <w:rPr>
                <w:rFonts w:ascii="Calibri" w:hAnsi="Calibri" w:cs="Calibri"/>
                <w:sz w:val="20"/>
                <w:szCs w:val="20"/>
                <w:vertAlign w:val="superscript"/>
              </w:rPr>
              <w:t>(</w:t>
            </w:r>
            <w:proofErr w:type="gramEnd"/>
            <w:r w:rsidR="004B2219" w:rsidRPr="00A47E70">
              <w:rPr>
                <w:rFonts w:ascii="Calibri" w:hAnsi="Calibri" w:cs="Calibri"/>
                <w:sz w:val="20"/>
                <w:szCs w:val="20"/>
                <w:vertAlign w:val="superscript"/>
              </w:rPr>
              <w:t>1)</w:t>
            </w:r>
          </w:p>
        </w:tc>
        <w:tc>
          <w:tcPr>
            <w:tcW w:w="1460" w:type="dxa"/>
          </w:tcPr>
          <w:p w14:paraId="21F7C855" w14:textId="7D75C8C5" w:rsidR="00AF591D" w:rsidRPr="00EA5DD7" w:rsidRDefault="00AF591D" w:rsidP="00AF591D">
            <w:pPr>
              <w:pStyle w:val="NormalWeb"/>
              <w:spacing w:after="0" w:afterAutospacing="0"/>
              <w:rPr>
                <w:rFonts w:ascii="Calibri" w:hAnsi="Calibri" w:cs="Calibri"/>
                <w:b/>
                <w:bCs/>
                <w:sz w:val="22"/>
                <w:szCs w:val="22"/>
              </w:rPr>
            </w:pPr>
            <w:r w:rsidRPr="00EA5DD7">
              <w:rPr>
                <w:rFonts w:ascii="Calibri" w:hAnsi="Calibri" w:cs="Calibri"/>
                <w:b/>
                <w:bCs/>
                <w:sz w:val="20"/>
                <w:szCs w:val="20"/>
              </w:rPr>
              <w:t xml:space="preserve">NPV10% $US </w:t>
            </w:r>
            <w:proofErr w:type="gramStart"/>
            <w:r w:rsidRPr="00EA5DD7">
              <w:rPr>
                <w:rFonts w:ascii="Calibri" w:hAnsi="Calibri" w:cs="Calibri"/>
                <w:b/>
                <w:bCs/>
                <w:sz w:val="20"/>
                <w:szCs w:val="20"/>
              </w:rPr>
              <w:t>Million</w:t>
            </w:r>
            <w:r w:rsidR="004B2219" w:rsidRPr="00A47E70">
              <w:rPr>
                <w:rFonts w:ascii="Calibri" w:hAnsi="Calibri" w:cs="Calibri"/>
                <w:sz w:val="20"/>
                <w:szCs w:val="20"/>
                <w:vertAlign w:val="superscript"/>
              </w:rPr>
              <w:t>(</w:t>
            </w:r>
            <w:proofErr w:type="gramEnd"/>
            <w:r w:rsidR="004B2219">
              <w:rPr>
                <w:rFonts w:ascii="Calibri" w:hAnsi="Calibri" w:cs="Calibri"/>
                <w:sz w:val="20"/>
                <w:szCs w:val="20"/>
                <w:vertAlign w:val="superscript"/>
              </w:rPr>
              <w:t>2</w:t>
            </w:r>
            <w:r w:rsidR="004B2219" w:rsidRPr="00A47E70">
              <w:rPr>
                <w:rFonts w:ascii="Calibri" w:hAnsi="Calibri" w:cs="Calibri"/>
                <w:sz w:val="20"/>
                <w:szCs w:val="20"/>
                <w:vertAlign w:val="superscript"/>
              </w:rPr>
              <w:t>)</w:t>
            </w:r>
          </w:p>
        </w:tc>
      </w:tr>
      <w:tr w:rsidR="00A23E8D" w:rsidRPr="004B0BA0" w14:paraId="66F71A2F" w14:textId="77777777" w:rsidTr="007E6C39">
        <w:tc>
          <w:tcPr>
            <w:tcW w:w="1975" w:type="dxa"/>
          </w:tcPr>
          <w:p w14:paraId="0AE348B0" w14:textId="42A87F17" w:rsidR="00A23E8D" w:rsidRPr="004B0BA0" w:rsidRDefault="00A23E8D" w:rsidP="00941BC8">
            <w:pPr>
              <w:pStyle w:val="NormalWeb"/>
              <w:rPr>
                <w:rFonts w:ascii="Calibri" w:hAnsi="Calibri" w:cs="Calibri"/>
                <w:sz w:val="22"/>
                <w:szCs w:val="22"/>
              </w:rPr>
            </w:pPr>
            <w:r w:rsidRPr="004B0BA0">
              <w:rPr>
                <w:rFonts w:ascii="Calibri" w:hAnsi="Calibri" w:cs="Calibri"/>
                <w:sz w:val="22"/>
                <w:szCs w:val="22"/>
              </w:rPr>
              <w:t>Discovered non</w:t>
            </w:r>
            <w:r w:rsidR="00A2769E" w:rsidRPr="004B0BA0">
              <w:rPr>
                <w:rFonts w:ascii="Calibri" w:hAnsi="Calibri" w:cs="Calibri"/>
                <w:sz w:val="22"/>
                <w:szCs w:val="22"/>
              </w:rPr>
              <w:t>-</w:t>
            </w:r>
            <w:r w:rsidRPr="004B0BA0">
              <w:rPr>
                <w:rFonts w:ascii="Calibri" w:hAnsi="Calibri" w:cs="Calibri"/>
                <w:sz w:val="22"/>
                <w:szCs w:val="22"/>
              </w:rPr>
              <w:t xml:space="preserve"> producing</w:t>
            </w:r>
            <w:r w:rsidR="009079FC" w:rsidRPr="004B0BA0">
              <w:rPr>
                <w:rFonts w:ascii="Calibri" w:hAnsi="Calibri" w:cs="Calibri"/>
                <w:sz w:val="22"/>
                <w:szCs w:val="22"/>
              </w:rPr>
              <w:t xml:space="preserve"> </w:t>
            </w:r>
            <w:r w:rsidR="007E6C39" w:rsidRPr="00A47E70">
              <w:rPr>
                <w:rFonts w:ascii="Calibri" w:hAnsi="Calibri" w:cs="Calibri"/>
                <w:sz w:val="20"/>
                <w:szCs w:val="20"/>
                <w:vertAlign w:val="superscript"/>
              </w:rPr>
              <w:t>(</w:t>
            </w:r>
            <w:r w:rsidR="007E6C39">
              <w:rPr>
                <w:rFonts w:ascii="Calibri" w:hAnsi="Calibri" w:cs="Calibri"/>
                <w:sz w:val="20"/>
                <w:szCs w:val="20"/>
                <w:vertAlign w:val="superscript"/>
              </w:rPr>
              <w:t>1</w:t>
            </w:r>
            <w:r w:rsidR="007E6C39" w:rsidRPr="00A47E70">
              <w:rPr>
                <w:rFonts w:ascii="Calibri" w:hAnsi="Calibri" w:cs="Calibri"/>
                <w:sz w:val="20"/>
                <w:szCs w:val="20"/>
                <w:vertAlign w:val="superscript"/>
              </w:rPr>
              <w:t>) (</w:t>
            </w:r>
            <w:r w:rsidR="007E6C39">
              <w:rPr>
                <w:rFonts w:ascii="Calibri" w:hAnsi="Calibri" w:cs="Calibri"/>
                <w:sz w:val="20"/>
                <w:szCs w:val="20"/>
                <w:vertAlign w:val="superscript"/>
              </w:rPr>
              <w:t>2</w:t>
            </w:r>
            <w:r w:rsidR="007E6C39" w:rsidRPr="00A47E70">
              <w:rPr>
                <w:rFonts w:ascii="Calibri" w:hAnsi="Calibri" w:cs="Calibri"/>
                <w:sz w:val="20"/>
                <w:szCs w:val="20"/>
                <w:vertAlign w:val="superscript"/>
              </w:rPr>
              <w:t>)</w:t>
            </w:r>
          </w:p>
        </w:tc>
        <w:tc>
          <w:tcPr>
            <w:tcW w:w="1139" w:type="dxa"/>
          </w:tcPr>
          <w:p w14:paraId="4C683412" w14:textId="36FB0969" w:rsidR="00A23E8D" w:rsidRPr="004B0BA0" w:rsidRDefault="00A23E8D" w:rsidP="00941BC8">
            <w:pPr>
              <w:pStyle w:val="NormalWeb"/>
              <w:rPr>
                <w:rFonts w:ascii="Calibri" w:hAnsi="Calibri" w:cs="Calibri"/>
                <w:sz w:val="22"/>
                <w:szCs w:val="22"/>
              </w:rPr>
            </w:pPr>
            <w:r w:rsidRPr="004B0BA0">
              <w:rPr>
                <w:rFonts w:ascii="Calibri" w:hAnsi="Calibri" w:cs="Calibri"/>
                <w:sz w:val="22"/>
                <w:szCs w:val="22"/>
              </w:rPr>
              <w:t>2P</w:t>
            </w:r>
          </w:p>
        </w:tc>
        <w:tc>
          <w:tcPr>
            <w:tcW w:w="1263" w:type="dxa"/>
          </w:tcPr>
          <w:p w14:paraId="54A26FDA" w14:textId="79AE17FA" w:rsidR="00A23E8D" w:rsidRPr="004B0BA0" w:rsidRDefault="00A23E8D" w:rsidP="00941BC8">
            <w:pPr>
              <w:pStyle w:val="NormalWeb"/>
              <w:rPr>
                <w:rFonts w:ascii="Calibri" w:hAnsi="Calibri" w:cs="Calibri"/>
                <w:sz w:val="22"/>
                <w:szCs w:val="22"/>
              </w:rPr>
            </w:pPr>
            <w:r w:rsidRPr="004B0BA0">
              <w:rPr>
                <w:rFonts w:ascii="Calibri" w:hAnsi="Calibri" w:cs="Calibri"/>
                <w:sz w:val="22"/>
                <w:szCs w:val="22"/>
              </w:rPr>
              <w:t>20.2</w:t>
            </w:r>
          </w:p>
        </w:tc>
        <w:tc>
          <w:tcPr>
            <w:tcW w:w="1459" w:type="dxa"/>
          </w:tcPr>
          <w:p w14:paraId="76A9EBD0" w14:textId="28D6F6CB" w:rsidR="00A23E8D" w:rsidRPr="004B0BA0" w:rsidRDefault="00A23E8D" w:rsidP="00941BC8">
            <w:pPr>
              <w:pStyle w:val="NormalWeb"/>
              <w:rPr>
                <w:rFonts w:ascii="Calibri" w:hAnsi="Calibri" w:cs="Calibri"/>
                <w:sz w:val="22"/>
                <w:szCs w:val="22"/>
              </w:rPr>
            </w:pPr>
            <w:r w:rsidRPr="004B0BA0">
              <w:rPr>
                <w:rFonts w:ascii="Calibri" w:hAnsi="Calibri" w:cs="Calibri"/>
                <w:sz w:val="22"/>
                <w:szCs w:val="22"/>
              </w:rPr>
              <w:t>$</w:t>
            </w:r>
            <w:r w:rsidR="002C7090">
              <w:rPr>
                <w:rFonts w:ascii="Calibri" w:hAnsi="Calibri" w:cs="Calibri"/>
                <w:sz w:val="22"/>
                <w:szCs w:val="22"/>
              </w:rPr>
              <w:t>75.7</w:t>
            </w:r>
            <w:r w:rsidR="001863F2">
              <w:rPr>
                <w:rFonts w:ascii="Calibri" w:hAnsi="Calibri" w:cs="Calibri"/>
                <w:sz w:val="22"/>
                <w:szCs w:val="22"/>
              </w:rPr>
              <w:t xml:space="preserve"> m</w:t>
            </w:r>
          </w:p>
        </w:tc>
        <w:tc>
          <w:tcPr>
            <w:tcW w:w="1459" w:type="dxa"/>
          </w:tcPr>
          <w:p w14:paraId="6FC880CC" w14:textId="0E8670A9" w:rsidR="00A23E8D" w:rsidRPr="004B0BA0" w:rsidRDefault="00A23E8D" w:rsidP="00941BC8">
            <w:pPr>
              <w:pStyle w:val="NormalWeb"/>
              <w:rPr>
                <w:rFonts w:ascii="Calibri" w:hAnsi="Calibri" w:cs="Calibri"/>
                <w:sz w:val="22"/>
                <w:szCs w:val="22"/>
              </w:rPr>
            </w:pPr>
            <w:r w:rsidRPr="004B0BA0">
              <w:rPr>
                <w:rFonts w:ascii="Calibri" w:hAnsi="Calibri" w:cs="Calibri"/>
                <w:sz w:val="22"/>
                <w:szCs w:val="22"/>
              </w:rPr>
              <w:t>3P</w:t>
            </w:r>
          </w:p>
        </w:tc>
        <w:tc>
          <w:tcPr>
            <w:tcW w:w="1459" w:type="dxa"/>
          </w:tcPr>
          <w:p w14:paraId="7A020439" w14:textId="18C2A589" w:rsidR="00A23E8D" w:rsidRPr="004B0BA0" w:rsidRDefault="00A23E8D" w:rsidP="00941BC8">
            <w:pPr>
              <w:pStyle w:val="NormalWeb"/>
              <w:rPr>
                <w:rFonts w:ascii="Calibri" w:hAnsi="Calibri" w:cs="Calibri"/>
                <w:sz w:val="22"/>
                <w:szCs w:val="22"/>
              </w:rPr>
            </w:pPr>
            <w:r w:rsidRPr="004B0BA0">
              <w:rPr>
                <w:rFonts w:ascii="Calibri" w:hAnsi="Calibri" w:cs="Calibri"/>
                <w:sz w:val="22"/>
                <w:szCs w:val="22"/>
              </w:rPr>
              <w:t>31.4</w:t>
            </w:r>
          </w:p>
        </w:tc>
        <w:tc>
          <w:tcPr>
            <w:tcW w:w="1460" w:type="dxa"/>
          </w:tcPr>
          <w:p w14:paraId="3A68F120" w14:textId="0562C2D6" w:rsidR="00A23E8D" w:rsidRPr="004B0BA0" w:rsidRDefault="00A23E8D" w:rsidP="00941BC8">
            <w:pPr>
              <w:pStyle w:val="NormalWeb"/>
              <w:rPr>
                <w:rFonts w:ascii="Calibri" w:hAnsi="Calibri" w:cs="Calibri"/>
                <w:sz w:val="22"/>
                <w:szCs w:val="22"/>
              </w:rPr>
            </w:pPr>
            <w:r w:rsidRPr="004B0BA0">
              <w:rPr>
                <w:rFonts w:ascii="Calibri" w:hAnsi="Calibri" w:cs="Calibri"/>
                <w:sz w:val="22"/>
                <w:szCs w:val="22"/>
              </w:rPr>
              <w:t>$</w:t>
            </w:r>
            <w:r w:rsidR="009079FC" w:rsidRPr="004B0BA0">
              <w:rPr>
                <w:rFonts w:ascii="Calibri" w:hAnsi="Calibri" w:cs="Calibri"/>
                <w:sz w:val="22"/>
                <w:szCs w:val="22"/>
              </w:rPr>
              <w:t>1</w:t>
            </w:r>
            <w:r w:rsidR="008C2A0D">
              <w:rPr>
                <w:rFonts w:ascii="Calibri" w:hAnsi="Calibri" w:cs="Calibri"/>
                <w:sz w:val="22"/>
                <w:szCs w:val="22"/>
              </w:rPr>
              <w:t>29</w:t>
            </w:r>
            <w:r w:rsidR="009079FC" w:rsidRPr="004B0BA0">
              <w:rPr>
                <w:rFonts w:ascii="Calibri" w:hAnsi="Calibri" w:cs="Calibri"/>
                <w:sz w:val="22"/>
                <w:szCs w:val="22"/>
              </w:rPr>
              <w:t>.</w:t>
            </w:r>
            <w:r w:rsidR="008C2A0D">
              <w:rPr>
                <w:rFonts w:ascii="Calibri" w:hAnsi="Calibri" w:cs="Calibri"/>
                <w:sz w:val="22"/>
                <w:szCs w:val="22"/>
              </w:rPr>
              <w:t>2</w:t>
            </w:r>
            <w:r w:rsidR="001863F2">
              <w:rPr>
                <w:rFonts w:ascii="Calibri" w:hAnsi="Calibri" w:cs="Calibri"/>
                <w:sz w:val="22"/>
                <w:szCs w:val="22"/>
              </w:rPr>
              <w:t xml:space="preserve"> m</w:t>
            </w:r>
          </w:p>
        </w:tc>
      </w:tr>
      <w:tr w:rsidR="00A23E8D" w:rsidRPr="004B0BA0" w14:paraId="194CFB36" w14:textId="77777777" w:rsidTr="007E6C39">
        <w:tc>
          <w:tcPr>
            <w:tcW w:w="1975" w:type="dxa"/>
          </w:tcPr>
          <w:p w14:paraId="10A15964" w14:textId="2B4A25EA" w:rsidR="00A23E8D" w:rsidRPr="004B0BA0" w:rsidRDefault="00A23E8D" w:rsidP="00941BC8">
            <w:pPr>
              <w:pStyle w:val="NormalWeb"/>
              <w:rPr>
                <w:rFonts w:ascii="Calibri" w:hAnsi="Calibri" w:cs="Calibri"/>
                <w:sz w:val="22"/>
                <w:szCs w:val="22"/>
              </w:rPr>
            </w:pPr>
            <w:r w:rsidRPr="004B0BA0">
              <w:rPr>
                <w:rFonts w:ascii="Calibri" w:hAnsi="Calibri" w:cs="Calibri"/>
                <w:sz w:val="22"/>
                <w:szCs w:val="22"/>
              </w:rPr>
              <w:t>Development prospects</w:t>
            </w:r>
            <w:r w:rsidR="00BE2D43">
              <w:rPr>
                <w:rFonts w:ascii="Calibri" w:hAnsi="Calibri" w:cs="Calibri"/>
                <w:sz w:val="22"/>
                <w:szCs w:val="22"/>
              </w:rPr>
              <w:t>,</w:t>
            </w:r>
            <w:r w:rsidR="00A1502C" w:rsidRPr="004B0BA0">
              <w:rPr>
                <w:rFonts w:ascii="Calibri" w:hAnsi="Calibri" w:cs="Calibri"/>
                <w:sz w:val="22"/>
                <w:szCs w:val="22"/>
              </w:rPr>
              <w:t xml:space="preserve"> risked</w:t>
            </w:r>
            <w:r w:rsidR="00A2769E" w:rsidRPr="004B0BA0">
              <w:rPr>
                <w:rFonts w:ascii="Calibri" w:hAnsi="Calibri" w:cs="Calibri"/>
                <w:sz w:val="22"/>
                <w:szCs w:val="22"/>
              </w:rPr>
              <w:t xml:space="preserve"> </w:t>
            </w:r>
            <w:r w:rsidR="007E6C39" w:rsidRPr="00A47E70">
              <w:rPr>
                <w:rFonts w:ascii="Calibri" w:hAnsi="Calibri" w:cs="Calibri"/>
                <w:sz w:val="20"/>
                <w:szCs w:val="20"/>
                <w:vertAlign w:val="superscript"/>
              </w:rPr>
              <w:t>(</w:t>
            </w:r>
            <w:r w:rsidR="007E6C39">
              <w:rPr>
                <w:rFonts w:ascii="Calibri" w:hAnsi="Calibri" w:cs="Calibri"/>
                <w:sz w:val="20"/>
                <w:szCs w:val="20"/>
                <w:vertAlign w:val="superscript"/>
              </w:rPr>
              <w:t>3</w:t>
            </w:r>
            <w:r w:rsidR="007E6C39" w:rsidRPr="00A47E70">
              <w:rPr>
                <w:rFonts w:ascii="Calibri" w:hAnsi="Calibri" w:cs="Calibri"/>
                <w:sz w:val="20"/>
                <w:szCs w:val="20"/>
                <w:vertAlign w:val="superscript"/>
              </w:rPr>
              <w:t>)</w:t>
            </w:r>
            <w:r w:rsidR="009079FC" w:rsidRPr="004B0BA0">
              <w:rPr>
                <w:rFonts w:ascii="Calibri" w:hAnsi="Calibri" w:cs="Calibri"/>
                <w:sz w:val="22"/>
                <w:szCs w:val="22"/>
              </w:rPr>
              <w:t xml:space="preserve"> </w:t>
            </w:r>
          </w:p>
        </w:tc>
        <w:tc>
          <w:tcPr>
            <w:tcW w:w="1139" w:type="dxa"/>
          </w:tcPr>
          <w:p w14:paraId="18EF11EB" w14:textId="5F30973C" w:rsidR="00A23E8D" w:rsidRPr="004B0BA0" w:rsidRDefault="00A23E8D" w:rsidP="00941BC8">
            <w:pPr>
              <w:pStyle w:val="NormalWeb"/>
              <w:rPr>
                <w:rFonts w:ascii="Calibri" w:hAnsi="Calibri" w:cs="Calibri"/>
                <w:sz w:val="22"/>
                <w:szCs w:val="22"/>
              </w:rPr>
            </w:pPr>
            <w:r w:rsidRPr="004B0BA0">
              <w:rPr>
                <w:rFonts w:ascii="Calibri" w:hAnsi="Calibri" w:cs="Calibri"/>
                <w:sz w:val="22"/>
                <w:szCs w:val="22"/>
              </w:rPr>
              <w:t>Medium estimate</w:t>
            </w:r>
          </w:p>
        </w:tc>
        <w:tc>
          <w:tcPr>
            <w:tcW w:w="1263" w:type="dxa"/>
          </w:tcPr>
          <w:p w14:paraId="268F2DE1" w14:textId="5AD7796F" w:rsidR="00A23E8D" w:rsidRPr="004B0BA0" w:rsidRDefault="00BE2D43" w:rsidP="00941BC8">
            <w:pPr>
              <w:pStyle w:val="NormalWeb"/>
              <w:rPr>
                <w:rFonts w:ascii="Calibri" w:hAnsi="Calibri" w:cs="Calibri"/>
                <w:sz w:val="22"/>
                <w:szCs w:val="22"/>
              </w:rPr>
            </w:pPr>
            <w:r w:rsidRPr="00C13CD4">
              <w:rPr>
                <w:rFonts w:ascii="Calibri" w:hAnsi="Calibri" w:cs="Calibri"/>
                <w:sz w:val="22"/>
                <w:szCs w:val="22"/>
              </w:rPr>
              <w:t>23</w:t>
            </w:r>
            <w:r w:rsidR="00C13CD4">
              <w:rPr>
                <w:rFonts w:ascii="Calibri" w:hAnsi="Calibri" w:cs="Calibri"/>
                <w:sz w:val="22"/>
                <w:szCs w:val="22"/>
              </w:rPr>
              <w:t xml:space="preserve"> </w:t>
            </w:r>
          </w:p>
        </w:tc>
        <w:tc>
          <w:tcPr>
            <w:tcW w:w="1459" w:type="dxa"/>
          </w:tcPr>
          <w:p w14:paraId="5DDFCB7B" w14:textId="4947105B" w:rsidR="00A23E8D" w:rsidRPr="004B0BA0" w:rsidRDefault="00A23E8D" w:rsidP="00941BC8">
            <w:pPr>
              <w:pStyle w:val="NormalWeb"/>
              <w:rPr>
                <w:rFonts w:ascii="Calibri" w:hAnsi="Calibri" w:cs="Calibri"/>
                <w:sz w:val="22"/>
                <w:szCs w:val="22"/>
              </w:rPr>
            </w:pPr>
            <w:r w:rsidRPr="00074E63">
              <w:rPr>
                <w:rFonts w:ascii="Calibri" w:hAnsi="Calibri" w:cs="Calibri"/>
                <w:sz w:val="22"/>
                <w:szCs w:val="22"/>
              </w:rPr>
              <w:t>$</w:t>
            </w:r>
            <w:r w:rsidR="00F5629E">
              <w:rPr>
                <w:rFonts w:ascii="Calibri" w:hAnsi="Calibri" w:cs="Calibri"/>
                <w:sz w:val="22"/>
                <w:szCs w:val="22"/>
              </w:rPr>
              <w:t>9</w:t>
            </w:r>
            <w:r w:rsidRPr="00074E63">
              <w:rPr>
                <w:rFonts w:ascii="Calibri" w:hAnsi="Calibri" w:cs="Calibri"/>
                <w:sz w:val="22"/>
                <w:szCs w:val="22"/>
              </w:rPr>
              <w:t>3.</w:t>
            </w:r>
            <w:r w:rsidR="00F5629E">
              <w:rPr>
                <w:rFonts w:ascii="Calibri" w:hAnsi="Calibri" w:cs="Calibri"/>
                <w:sz w:val="22"/>
                <w:szCs w:val="22"/>
              </w:rPr>
              <w:t>6</w:t>
            </w:r>
            <w:r w:rsidR="00BE2D43" w:rsidRPr="00074E63">
              <w:rPr>
                <w:rFonts w:ascii="Calibri" w:hAnsi="Calibri" w:cs="Calibri"/>
                <w:sz w:val="22"/>
                <w:szCs w:val="22"/>
              </w:rPr>
              <w:t xml:space="preserve"> </w:t>
            </w:r>
            <w:r w:rsidR="001863F2">
              <w:rPr>
                <w:rFonts w:ascii="Calibri" w:hAnsi="Calibri" w:cs="Calibri"/>
                <w:sz w:val="22"/>
                <w:szCs w:val="22"/>
              </w:rPr>
              <w:t>m</w:t>
            </w:r>
            <w:r w:rsidR="00D16071">
              <w:rPr>
                <w:rFonts w:ascii="Calibri" w:hAnsi="Calibri" w:cs="Calibri"/>
                <w:sz w:val="22"/>
                <w:szCs w:val="22"/>
              </w:rPr>
              <w:t xml:space="preserve"> </w:t>
            </w:r>
          </w:p>
        </w:tc>
        <w:tc>
          <w:tcPr>
            <w:tcW w:w="1459" w:type="dxa"/>
          </w:tcPr>
          <w:p w14:paraId="6D8E171B" w14:textId="06D90AE3" w:rsidR="00A23E8D" w:rsidRPr="004B0BA0" w:rsidRDefault="00A23E8D" w:rsidP="00941BC8">
            <w:pPr>
              <w:pStyle w:val="NormalWeb"/>
              <w:rPr>
                <w:rFonts w:ascii="Calibri" w:hAnsi="Calibri" w:cs="Calibri"/>
                <w:sz w:val="22"/>
                <w:szCs w:val="22"/>
              </w:rPr>
            </w:pPr>
            <w:r w:rsidRPr="004B0BA0">
              <w:rPr>
                <w:rFonts w:ascii="Calibri" w:hAnsi="Calibri" w:cs="Calibri"/>
                <w:sz w:val="22"/>
                <w:szCs w:val="22"/>
              </w:rPr>
              <w:t>High Estimate</w:t>
            </w:r>
          </w:p>
        </w:tc>
        <w:tc>
          <w:tcPr>
            <w:tcW w:w="1459" w:type="dxa"/>
          </w:tcPr>
          <w:p w14:paraId="2D513E82" w14:textId="0CCA76D7" w:rsidR="00A23E8D" w:rsidRPr="00C13CD4" w:rsidRDefault="00BE2D43" w:rsidP="00941BC8">
            <w:pPr>
              <w:pStyle w:val="NormalWeb"/>
              <w:rPr>
                <w:rFonts w:ascii="Calibri" w:hAnsi="Calibri" w:cs="Calibri"/>
                <w:sz w:val="22"/>
                <w:szCs w:val="22"/>
              </w:rPr>
            </w:pPr>
            <w:r w:rsidRPr="00C13CD4">
              <w:rPr>
                <w:rFonts w:ascii="Calibri" w:hAnsi="Calibri" w:cs="Calibri"/>
                <w:sz w:val="22"/>
                <w:szCs w:val="22"/>
              </w:rPr>
              <w:t>36.4</w:t>
            </w:r>
          </w:p>
          <w:p w14:paraId="7F195673" w14:textId="286E5F78" w:rsidR="00737332" w:rsidRPr="004B0BA0" w:rsidRDefault="00737332" w:rsidP="00941BC8">
            <w:pPr>
              <w:pStyle w:val="NormalWeb"/>
              <w:rPr>
                <w:rFonts w:ascii="Calibri" w:hAnsi="Calibri" w:cs="Calibri"/>
                <w:sz w:val="22"/>
                <w:szCs w:val="22"/>
              </w:rPr>
            </w:pPr>
          </w:p>
        </w:tc>
        <w:tc>
          <w:tcPr>
            <w:tcW w:w="1460" w:type="dxa"/>
          </w:tcPr>
          <w:p w14:paraId="0A166C7F" w14:textId="7D282C0E" w:rsidR="00A23E8D" w:rsidRPr="004B0BA0" w:rsidRDefault="00A23E8D" w:rsidP="00941BC8">
            <w:pPr>
              <w:pStyle w:val="NormalWeb"/>
              <w:rPr>
                <w:rFonts w:ascii="Calibri" w:hAnsi="Calibri" w:cs="Calibri"/>
                <w:sz w:val="22"/>
                <w:szCs w:val="22"/>
              </w:rPr>
            </w:pPr>
            <w:r w:rsidRPr="00074E63">
              <w:rPr>
                <w:rFonts w:ascii="Calibri" w:hAnsi="Calibri" w:cs="Calibri"/>
                <w:sz w:val="22"/>
                <w:szCs w:val="22"/>
              </w:rPr>
              <w:t>$1</w:t>
            </w:r>
            <w:r w:rsidR="008C2A0D">
              <w:rPr>
                <w:rFonts w:ascii="Calibri" w:hAnsi="Calibri" w:cs="Calibri"/>
                <w:sz w:val="22"/>
                <w:szCs w:val="22"/>
              </w:rPr>
              <w:t>56</w:t>
            </w:r>
            <w:r w:rsidR="00074E63">
              <w:rPr>
                <w:rFonts w:ascii="Calibri" w:hAnsi="Calibri" w:cs="Calibri"/>
                <w:sz w:val="22"/>
                <w:szCs w:val="22"/>
              </w:rPr>
              <w:t>.</w:t>
            </w:r>
            <w:r w:rsidR="008C2A0D">
              <w:rPr>
                <w:rFonts w:ascii="Calibri" w:hAnsi="Calibri" w:cs="Calibri"/>
                <w:sz w:val="22"/>
                <w:szCs w:val="22"/>
              </w:rPr>
              <w:t>0</w:t>
            </w:r>
            <w:r w:rsidR="001863F2">
              <w:rPr>
                <w:rFonts w:ascii="Calibri" w:hAnsi="Calibri" w:cs="Calibri"/>
                <w:sz w:val="22"/>
                <w:szCs w:val="22"/>
              </w:rPr>
              <w:t xml:space="preserve"> m</w:t>
            </w:r>
          </w:p>
        </w:tc>
      </w:tr>
      <w:tr w:rsidR="00A23E8D" w:rsidRPr="00E400BB" w14:paraId="5B65B2DD" w14:textId="77777777" w:rsidTr="007E6C39">
        <w:tc>
          <w:tcPr>
            <w:tcW w:w="1975" w:type="dxa"/>
          </w:tcPr>
          <w:p w14:paraId="394E0D80" w14:textId="25C12040" w:rsidR="00A23E8D" w:rsidRPr="00E400BB" w:rsidRDefault="00A23E8D" w:rsidP="005A6925">
            <w:pPr>
              <w:pStyle w:val="NormalWeb"/>
              <w:rPr>
                <w:rFonts w:ascii="Calibri" w:hAnsi="Calibri" w:cs="Calibri"/>
                <w:b/>
                <w:bCs/>
                <w:szCs w:val="22"/>
              </w:rPr>
            </w:pPr>
            <w:r w:rsidRPr="00E400BB">
              <w:rPr>
                <w:rFonts w:ascii="Calibri" w:hAnsi="Calibri" w:cs="Calibri"/>
                <w:b/>
                <w:bCs/>
                <w:szCs w:val="22"/>
              </w:rPr>
              <w:t>TOTAL</w:t>
            </w:r>
          </w:p>
        </w:tc>
        <w:tc>
          <w:tcPr>
            <w:tcW w:w="1139" w:type="dxa"/>
          </w:tcPr>
          <w:p w14:paraId="0268BAE6" w14:textId="77777777" w:rsidR="00A23E8D" w:rsidRPr="00E400BB" w:rsidRDefault="00A23E8D" w:rsidP="005A6925">
            <w:pPr>
              <w:pStyle w:val="NormalWeb"/>
              <w:rPr>
                <w:rFonts w:ascii="Calibri" w:hAnsi="Calibri" w:cs="Calibri"/>
                <w:b/>
                <w:bCs/>
                <w:szCs w:val="22"/>
              </w:rPr>
            </w:pPr>
          </w:p>
        </w:tc>
        <w:tc>
          <w:tcPr>
            <w:tcW w:w="1263" w:type="dxa"/>
          </w:tcPr>
          <w:p w14:paraId="06D6C367" w14:textId="487A7681" w:rsidR="00A23E8D" w:rsidRPr="00E400BB" w:rsidRDefault="00A23E8D" w:rsidP="005A6925">
            <w:pPr>
              <w:pStyle w:val="NormalWeb"/>
              <w:rPr>
                <w:rFonts w:ascii="Calibri" w:hAnsi="Calibri" w:cs="Calibri"/>
                <w:b/>
                <w:bCs/>
                <w:szCs w:val="22"/>
              </w:rPr>
            </w:pPr>
            <w:r w:rsidRPr="00E400BB">
              <w:rPr>
                <w:rFonts w:ascii="Calibri" w:hAnsi="Calibri" w:cs="Calibri"/>
                <w:b/>
                <w:bCs/>
                <w:szCs w:val="22"/>
              </w:rPr>
              <w:t>40.3</w:t>
            </w:r>
          </w:p>
        </w:tc>
        <w:tc>
          <w:tcPr>
            <w:tcW w:w="1459" w:type="dxa"/>
          </w:tcPr>
          <w:p w14:paraId="78130296" w14:textId="7AF81CDB" w:rsidR="00A23E8D" w:rsidRPr="00E400BB" w:rsidRDefault="0023640D" w:rsidP="005A6925">
            <w:pPr>
              <w:pStyle w:val="NormalWeb"/>
              <w:rPr>
                <w:rFonts w:ascii="Calibri" w:hAnsi="Calibri" w:cs="Calibri"/>
                <w:b/>
                <w:bCs/>
                <w:szCs w:val="22"/>
              </w:rPr>
            </w:pPr>
            <w:r>
              <w:rPr>
                <w:rFonts w:ascii="Calibri" w:hAnsi="Calibri" w:cs="Calibri"/>
                <w:b/>
                <w:bCs/>
                <w:szCs w:val="22"/>
              </w:rPr>
              <w:t>US</w:t>
            </w:r>
            <w:r w:rsidR="00A23E8D" w:rsidRPr="00E400BB">
              <w:rPr>
                <w:rFonts w:ascii="Calibri" w:hAnsi="Calibri" w:cs="Calibri"/>
                <w:b/>
                <w:bCs/>
                <w:szCs w:val="22"/>
              </w:rPr>
              <w:t>$</w:t>
            </w:r>
            <w:r w:rsidR="009079FC" w:rsidRPr="00E400BB">
              <w:rPr>
                <w:rFonts w:ascii="Calibri" w:hAnsi="Calibri" w:cs="Calibri"/>
                <w:b/>
                <w:bCs/>
                <w:szCs w:val="22"/>
              </w:rPr>
              <w:t>1</w:t>
            </w:r>
            <w:r w:rsidR="00750C1A">
              <w:rPr>
                <w:rFonts w:ascii="Calibri" w:hAnsi="Calibri" w:cs="Calibri"/>
                <w:b/>
                <w:bCs/>
                <w:szCs w:val="22"/>
              </w:rPr>
              <w:t>69</w:t>
            </w:r>
            <w:r w:rsidR="009079FC" w:rsidRPr="00E400BB">
              <w:rPr>
                <w:rFonts w:ascii="Calibri" w:hAnsi="Calibri" w:cs="Calibri"/>
                <w:b/>
                <w:bCs/>
                <w:szCs w:val="22"/>
              </w:rPr>
              <w:t>.</w:t>
            </w:r>
            <w:r w:rsidR="00750C1A">
              <w:rPr>
                <w:rFonts w:ascii="Calibri" w:hAnsi="Calibri" w:cs="Calibri"/>
                <w:b/>
                <w:bCs/>
                <w:szCs w:val="22"/>
              </w:rPr>
              <w:t>3</w:t>
            </w:r>
            <w:r w:rsidR="006128B1">
              <w:rPr>
                <w:rFonts w:ascii="Calibri" w:hAnsi="Calibri" w:cs="Calibri"/>
                <w:b/>
                <w:bCs/>
                <w:szCs w:val="22"/>
              </w:rPr>
              <w:t xml:space="preserve"> </w:t>
            </w:r>
            <w:r w:rsidR="001863F2" w:rsidRPr="00E400BB">
              <w:rPr>
                <w:rFonts w:ascii="Calibri" w:hAnsi="Calibri" w:cs="Calibri"/>
                <w:b/>
                <w:bCs/>
                <w:szCs w:val="22"/>
              </w:rPr>
              <w:t>m</w:t>
            </w:r>
          </w:p>
        </w:tc>
        <w:tc>
          <w:tcPr>
            <w:tcW w:w="1459" w:type="dxa"/>
          </w:tcPr>
          <w:p w14:paraId="0C571FDC" w14:textId="77777777" w:rsidR="00A23E8D" w:rsidRPr="00E400BB" w:rsidRDefault="00A23E8D" w:rsidP="005A6925">
            <w:pPr>
              <w:pStyle w:val="NormalWeb"/>
              <w:rPr>
                <w:rFonts w:ascii="Calibri" w:hAnsi="Calibri" w:cs="Calibri"/>
                <w:b/>
                <w:bCs/>
                <w:szCs w:val="22"/>
              </w:rPr>
            </w:pPr>
          </w:p>
        </w:tc>
        <w:tc>
          <w:tcPr>
            <w:tcW w:w="1459" w:type="dxa"/>
          </w:tcPr>
          <w:p w14:paraId="056DEA5B" w14:textId="5073E896" w:rsidR="00A23E8D" w:rsidRPr="00E400BB" w:rsidRDefault="00A23E8D" w:rsidP="005A6925">
            <w:pPr>
              <w:pStyle w:val="NormalWeb"/>
              <w:rPr>
                <w:rFonts w:ascii="Calibri" w:hAnsi="Calibri" w:cs="Calibri"/>
                <w:b/>
                <w:bCs/>
                <w:szCs w:val="22"/>
              </w:rPr>
            </w:pPr>
            <w:r w:rsidRPr="00E400BB">
              <w:rPr>
                <w:rFonts w:ascii="Calibri" w:hAnsi="Calibri" w:cs="Calibri"/>
                <w:b/>
                <w:bCs/>
                <w:szCs w:val="22"/>
              </w:rPr>
              <w:t>62.4</w:t>
            </w:r>
          </w:p>
        </w:tc>
        <w:tc>
          <w:tcPr>
            <w:tcW w:w="1460" w:type="dxa"/>
          </w:tcPr>
          <w:p w14:paraId="64C457B5" w14:textId="1B77EBB5" w:rsidR="00A23E8D" w:rsidRPr="00E400BB" w:rsidRDefault="0023640D" w:rsidP="005A6925">
            <w:pPr>
              <w:pStyle w:val="NormalWeb"/>
              <w:rPr>
                <w:rFonts w:ascii="Calibri" w:hAnsi="Calibri" w:cs="Calibri"/>
                <w:b/>
                <w:bCs/>
                <w:szCs w:val="22"/>
              </w:rPr>
            </w:pPr>
            <w:r>
              <w:rPr>
                <w:rFonts w:ascii="Calibri" w:hAnsi="Calibri" w:cs="Calibri"/>
                <w:b/>
                <w:bCs/>
                <w:szCs w:val="22"/>
              </w:rPr>
              <w:t>US</w:t>
            </w:r>
            <w:r w:rsidR="00A23E8D" w:rsidRPr="00E400BB">
              <w:rPr>
                <w:rFonts w:ascii="Calibri" w:hAnsi="Calibri" w:cs="Calibri"/>
                <w:b/>
                <w:bCs/>
                <w:szCs w:val="22"/>
              </w:rPr>
              <w:t>$</w:t>
            </w:r>
            <w:r w:rsidR="009079FC" w:rsidRPr="00E400BB">
              <w:rPr>
                <w:rFonts w:ascii="Calibri" w:hAnsi="Calibri" w:cs="Calibri"/>
                <w:b/>
                <w:bCs/>
                <w:szCs w:val="22"/>
              </w:rPr>
              <w:t>2</w:t>
            </w:r>
            <w:r w:rsidR="008C2A0D">
              <w:rPr>
                <w:rFonts w:ascii="Calibri" w:hAnsi="Calibri" w:cs="Calibri"/>
                <w:b/>
                <w:bCs/>
                <w:szCs w:val="22"/>
              </w:rPr>
              <w:t>85</w:t>
            </w:r>
            <w:r w:rsidR="009079FC" w:rsidRPr="00E400BB">
              <w:rPr>
                <w:rFonts w:ascii="Calibri" w:hAnsi="Calibri" w:cs="Calibri"/>
                <w:b/>
                <w:bCs/>
                <w:szCs w:val="22"/>
              </w:rPr>
              <w:t>.</w:t>
            </w:r>
            <w:r w:rsidR="008C2A0D">
              <w:rPr>
                <w:rFonts w:ascii="Calibri" w:hAnsi="Calibri" w:cs="Calibri"/>
                <w:b/>
                <w:bCs/>
                <w:szCs w:val="22"/>
              </w:rPr>
              <w:t>2</w:t>
            </w:r>
            <w:r w:rsidR="006128B1">
              <w:rPr>
                <w:rFonts w:ascii="Calibri" w:hAnsi="Calibri" w:cs="Calibri"/>
                <w:b/>
                <w:bCs/>
                <w:szCs w:val="22"/>
              </w:rPr>
              <w:t xml:space="preserve"> </w:t>
            </w:r>
            <w:r w:rsidR="001863F2" w:rsidRPr="00E400BB">
              <w:rPr>
                <w:rFonts w:ascii="Calibri" w:hAnsi="Calibri" w:cs="Calibri"/>
                <w:b/>
                <w:bCs/>
                <w:szCs w:val="22"/>
              </w:rPr>
              <w:t>m</w:t>
            </w:r>
          </w:p>
        </w:tc>
      </w:tr>
      <w:tr w:rsidR="00697D8F" w:rsidRPr="00E400BB" w14:paraId="4D417B8B" w14:textId="77777777" w:rsidTr="007E6C39">
        <w:tc>
          <w:tcPr>
            <w:tcW w:w="1975" w:type="dxa"/>
          </w:tcPr>
          <w:p w14:paraId="01903C16" w14:textId="77777777" w:rsidR="00697D8F" w:rsidRPr="00E400BB" w:rsidRDefault="00697D8F" w:rsidP="005A6925">
            <w:pPr>
              <w:pStyle w:val="NormalWeb"/>
              <w:rPr>
                <w:rFonts w:ascii="Calibri" w:hAnsi="Calibri" w:cs="Calibri"/>
                <w:b/>
                <w:bCs/>
                <w:szCs w:val="22"/>
              </w:rPr>
            </w:pPr>
          </w:p>
        </w:tc>
        <w:tc>
          <w:tcPr>
            <w:tcW w:w="1139" w:type="dxa"/>
          </w:tcPr>
          <w:p w14:paraId="155DB8D0" w14:textId="77777777" w:rsidR="00697D8F" w:rsidRPr="00E400BB" w:rsidRDefault="00697D8F" w:rsidP="005A6925">
            <w:pPr>
              <w:pStyle w:val="NormalWeb"/>
              <w:rPr>
                <w:rFonts w:ascii="Calibri" w:hAnsi="Calibri" w:cs="Calibri"/>
                <w:b/>
                <w:bCs/>
                <w:szCs w:val="22"/>
              </w:rPr>
            </w:pPr>
          </w:p>
        </w:tc>
        <w:tc>
          <w:tcPr>
            <w:tcW w:w="1263" w:type="dxa"/>
          </w:tcPr>
          <w:p w14:paraId="4787CC78" w14:textId="77777777" w:rsidR="00697D8F" w:rsidRPr="00E400BB" w:rsidRDefault="00697D8F" w:rsidP="005A6925">
            <w:pPr>
              <w:pStyle w:val="NormalWeb"/>
              <w:rPr>
                <w:rFonts w:ascii="Calibri" w:hAnsi="Calibri" w:cs="Calibri"/>
                <w:b/>
                <w:bCs/>
                <w:szCs w:val="22"/>
              </w:rPr>
            </w:pPr>
          </w:p>
        </w:tc>
        <w:tc>
          <w:tcPr>
            <w:tcW w:w="1459" w:type="dxa"/>
          </w:tcPr>
          <w:p w14:paraId="3FBBF2D2" w14:textId="49C73990" w:rsidR="00697D8F" w:rsidRDefault="00697D8F" w:rsidP="005A6925">
            <w:pPr>
              <w:pStyle w:val="NormalWeb"/>
              <w:rPr>
                <w:rFonts w:ascii="Calibri" w:hAnsi="Calibri" w:cs="Calibri"/>
                <w:b/>
                <w:bCs/>
                <w:szCs w:val="22"/>
              </w:rPr>
            </w:pPr>
            <w:r>
              <w:rPr>
                <w:rFonts w:ascii="Calibri" w:hAnsi="Calibri" w:cs="Calibri"/>
                <w:b/>
                <w:bCs/>
                <w:szCs w:val="22"/>
              </w:rPr>
              <w:t>CND$216</w:t>
            </w:r>
            <w:r w:rsidR="006128B1">
              <w:rPr>
                <w:rFonts w:ascii="Calibri" w:hAnsi="Calibri" w:cs="Calibri"/>
                <w:b/>
                <w:bCs/>
                <w:szCs w:val="22"/>
              </w:rPr>
              <w:t xml:space="preserve"> </w:t>
            </w:r>
            <w:r>
              <w:rPr>
                <w:rFonts w:ascii="Calibri" w:hAnsi="Calibri" w:cs="Calibri"/>
                <w:b/>
                <w:bCs/>
                <w:szCs w:val="22"/>
              </w:rPr>
              <w:t>m</w:t>
            </w:r>
          </w:p>
        </w:tc>
        <w:tc>
          <w:tcPr>
            <w:tcW w:w="1459" w:type="dxa"/>
          </w:tcPr>
          <w:p w14:paraId="285F2E91" w14:textId="77777777" w:rsidR="00697D8F" w:rsidRPr="00E400BB" w:rsidRDefault="00697D8F" w:rsidP="005A6925">
            <w:pPr>
              <w:pStyle w:val="NormalWeb"/>
              <w:rPr>
                <w:rFonts w:ascii="Calibri" w:hAnsi="Calibri" w:cs="Calibri"/>
                <w:b/>
                <w:bCs/>
                <w:szCs w:val="22"/>
              </w:rPr>
            </w:pPr>
          </w:p>
        </w:tc>
        <w:tc>
          <w:tcPr>
            <w:tcW w:w="1459" w:type="dxa"/>
          </w:tcPr>
          <w:p w14:paraId="668A4711" w14:textId="77777777" w:rsidR="00697D8F" w:rsidRPr="00E400BB" w:rsidRDefault="00697D8F" w:rsidP="005A6925">
            <w:pPr>
              <w:pStyle w:val="NormalWeb"/>
              <w:rPr>
                <w:rFonts w:ascii="Calibri" w:hAnsi="Calibri" w:cs="Calibri"/>
                <w:b/>
                <w:bCs/>
                <w:szCs w:val="22"/>
              </w:rPr>
            </w:pPr>
          </w:p>
        </w:tc>
        <w:tc>
          <w:tcPr>
            <w:tcW w:w="1460" w:type="dxa"/>
          </w:tcPr>
          <w:p w14:paraId="61D54192" w14:textId="629A32D4" w:rsidR="00697D8F" w:rsidRDefault="00697D8F" w:rsidP="005A6925">
            <w:pPr>
              <w:pStyle w:val="NormalWeb"/>
              <w:rPr>
                <w:rFonts w:ascii="Calibri" w:hAnsi="Calibri" w:cs="Calibri"/>
                <w:b/>
                <w:bCs/>
                <w:szCs w:val="22"/>
              </w:rPr>
            </w:pPr>
            <w:r>
              <w:rPr>
                <w:rFonts w:ascii="Calibri" w:hAnsi="Calibri" w:cs="Calibri"/>
                <w:b/>
                <w:bCs/>
                <w:szCs w:val="22"/>
              </w:rPr>
              <w:t>CND$367</w:t>
            </w:r>
            <w:r w:rsidR="006128B1">
              <w:rPr>
                <w:rFonts w:ascii="Calibri" w:hAnsi="Calibri" w:cs="Calibri"/>
                <w:b/>
                <w:bCs/>
                <w:szCs w:val="22"/>
              </w:rPr>
              <w:t xml:space="preserve"> </w:t>
            </w:r>
            <w:r>
              <w:rPr>
                <w:rFonts w:ascii="Calibri" w:hAnsi="Calibri" w:cs="Calibri"/>
                <w:b/>
                <w:bCs/>
                <w:szCs w:val="22"/>
              </w:rPr>
              <w:t>m</w:t>
            </w:r>
          </w:p>
        </w:tc>
      </w:tr>
    </w:tbl>
    <w:p w14:paraId="20FCE0CF" w14:textId="77777777" w:rsidR="00907B2A" w:rsidRDefault="00907B2A" w:rsidP="00DC3392">
      <w:pPr>
        <w:pStyle w:val="PlainText"/>
        <w:jc w:val="both"/>
        <w:rPr>
          <w:rFonts w:asciiTheme="minorHAnsi" w:hAnsiTheme="minorHAnsi" w:cstheme="minorHAnsi"/>
          <w:sz w:val="20"/>
          <w:szCs w:val="20"/>
          <w:lang w:val="en-CA"/>
        </w:rPr>
      </w:pPr>
    </w:p>
    <w:p w14:paraId="1735C940" w14:textId="64A820BD" w:rsidR="006B0D7B" w:rsidRPr="00907B2A" w:rsidRDefault="00907B2A" w:rsidP="00DC3392">
      <w:pPr>
        <w:pStyle w:val="PlainText"/>
        <w:jc w:val="both"/>
        <w:rPr>
          <w:rFonts w:asciiTheme="minorHAnsi" w:hAnsiTheme="minorHAnsi" w:cstheme="minorHAnsi"/>
          <w:sz w:val="20"/>
          <w:szCs w:val="20"/>
          <w:lang w:val="en-CA"/>
        </w:rPr>
      </w:pPr>
      <w:r w:rsidRPr="00907B2A">
        <w:rPr>
          <w:rFonts w:asciiTheme="minorHAnsi" w:hAnsiTheme="minorHAnsi" w:cstheme="minorHAnsi"/>
          <w:sz w:val="20"/>
          <w:szCs w:val="20"/>
          <w:lang w:val="en-CA"/>
        </w:rPr>
        <w:t>Footnotes:</w:t>
      </w:r>
    </w:p>
    <w:p w14:paraId="4777DA50" w14:textId="3E78743F" w:rsidR="000D0F6E" w:rsidRPr="008844F5" w:rsidRDefault="000D0F6E" w:rsidP="000D0F6E">
      <w:pPr>
        <w:pStyle w:val="PlainText"/>
        <w:numPr>
          <w:ilvl w:val="0"/>
          <w:numId w:val="9"/>
        </w:numPr>
        <w:jc w:val="both"/>
        <w:rPr>
          <w:rFonts w:asciiTheme="minorHAnsi" w:hAnsiTheme="minorHAnsi" w:cstheme="minorHAnsi"/>
          <w:sz w:val="20"/>
          <w:szCs w:val="20"/>
          <w:lang w:val="en-CA"/>
        </w:rPr>
      </w:pPr>
      <w:r>
        <w:rPr>
          <w:rFonts w:asciiTheme="minorHAnsi" w:hAnsiTheme="minorHAnsi" w:cstheme="minorHAnsi"/>
          <w:sz w:val="20"/>
          <w:szCs w:val="20"/>
          <w:lang w:val="en-CA"/>
        </w:rPr>
        <w:t xml:space="preserve">The Report </w:t>
      </w:r>
      <w:r w:rsidR="00CA75DA">
        <w:rPr>
          <w:rFonts w:asciiTheme="minorHAnsi" w:hAnsiTheme="minorHAnsi" w:cstheme="minorHAnsi"/>
          <w:sz w:val="20"/>
          <w:szCs w:val="20"/>
          <w:lang w:val="en-CA"/>
        </w:rPr>
        <w:t xml:space="preserve">has </w:t>
      </w:r>
      <w:r w:rsidRPr="008844F5">
        <w:rPr>
          <w:rFonts w:asciiTheme="minorHAnsi" w:hAnsiTheme="minorHAnsi" w:cstheme="minorHAnsi"/>
          <w:sz w:val="20"/>
          <w:szCs w:val="20"/>
          <w:lang w:val="en-CA"/>
        </w:rPr>
        <w:t>been prepared in accordance with resource definitions, standards and procedures contained in the Canadian Oil and Gas Evaluation (COGE) Handbook. The resources definitions used in preparing this report are those contained in the COGE Handbook and the Canadian Securities Administrators National Instrument 51-101 (NI 51-101).</w:t>
      </w:r>
      <w:r w:rsidR="004F0050">
        <w:rPr>
          <w:rFonts w:asciiTheme="minorHAnsi" w:hAnsiTheme="minorHAnsi" w:cstheme="minorHAnsi"/>
          <w:sz w:val="20"/>
          <w:szCs w:val="20"/>
          <w:lang w:val="en-CA"/>
        </w:rPr>
        <w:t xml:space="preserve"> </w:t>
      </w:r>
    </w:p>
    <w:p w14:paraId="5BFF17F6" w14:textId="6D59DDA6" w:rsidR="000D0F6E" w:rsidRDefault="000D0F6E" w:rsidP="000D0F6E">
      <w:pPr>
        <w:pStyle w:val="PlainText"/>
        <w:numPr>
          <w:ilvl w:val="0"/>
          <w:numId w:val="9"/>
        </w:numPr>
        <w:jc w:val="both"/>
        <w:rPr>
          <w:rFonts w:asciiTheme="minorHAnsi" w:hAnsiTheme="minorHAnsi" w:cstheme="minorHAnsi"/>
          <w:sz w:val="20"/>
          <w:szCs w:val="20"/>
          <w:lang w:val="en-CA"/>
        </w:rPr>
      </w:pPr>
      <w:r w:rsidRPr="008844F5">
        <w:rPr>
          <w:rFonts w:asciiTheme="minorHAnsi" w:hAnsiTheme="minorHAnsi" w:cstheme="minorHAnsi"/>
          <w:sz w:val="20"/>
          <w:szCs w:val="20"/>
          <w:lang w:val="en-CA"/>
        </w:rPr>
        <w:t>*NPV 10</w:t>
      </w:r>
      <w:r w:rsidR="00CE105A">
        <w:rPr>
          <w:rFonts w:asciiTheme="minorHAnsi" w:hAnsiTheme="minorHAnsi" w:cstheme="minorHAnsi"/>
          <w:sz w:val="20"/>
          <w:szCs w:val="20"/>
          <w:lang w:val="en-CA"/>
        </w:rPr>
        <w:t>%</w:t>
      </w:r>
      <w:r w:rsidRPr="008844F5">
        <w:rPr>
          <w:rFonts w:asciiTheme="minorHAnsi" w:hAnsiTheme="minorHAnsi" w:cstheme="minorHAnsi"/>
          <w:sz w:val="20"/>
          <w:szCs w:val="20"/>
          <w:lang w:val="en-CA"/>
        </w:rPr>
        <w:t xml:space="preserve"> Valuation is the discounted value of the reserves after all capital development, operating, costs, and royalties before taxes, discounted to present day dollars</w:t>
      </w:r>
      <w:r w:rsidR="00CA75DA">
        <w:rPr>
          <w:rFonts w:asciiTheme="minorHAnsi" w:hAnsiTheme="minorHAnsi" w:cstheme="minorHAnsi"/>
          <w:sz w:val="20"/>
          <w:szCs w:val="20"/>
          <w:lang w:val="en-CA"/>
        </w:rPr>
        <w:t xml:space="preserve"> </w:t>
      </w:r>
    </w:p>
    <w:p w14:paraId="083773B7" w14:textId="441552BD" w:rsidR="001A575D" w:rsidRPr="00487726" w:rsidRDefault="001A575D" w:rsidP="00DC3392">
      <w:pPr>
        <w:pStyle w:val="PlainText"/>
        <w:numPr>
          <w:ilvl w:val="0"/>
          <w:numId w:val="9"/>
        </w:numPr>
        <w:jc w:val="both"/>
        <w:rPr>
          <w:rFonts w:asciiTheme="minorHAnsi" w:hAnsiTheme="minorHAnsi" w:cstheme="minorHAnsi"/>
          <w:sz w:val="20"/>
          <w:szCs w:val="20"/>
          <w:lang w:val="en-CA"/>
        </w:rPr>
      </w:pPr>
      <w:r w:rsidRPr="001A575D">
        <w:rPr>
          <w:rFonts w:asciiTheme="minorHAnsi" w:hAnsiTheme="minorHAnsi" w:cstheme="minorHAnsi"/>
          <w:sz w:val="20"/>
          <w:szCs w:val="20"/>
          <w:lang w:val="en-CA"/>
        </w:rPr>
        <w:t>Prospective resources have both an associated chance of discovery and a chance of development to derive a final chance of commerciality</w:t>
      </w:r>
      <w:r>
        <w:rPr>
          <w:rFonts w:asciiTheme="minorHAnsi" w:hAnsiTheme="minorHAnsi" w:cstheme="minorHAnsi"/>
          <w:sz w:val="20"/>
          <w:szCs w:val="20"/>
          <w:lang w:val="en-CA"/>
        </w:rPr>
        <w:t>.</w:t>
      </w:r>
      <w:r w:rsidRPr="001A575D">
        <w:rPr>
          <w:rFonts w:asciiTheme="minorHAnsi" w:hAnsiTheme="minorHAnsi" w:cstheme="minorHAnsi"/>
          <w:sz w:val="20"/>
          <w:szCs w:val="20"/>
          <w:lang w:val="en-CA"/>
        </w:rPr>
        <w:t xml:space="preserve"> GLJ has assigned a 90% chance of development for all six prospects and a chance of discovery ranging from 50% to 90% resulting in a range of chance of commerciality from 45% to 81%.</w:t>
      </w:r>
    </w:p>
    <w:p w14:paraId="4C19E797" w14:textId="77777777" w:rsidR="001F6252" w:rsidRDefault="001F6252" w:rsidP="00CA75DA">
      <w:pPr>
        <w:pStyle w:val="NormalWeb"/>
        <w:spacing w:after="0" w:afterAutospacing="0"/>
        <w:rPr>
          <w:rFonts w:ascii="Calibri" w:hAnsi="Calibri" w:cs="Calibri"/>
          <w:b/>
          <w:bCs/>
          <w:szCs w:val="22"/>
          <w:u w:val="single"/>
        </w:rPr>
      </w:pPr>
    </w:p>
    <w:p w14:paraId="601BADA4" w14:textId="2AD86EA8" w:rsidR="00CA75DA" w:rsidRPr="00266E92" w:rsidRDefault="00CA75DA" w:rsidP="00CA75DA">
      <w:pPr>
        <w:pStyle w:val="NormalWeb"/>
        <w:spacing w:after="0" w:afterAutospacing="0"/>
        <w:rPr>
          <w:rFonts w:ascii="Calibri" w:hAnsi="Calibri" w:cs="Calibri"/>
          <w:b/>
          <w:bCs/>
          <w:szCs w:val="22"/>
          <w:u w:val="single"/>
        </w:rPr>
      </w:pPr>
      <w:r w:rsidRPr="00266E92">
        <w:rPr>
          <w:rFonts w:ascii="Calibri" w:hAnsi="Calibri" w:cs="Calibri"/>
          <w:b/>
          <w:bCs/>
          <w:szCs w:val="22"/>
          <w:u w:val="single"/>
        </w:rPr>
        <w:lastRenderedPageBreak/>
        <w:t xml:space="preserve">Management </w:t>
      </w:r>
      <w:r>
        <w:rPr>
          <w:rFonts w:ascii="Calibri" w:hAnsi="Calibri" w:cs="Calibri"/>
          <w:b/>
          <w:bCs/>
          <w:szCs w:val="22"/>
          <w:u w:val="single"/>
        </w:rPr>
        <w:t>D</w:t>
      </w:r>
      <w:r w:rsidRPr="00266E92">
        <w:rPr>
          <w:rFonts w:ascii="Calibri" w:hAnsi="Calibri" w:cs="Calibri"/>
          <w:b/>
          <w:bCs/>
          <w:szCs w:val="22"/>
          <w:u w:val="single"/>
        </w:rPr>
        <w:t>iscussion</w:t>
      </w:r>
    </w:p>
    <w:p w14:paraId="20E153AF" w14:textId="14AAC293" w:rsidR="00CA75DA" w:rsidRDefault="00CA75DA" w:rsidP="00CA75DA">
      <w:pPr>
        <w:pStyle w:val="NormalWeb"/>
        <w:spacing w:after="0" w:afterAutospacing="0"/>
        <w:rPr>
          <w:rFonts w:ascii="Calibri" w:hAnsi="Calibri" w:cs="Calibri"/>
          <w:szCs w:val="22"/>
        </w:rPr>
      </w:pPr>
      <w:r>
        <w:rPr>
          <w:rFonts w:ascii="Calibri" w:hAnsi="Calibri" w:cs="Calibri"/>
          <w:szCs w:val="22"/>
        </w:rPr>
        <w:t>T</w:t>
      </w:r>
      <w:r w:rsidRPr="006B0D7B">
        <w:rPr>
          <w:rFonts w:ascii="Calibri" w:hAnsi="Calibri" w:cs="Calibri"/>
          <w:szCs w:val="22"/>
        </w:rPr>
        <w:t xml:space="preserve">he Company intends to </w:t>
      </w:r>
      <w:r>
        <w:rPr>
          <w:rFonts w:ascii="Calibri" w:hAnsi="Calibri" w:cs="Calibri"/>
          <w:szCs w:val="22"/>
        </w:rPr>
        <w:t xml:space="preserve">realize the value of the gas indicated in the Report with </w:t>
      </w:r>
      <w:r w:rsidR="009A5CB8">
        <w:rPr>
          <w:rFonts w:ascii="Calibri" w:hAnsi="Calibri" w:cs="Calibri"/>
          <w:szCs w:val="22"/>
        </w:rPr>
        <w:t xml:space="preserve">the </w:t>
      </w:r>
      <w:r w:rsidRPr="006B0D7B">
        <w:rPr>
          <w:rFonts w:ascii="Calibri" w:hAnsi="Calibri" w:cs="Calibri"/>
          <w:szCs w:val="22"/>
        </w:rPr>
        <w:t>initial redevelopment of SASB</w:t>
      </w:r>
      <w:r>
        <w:rPr>
          <w:rFonts w:ascii="Calibri" w:hAnsi="Calibri" w:cs="Calibri"/>
          <w:szCs w:val="22"/>
        </w:rPr>
        <w:t xml:space="preserve"> slated for mid-2022</w:t>
      </w:r>
      <w:r w:rsidRPr="006B0D7B">
        <w:rPr>
          <w:rFonts w:ascii="Calibri" w:hAnsi="Calibri" w:cs="Calibri"/>
          <w:szCs w:val="22"/>
        </w:rPr>
        <w:t xml:space="preserve">. </w:t>
      </w:r>
      <w:r>
        <w:rPr>
          <w:rFonts w:ascii="Calibri" w:hAnsi="Calibri" w:cs="Calibri"/>
          <w:szCs w:val="22"/>
        </w:rPr>
        <w:t>The Company is currently taking advice as to a structure for the financing and expects to announce same upon conclusion of the shareholder meeting slated for December 17</w:t>
      </w:r>
      <w:r w:rsidR="00CE105A">
        <w:rPr>
          <w:rFonts w:ascii="Calibri" w:hAnsi="Calibri" w:cs="Calibri"/>
          <w:szCs w:val="22"/>
        </w:rPr>
        <w:t>, 2021,</w:t>
      </w:r>
      <w:r w:rsidR="003E7F7D">
        <w:rPr>
          <w:rFonts w:ascii="Calibri" w:hAnsi="Calibri" w:cs="Calibri"/>
          <w:szCs w:val="22"/>
        </w:rPr>
        <w:t xml:space="preserve"> </w:t>
      </w:r>
      <w:r>
        <w:rPr>
          <w:rFonts w:ascii="Calibri" w:hAnsi="Calibri" w:cs="Calibri"/>
          <w:szCs w:val="22"/>
        </w:rPr>
        <w:t xml:space="preserve">upon a successful vote.  </w:t>
      </w:r>
    </w:p>
    <w:p w14:paraId="7F5411A6" w14:textId="470F853A" w:rsidR="00CA75DA" w:rsidRDefault="00CE105A" w:rsidP="00CA75DA">
      <w:pPr>
        <w:pStyle w:val="NormalWeb"/>
        <w:spacing w:after="0" w:afterAutospacing="0"/>
        <w:rPr>
          <w:rFonts w:ascii="Calibri" w:hAnsi="Calibri" w:cs="Calibri"/>
          <w:szCs w:val="22"/>
        </w:rPr>
      </w:pPr>
      <w:r>
        <w:rPr>
          <w:rFonts w:ascii="Calibri" w:hAnsi="Calibri" w:cs="Calibri"/>
          <w:szCs w:val="22"/>
        </w:rPr>
        <w:t xml:space="preserve">Thirteen </w:t>
      </w:r>
      <w:r w:rsidR="00CA75DA">
        <w:rPr>
          <w:rFonts w:ascii="Calibri" w:hAnsi="Calibri" w:cs="Calibri"/>
          <w:szCs w:val="22"/>
        </w:rPr>
        <w:t xml:space="preserve">additional </w:t>
      </w:r>
      <w:r>
        <w:rPr>
          <w:rFonts w:ascii="Calibri" w:hAnsi="Calibri" w:cs="Calibri"/>
          <w:szCs w:val="22"/>
        </w:rPr>
        <w:t xml:space="preserve">exploration </w:t>
      </w:r>
      <w:r w:rsidR="00CA75DA">
        <w:rPr>
          <w:rFonts w:ascii="Calibri" w:hAnsi="Calibri" w:cs="Calibri"/>
          <w:szCs w:val="22"/>
        </w:rPr>
        <w:t xml:space="preserve">gas prospects </w:t>
      </w:r>
      <w:r w:rsidR="00CA75DA" w:rsidRPr="006B0D7B">
        <w:rPr>
          <w:rFonts w:ascii="Calibri" w:hAnsi="Calibri" w:cs="Calibri"/>
          <w:szCs w:val="22"/>
        </w:rPr>
        <w:t>comprised of stratigraphic channels</w:t>
      </w:r>
      <w:r>
        <w:rPr>
          <w:rFonts w:ascii="Calibri" w:hAnsi="Calibri" w:cs="Calibri"/>
          <w:szCs w:val="22"/>
        </w:rPr>
        <w:t xml:space="preserve"> </w:t>
      </w:r>
      <w:proofErr w:type="gramStart"/>
      <w:r>
        <w:rPr>
          <w:rFonts w:ascii="Calibri" w:hAnsi="Calibri" w:cs="Calibri"/>
          <w:szCs w:val="22"/>
        </w:rPr>
        <w:t>and also</w:t>
      </w:r>
      <w:proofErr w:type="gramEnd"/>
      <w:r>
        <w:rPr>
          <w:rFonts w:ascii="Calibri" w:hAnsi="Calibri" w:cs="Calibri"/>
          <w:szCs w:val="22"/>
        </w:rPr>
        <w:t xml:space="preserve"> known</w:t>
      </w:r>
      <w:r w:rsidRPr="006B0D7B">
        <w:rPr>
          <w:rFonts w:ascii="Calibri" w:hAnsi="Calibri" w:cs="Calibri"/>
          <w:szCs w:val="22"/>
        </w:rPr>
        <w:t xml:space="preserve"> </w:t>
      </w:r>
      <w:r w:rsidR="00CA75DA" w:rsidRPr="006B0D7B">
        <w:rPr>
          <w:rFonts w:ascii="Calibri" w:hAnsi="Calibri" w:cs="Calibri"/>
          <w:szCs w:val="22"/>
        </w:rPr>
        <w:t>thin bed gas layers in the existing fields</w:t>
      </w:r>
      <w:r w:rsidR="00CA75DA">
        <w:rPr>
          <w:rFonts w:ascii="Calibri" w:hAnsi="Calibri" w:cs="Calibri"/>
          <w:szCs w:val="22"/>
        </w:rPr>
        <w:t xml:space="preserve"> will be further assessed in 2022-23 using update seismic</w:t>
      </w:r>
      <w:r w:rsidR="009A5CB8">
        <w:rPr>
          <w:rFonts w:ascii="Calibri" w:hAnsi="Calibri" w:cs="Calibri"/>
          <w:szCs w:val="22"/>
        </w:rPr>
        <w:t xml:space="preserve"> when available;</w:t>
      </w:r>
      <w:r w:rsidR="00CA75DA" w:rsidRPr="006B0D7B">
        <w:rPr>
          <w:rFonts w:ascii="Calibri" w:hAnsi="Calibri" w:cs="Calibri"/>
          <w:szCs w:val="22"/>
        </w:rPr>
        <w:t xml:space="preserve"> </w:t>
      </w:r>
      <w:r w:rsidR="00CA75DA">
        <w:rPr>
          <w:rFonts w:ascii="Calibri" w:hAnsi="Calibri" w:cs="Calibri"/>
          <w:szCs w:val="22"/>
        </w:rPr>
        <w:t>Moreover, the Company plans to evaluate certain exploration prospects surrounding the block with large blue</w:t>
      </w:r>
      <w:r w:rsidR="009A5CB8">
        <w:rPr>
          <w:rFonts w:ascii="Calibri" w:hAnsi="Calibri" w:cs="Calibri"/>
          <w:szCs w:val="22"/>
        </w:rPr>
        <w:t>-</w:t>
      </w:r>
      <w:r w:rsidR="00CA75DA">
        <w:rPr>
          <w:rFonts w:ascii="Calibri" w:hAnsi="Calibri" w:cs="Calibri"/>
          <w:szCs w:val="22"/>
        </w:rPr>
        <w:t>sky potential</w:t>
      </w:r>
      <w:r w:rsidR="009A5CB8">
        <w:rPr>
          <w:rFonts w:ascii="Calibri" w:hAnsi="Calibri" w:cs="Calibri"/>
          <w:szCs w:val="22"/>
        </w:rPr>
        <w:t>,</w:t>
      </w:r>
      <w:r w:rsidR="00CA75DA">
        <w:rPr>
          <w:rFonts w:ascii="Calibri" w:hAnsi="Calibri" w:cs="Calibri"/>
          <w:szCs w:val="22"/>
        </w:rPr>
        <w:t xml:space="preserve"> </w:t>
      </w:r>
      <w:r w:rsidR="009A5CB8">
        <w:rPr>
          <w:rFonts w:ascii="Calibri" w:hAnsi="Calibri" w:cs="Calibri"/>
          <w:szCs w:val="22"/>
        </w:rPr>
        <w:t xml:space="preserve">all </w:t>
      </w:r>
      <w:r w:rsidR="00CA75DA">
        <w:rPr>
          <w:rFonts w:ascii="Calibri" w:hAnsi="Calibri" w:cs="Calibri"/>
          <w:szCs w:val="22"/>
        </w:rPr>
        <w:t>after getting the existing near-term development project funded and off the ground.</w:t>
      </w:r>
    </w:p>
    <w:p w14:paraId="4F8BA7BB" w14:textId="77777777" w:rsidR="00CA75DA" w:rsidRDefault="00CA75DA" w:rsidP="00DC3392">
      <w:pPr>
        <w:pStyle w:val="PlainText"/>
        <w:jc w:val="both"/>
        <w:rPr>
          <w:rFonts w:asciiTheme="minorHAnsi" w:hAnsiTheme="minorHAnsi" w:cstheme="minorHAnsi"/>
          <w:b/>
          <w:bCs/>
          <w:sz w:val="24"/>
          <w:szCs w:val="24"/>
          <w:lang w:val="en-CA"/>
        </w:rPr>
      </w:pPr>
    </w:p>
    <w:p w14:paraId="05FFB538" w14:textId="57360C88" w:rsidR="00DC3392" w:rsidRPr="003B5279" w:rsidRDefault="00DC3392" w:rsidP="00DC3392">
      <w:pPr>
        <w:pStyle w:val="PlainText"/>
        <w:jc w:val="both"/>
        <w:rPr>
          <w:rFonts w:asciiTheme="minorHAnsi" w:hAnsiTheme="minorHAnsi" w:cstheme="minorHAnsi"/>
          <w:b/>
          <w:bCs/>
          <w:sz w:val="24"/>
          <w:szCs w:val="24"/>
          <w:lang w:val="en-CA"/>
        </w:rPr>
      </w:pPr>
      <w:r w:rsidRPr="003B5279">
        <w:rPr>
          <w:rFonts w:asciiTheme="minorHAnsi" w:hAnsiTheme="minorHAnsi" w:cstheme="minorHAnsi"/>
          <w:b/>
          <w:bCs/>
          <w:sz w:val="24"/>
          <w:szCs w:val="24"/>
          <w:lang w:val="en-CA"/>
        </w:rPr>
        <w:t>About the Company</w:t>
      </w:r>
    </w:p>
    <w:p w14:paraId="7212950E" w14:textId="35282526" w:rsidR="00A27D1A" w:rsidRPr="00276F89" w:rsidRDefault="00A27D1A" w:rsidP="00A27D1A">
      <w:pPr>
        <w:pStyle w:val="NormalWeb"/>
        <w:jc w:val="both"/>
        <w:rPr>
          <w:rFonts w:asciiTheme="minorHAnsi" w:hAnsiTheme="minorHAnsi" w:cstheme="minorHAnsi"/>
          <w:lang w:val="en-GB"/>
        </w:rPr>
      </w:pPr>
      <w:r w:rsidRPr="00276F89">
        <w:rPr>
          <w:rFonts w:asciiTheme="minorHAnsi" w:hAnsiTheme="minorHAnsi" w:cstheme="minorHAnsi"/>
          <w:lang w:val="en-GB"/>
        </w:rPr>
        <w:t xml:space="preserve">Trillion Energy </w:t>
      </w:r>
      <w:r w:rsidRPr="00276F89">
        <w:rPr>
          <w:rFonts w:asciiTheme="minorHAnsi" w:hAnsiTheme="minorHAnsi" w:cstheme="minorHAnsi"/>
          <w:lang w:val="en-CA"/>
        </w:rPr>
        <w:t>is an oil and gas producing company with</w:t>
      </w:r>
      <w:r w:rsidRPr="00276F89">
        <w:rPr>
          <w:rFonts w:asciiTheme="minorHAnsi" w:hAnsiTheme="minorHAnsi" w:cstheme="minorHAnsi"/>
          <w:lang w:val="en-GB"/>
        </w:rPr>
        <w:t xml:space="preserve"> </w:t>
      </w:r>
      <w:r w:rsidR="00D233CD" w:rsidRPr="00276F89">
        <w:rPr>
          <w:rFonts w:asciiTheme="minorHAnsi" w:hAnsiTheme="minorHAnsi" w:cstheme="minorHAnsi"/>
          <w:lang w:val="en-GB"/>
        </w:rPr>
        <w:t xml:space="preserve">multiple </w:t>
      </w:r>
      <w:r w:rsidRPr="00276F89">
        <w:rPr>
          <w:rFonts w:asciiTheme="minorHAnsi" w:hAnsiTheme="minorHAnsi" w:cstheme="minorHAnsi"/>
          <w:lang w:val="en-GB"/>
        </w:rPr>
        <w:t xml:space="preserve">assets </w:t>
      </w:r>
      <w:r w:rsidR="00D233CD" w:rsidRPr="00276F89">
        <w:rPr>
          <w:rFonts w:asciiTheme="minorHAnsi" w:hAnsiTheme="minorHAnsi" w:cstheme="minorHAnsi"/>
          <w:lang w:val="en-GB"/>
        </w:rPr>
        <w:t>throughout</w:t>
      </w:r>
      <w:r w:rsidRPr="00276F89">
        <w:rPr>
          <w:rFonts w:asciiTheme="minorHAnsi" w:hAnsiTheme="minorHAnsi" w:cstheme="minorHAnsi"/>
          <w:lang w:val="en-GB"/>
        </w:rPr>
        <w:t xml:space="preserve"> Turkey and Bulgaria</w:t>
      </w:r>
      <w:r w:rsidRPr="00276F89">
        <w:rPr>
          <w:rFonts w:asciiTheme="minorHAnsi" w:hAnsiTheme="minorHAnsi" w:cstheme="minorHAnsi"/>
        </w:rPr>
        <w:t>.</w:t>
      </w:r>
      <w:r w:rsidRPr="00276F89">
        <w:rPr>
          <w:rFonts w:asciiTheme="minorHAnsi" w:hAnsiTheme="minorHAnsi" w:cstheme="minorHAnsi"/>
          <w:lang w:val="en-GB"/>
        </w:rPr>
        <w:t xml:space="preserve"> </w:t>
      </w:r>
      <w:r w:rsidRPr="00276F89">
        <w:rPr>
          <w:rFonts w:asciiTheme="minorHAnsi" w:hAnsiTheme="minorHAnsi" w:cstheme="minorHAnsi"/>
        </w:rPr>
        <w:t xml:space="preserve">The Company is 49% owner of the SASB natural gas field, one of the Black Sea’s first </w:t>
      </w:r>
      <w:r w:rsidR="001F6252">
        <w:rPr>
          <w:rFonts w:asciiTheme="minorHAnsi" w:hAnsiTheme="minorHAnsi" w:cstheme="minorHAnsi"/>
        </w:rPr>
        <w:t xml:space="preserve">major </w:t>
      </w:r>
      <w:r w:rsidRPr="00276F89">
        <w:rPr>
          <w:rFonts w:asciiTheme="minorHAnsi" w:hAnsiTheme="minorHAnsi" w:cstheme="minorHAnsi"/>
        </w:rPr>
        <w:t xml:space="preserve">natural gas development projects; </w:t>
      </w:r>
      <w:r w:rsidRPr="00276F89">
        <w:rPr>
          <w:rFonts w:asciiTheme="minorHAnsi" w:hAnsiTheme="minorHAnsi" w:cstheme="minorHAnsi"/>
          <w:lang w:val="en-GB"/>
        </w:rPr>
        <w:t>a 1</w:t>
      </w:r>
      <w:r w:rsidRPr="00276F89">
        <w:rPr>
          <w:rFonts w:asciiTheme="minorHAnsi" w:hAnsiTheme="minorHAnsi" w:cstheme="minorHAnsi"/>
          <w:lang w:val="en-CA"/>
        </w:rPr>
        <w:t>9.6</w:t>
      </w:r>
      <w:r w:rsidRPr="00276F89">
        <w:rPr>
          <w:rFonts w:asciiTheme="minorHAnsi" w:hAnsiTheme="minorHAnsi" w:cstheme="minorHAnsi"/>
          <w:lang w:val="en-GB"/>
        </w:rPr>
        <w:t xml:space="preserve">% </w:t>
      </w:r>
      <w:r w:rsidRPr="00276F89">
        <w:rPr>
          <w:rFonts w:asciiTheme="minorHAnsi" w:hAnsiTheme="minorHAnsi" w:cstheme="minorHAnsi"/>
          <w:lang w:val="en-CA"/>
        </w:rPr>
        <w:t xml:space="preserve">(except three wells with 9.8%) </w:t>
      </w:r>
      <w:r w:rsidR="004D458A">
        <w:rPr>
          <w:rFonts w:asciiTheme="minorHAnsi" w:hAnsiTheme="minorHAnsi" w:cstheme="minorHAnsi"/>
          <w:lang w:val="en-CA"/>
        </w:rPr>
        <w:t xml:space="preserve">ownership </w:t>
      </w:r>
      <w:r w:rsidRPr="00276F89">
        <w:rPr>
          <w:rFonts w:asciiTheme="minorHAnsi" w:hAnsiTheme="minorHAnsi" w:cstheme="minorHAnsi"/>
          <w:lang w:val="en-GB"/>
        </w:rPr>
        <w:t xml:space="preserve">interest in the Cendere oil </w:t>
      </w:r>
      <w:r w:rsidR="00150103" w:rsidRPr="00276F89">
        <w:rPr>
          <w:rFonts w:asciiTheme="minorHAnsi" w:hAnsiTheme="minorHAnsi" w:cstheme="minorHAnsi"/>
          <w:lang w:val="en-GB"/>
        </w:rPr>
        <w:t>field</w:t>
      </w:r>
      <w:r w:rsidRPr="00276F89">
        <w:rPr>
          <w:rFonts w:asciiTheme="minorHAnsi" w:hAnsiTheme="minorHAnsi" w:cstheme="minorHAnsi"/>
          <w:lang w:val="en-GB"/>
        </w:rPr>
        <w:t xml:space="preserve">; and in Bulgaria, the Vranino 1-11 block, a prospective unconventional natural gas property. </w:t>
      </w:r>
    </w:p>
    <w:p w14:paraId="3E4F1A58" w14:textId="3EBA498E" w:rsidR="004E066B" w:rsidRPr="005D5D98" w:rsidRDefault="004E066B" w:rsidP="002316DE">
      <w:pPr>
        <w:pStyle w:val="NormalWeb"/>
        <w:jc w:val="both"/>
        <w:rPr>
          <w:rFonts w:asciiTheme="minorHAnsi" w:hAnsiTheme="minorHAnsi" w:cstheme="minorHAnsi"/>
          <w:lang w:val="en-CA"/>
        </w:rPr>
      </w:pPr>
      <w:r w:rsidRPr="005D5D98">
        <w:rPr>
          <w:rFonts w:asciiTheme="minorHAnsi" w:hAnsiTheme="minorHAnsi" w:cstheme="minorHAnsi"/>
          <w:lang w:val="en-CA"/>
        </w:rPr>
        <w:t xml:space="preserve">The Company’s NI 51-101 and other reports relating to its reserves </w:t>
      </w:r>
      <w:r w:rsidR="00EC7CDB" w:rsidRPr="005D5D98">
        <w:rPr>
          <w:rFonts w:asciiTheme="minorHAnsi" w:hAnsiTheme="minorHAnsi" w:cstheme="minorHAnsi"/>
          <w:lang w:val="en-CA"/>
        </w:rPr>
        <w:t xml:space="preserve">as </w:t>
      </w:r>
      <w:r w:rsidR="00150103" w:rsidRPr="005D5D98">
        <w:rPr>
          <w:rFonts w:asciiTheme="minorHAnsi" w:hAnsiTheme="minorHAnsi" w:cstheme="minorHAnsi"/>
          <w:lang w:val="en-CA"/>
        </w:rPr>
        <w:t>of</w:t>
      </w:r>
      <w:r w:rsidR="00EC7CDB" w:rsidRPr="005D5D98">
        <w:rPr>
          <w:rFonts w:asciiTheme="minorHAnsi" w:hAnsiTheme="minorHAnsi" w:cstheme="minorHAnsi"/>
          <w:lang w:val="en-CA"/>
        </w:rPr>
        <w:t xml:space="preserve"> December 31, </w:t>
      </w:r>
      <w:proofErr w:type="gramStart"/>
      <w:r w:rsidR="00EC7CDB" w:rsidRPr="005D5D98">
        <w:rPr>
          <w:rFonts w:asciiTheme="minorHAnsi" w:hAnsiTheme="minorHAnsi" w:cstheme="minorHAnsi"/>
          <w:lang w:val="en-CA"/>
        </w:rPr>
        <w:t>20</w:t>
      </w:r>
      <w:r w:rsidR="00444B28">
        <w:rPr>
          <w:rFonts w:asciiTheme="minorHAnsi" w:hAnsiTheme="minorHAnsi" w:cstheme="minorHAnsi"/>
          <w:lang w:val="en-CA"/>
        </w:rPr>
        <w:t>20</w:t>
      </w:r>
      <w:proofErr w:type="gramEnd"/>
      <w:r w:rsidR="00EC7CDB" w:rsidRPr="005D5D98">
        <w:rPr>
          <w:rFonts w:asciiTheme="minorHAnsi" w:hAnsiTheme="minorHAnsi" w:cstheme="minorHAnsi"/>
          <w:lang w:val="en-CA"/>
        </w:rPr>
        <w:t xml:space="preserve"> </w:t>
      </w:r>
      <w:r w:rsidR="000E20DE">
        <w:rPr>
          <w:rFonts w:asciiTheme="minorHAnsi" w:hAnsiTheme="minorHAnsi" w:cstheme="minorHAnsi"/>
          <w:lang w:val="en-CA"/>
        </w:rPr>
        <w:t xml:space="preserve">and prospective resources </w:t>
      </w:r>
      <w:r w:rsidR="004C1170">
        <w:rPr>
          <w:rFonts w:asciiTheme="minorHAnsi" w:hAnsiTheme="minorHAnsi" w:cstheme="minorHAnsi"/>
          <w:lang w:val="en-CA"/>
        </w:rPr>
        <w:t xml:space="preserve">may be found </w:t>
      </w:r>
      <w:r w:rsidRPr="005D5D98">
        <w:rPr>
          <w:rFonts w:asciiTheme="minorHAnsi" w:hAnsiTheme="minorHAnsi" w:cstheme="minorHAnsi"/>
          <w:lang w:val="en-CA"/>
        </w:rPr>
        <w:t xml:space="preserve">on </w:t>
      </w:r>
      <w:hyperlink r:id="rId9" w:history="1">
        <w:r w:rsidR="00693868" w:rsidRPr="005D5D98">
          <w:rPr>
            <w:rStyle w:val="Hyperlink"/>
            <w:rFonts w:asciiTheme="minorHAnsi" w:hAnsiTheme="minorHAnsi" w:cstheme="minorHAnsi"/>
          </w:rPr>
          <w:t>www.sedar.com</w:t>
        </w:r>
      </w:hyperlink>
      <w:r w:rsidR="00FA6BD5">
        <w:rPr>
          <w:rFonts w:asciiTheme="minorHAnsi" w:hAnsiTheme="minorHAnsi" w:cstheme="minorHAnsi"/>
          <w:lang w:val="en-CA"/>
        </w:rPr>
        <w:t xml:space="preserve"> </w:t>
      </w:r>
      <w:r w:rsidRPr="005D5D98">
        <w:rPr>
          <w:rFonts w:asciiTheme="minorHAnsi" w:hAnsiTheme="minorHAnsi" w:cstheme="minorHAnsi"/>
          <w:lang w:val="en-CA"/>
        </w:rPr>
        <w:t>as well as the Company’s website</w:t>
      </w:r>
      <w:r w:rsidR="00E269CC" w:rsidRPr="005D5D98">
        <w:rPr>
          <w:rFonts w:asciiTheme="minorHAnsi" w:hAnsiTheme="minorHAnsi" w:cstheme="minorHAnsi"/>
          <w:lang w:val="en-CA"/>
        </w:rPr>
        <w:t>.</w:t>
      </w:r>
      <w:r w:rsidR="004C1170">
        <w:rPr>
          <w:rFonts w:asciiTheme="minorHAnsi" w:hAnsiTheme="minorHAnsi" w:cstheme="minorHAnsi"/>
          <w:lang w:val="en-CA"/>
        </w:rPr>
        <w:t xml:space="preserve"> </w:t>
      </w:r>
      <w:r w:rsidR="00FA6BD5">
        <w:rPr>
          <w:rFonts w:asciiTheme="minorHAnsi" w:hAnsiTheme="minorHAnsi" w:cstheme="minorHAnsi"/>
          <w:lang w:val="en-CA"/>
        </w:rPr>
        <w:t xml:space="preserve"> </w:t>
      </w:r>
    </w:p>
    <w:p w14:paraId="59E626BC" w14:textId="77777777" w:rsidR="00B81FC3" w:rsidRPr="007106C8" w:rsidRDefault="00B81FC3" w:rsidP="00AD3EFA">
      <w:pPr>
        <w:pStyle w:val="PlainText"/>
        <w:rPr>
          <w:rFonts w:asciiTheme="minorHAnsi" w:hAnsiTheme="minorHAnsi" w:cstheme="minorHAnsi"/>
          <w:b/>
          <w:bCs/>
          <w:szCs w:val="22"/>
        </w:rPr>
      </w:pPr>
      <w:r w:rsidRPr="007106C8">
        <w:rPr>
          <w:rFonts w:asciiTheme="minorHAnsi" w:hAnsiTheme="minorHAnsi" w:cstheme="minorHAnsi"/>
          <w:b/>
          <w:bCs/>
          <w:szCs w:val="22"/>
        </w:rPr>
        <w:t>Contact</w:t>
      </w:r>
    </w:p>
    <w:p w14:paraId="77C30ED1" w14:textId="536B63F2" w:rsidR="00AD3EFA" w:rsidRPr="00CF6A25" w:rsidRDefault="00B81FC3" w:rsidP="00AD3EFA">
      <w:pPr>
        <w:pStyle w:val="PlainText"/>
        <w:rPr>
          <w:rFonts w:asciiTheme="minorHAnsi" w:hAnsiTheme="minorHAnsi" w:cstheme="minorHAnsi"/>
          <w:szCs w:val="22"/>
        </w:rPr>
      </w:pPr>
      <w:r>
        <w:rPr>
          <w:rFonts w:asciiTheme="minorHAnsi" w:hAnsiTheme="minorHAnsi" w:cstheme="minorHAnsi"/>
          <w:szCs w:val="22"/>
        </w:rPr>
        <w:t>Art Halleran</w:t>
      </w:r>
      <w:r w:rsidR="00AD3EFA" w:rsidRPr="00CF6A25">
        <w:rPr>
          <w:rFonts w:asciiTheme="minorHAnsi" w:hAnsiTheme="minorHAnsi" w:cstheme="minorHAnsi"/>
          <w:szCs w:val="22"/>
        </w:rPr>
        <w:t>: 1-250-996-4211</w:t>
      </w:r>
    </w:p>
    <w:p w14:paraId="111C60F0" w14:textId="43AECD38" w:rsidR="00AD3EFA" w:rsidRPr="00CF6A25" w:rsidRDefault="00B81FC3" w:rsidP="00AD3EFA">
      <w:pPr>
        <w:pStyle w:val="PlainText"/>
        <w:rPr>
          <w:rFonts w:asciiTheme="minorHAnsi" w:hAnsiTheme="minorHAnsi" w:cstheme="minorHAnsi"/>
          <w:szCs w:val="22"/>
          <w:lang w:val="en-GB"/>
        </w:rPr>
      </w:pPr>
      <w:r>
        <w:rPr>
          <w:rFonts w:asciiTheme="minorHAnsi" w:hAnsiTheme="minorHAnsi" w:cstheme="minorHAnsi"/>
          <w:szCs w:val="22"/>
        </w:rPr>
        <w:t>Corporate offices</w:t>
      </w:r>
      <w:r w:rsidR="00AD3EFA" w:rsidRPr="00CF6A25">
        <w:rPr>
          <w:rFonts w:asciiTheme="minorHAnsi" w:hAnsiTheme="minorHAnsi" w:cstheme="minorHAnsi"/>
          <w:szCs w:val="22"/>
        </w:rPr>
        <w:t>: 1-778-819-1585</w:t>
      </w:r>
    </w:p>
    <w:p w14:paraId="08BF9827" w14:textId="77777777" w:rsidR="00AD3EFA" w:rsidRPr="00CF6A25" w:rsidRDefault="00AD3EFA" w:rsidP="00AD3EFA">
      <w:pPr>
        <w:pStyle w:val="PlainText"/>
        <w:rPr>
          <w:rFonts w:asciiTheme="minorHAnsi" w:hAnsiTheme="minorHAnsi" w:cstheme="minorHAnsi"/>
          <w:szCs w:val="22"/>
        </w:rPr>
      </w:pPr>
      <w:r w:rsidRPr="00CF6A25">
        <w:rPr>
          <w:rFonts w:asciiTheme="minorHAnsi" w:hAnsiTheme="minorHAnsi" w:cstheme="minorHAnsi"/>
          <w:szCs w:val="22"/>
        </w:rPr>
        <w:t xml:space="preserve">e-mail: </w:t>
      </w:r>
      <w:hyperlink r:id="rId10" w:history="1">
        <w:r w:rsidRPr="00CF6A25">
          <w:rPr>
            <w:rStyle w:val="Hyperlink"/>
            <w:rFonts w:asciiTheme="minorHAnsi" w:hAnsiTheme="minorHAnsi" w:cstheme="minorHAnsi"/>
            <w:szCs w:val="22"/>
          </w:rPr>
          <w:t>info@trillionenergy.com</w:t>
        </w:r>
      </w:hyperlink>
    </w:p>
    <w:p w14:paraId="4F147FF6" w14:textId="50BE7899" w:rsidR="00A65E3A" w:rsidRPr="003D137C" w:rsidRDefault="00AD3EFA" w:rsidP="003D137C">
      <w:pPr>
        <w:pStyle w:val="PlainText"/>
        <w:rPr>
          <w:rFonts w:asciiTheme="minorHAnsi" w:hAnsiTheme="minorHAnsi" w:cstheme="minorHAnsi"/>
          <w:szCs w:val="22"/>
        </w:rPr>
      </w:pPr>
      <w:r w:rsidRPr="00CF6A25">
        <w:rPr>
          <w:rFonts w:asciiTheme="minorHAnsi" w:hAnsiTheme="minorHAnsi" w:cstheme="minorHAnsi"/>
          <w:szCs w:val="22"/>
        </w:rPr>
        <w:t xml:space="preserve">Website: </w:t>
      </w:r>
      <w:hyperlink r:id="rId11" w:history="1">
        <w:r w:rsidRPr="00CF6A25">
          <w:rPr>
            <w:rStyle w:val="Hyperlink"/>
            <w:rFonts w:asciiTheme="minorHAnsi" w:hAnsiTheme="minorHAnsi" w:cstheme="minorHAnsi"/>
            <w:szCs w:val="22"/>
          </w:rPr>
          <w:t>www.trillionenergy.com</w:t>
        </w:r>
      </w:hyperlink>
      <w:r w:rsidRPr="00CF6A25">
        <w:rPr>
          <w:rFonts w:asciiTheme="minorHAnsi" w:hAnsiTheme="minorHAnsi" w:cstheme="minorHAnsi"/>
          <w:szCs w:val="22"/>
        </w:rPr>
        <w:t xml:space="preserve"> </w:t>
      </w:r>
    </w:p>
    <w:p w14:paraId="4B713610" w14:textId="66E3949E" w:rsidR="00D0080B" w:rsidRPr="00D0080B" w:rsidRDefault="00DC3392" w:rsidP="00D0080B">
      <w:pPr>
        <w:autoSpaceDE w:val="0"/>
        <w:autoSpaceDN w:val="0"/>
        <w:adjustRightInd w:val="0"/>
        <w:spacing w:before="360" w:after="0"/>
        <w:jc w:val="both"/>
        <w:rPr>
          <w:rFonts w:asciiTheme="minorHAnsi" w:hAnsiTheme="minorHAnsi" w:cstheme="minorHAnsi"/>
          <w:b/>
          <w:bCs/>
          <w:sz w:val="16"/>
          <w:szCs w:val="16"/>
        </w:rPr>
      </w:pPr>
      <w:r w:rsidRPr="00CF6A25">
        <w:rPr>
          <w:rFonts w:asciiTheme="minorHAnsi" w:hAnsiTheme="minorHAnsi" w:cstheme="minorHAnsi"/>
          <w:b/>
          <w:bCs/>
          <w:sz w:val="16"/>
          <w:szCs w:val="16"/>
        </w:rPr>
        <w:t>Cautionary Statement Regarding Forward</w:t>
      </w:r>
      <w:r w:rsidRPr="00E80417">
        <w:rPr>
          <w:rFonts w:asciiTheme="minorHAnsi" w:hAnsiTheme="minorHAnsi" w:cstheme="minorHAnsi"/>
          <w:b/>
          <w:bCs/>
          <w:sz w:val="16"/>
          <w:szCs w:val="16"/>
        </w:rPr>
        <w:t>-Looking Statements</w:t>
      </w:r>
      <w:r w:rsidR="00E80417" w:rsidRPr="00E80417">
        <w:rPr>
          <w:rFonts w:asciiTheme="minorHAnsi" w:hAnsiTheme="minorHAnsi" w:cstheme="minorHAnsi"/>
          <w:b/>
          <w:bCs/>
          <w:sz w:val="16"/>
          <w:szCs w:val="16"/>
        </w:rPr>
        <w:t xml:space="preserve"> and other information about this news release and the Company reserves</w:t>
      </w:r>
    </w:p>
    <w:p w14:paraId="2481121F" w14:textId="353F04B7" w:rsidR="00BD4578" w:rsidRDefault="00BD4578" w:rsidP="00DC3392">
      <w:pPr>
        <w:autoSpaceDE w:val="0"/>
        <w:autoSpaceDN w:val="0"/>
        <w:adjustRightInd w:val="0"/>
        <w:spacing w:before="120" w:after="0"/>
        <w:jc w:val="both"/>
        <w:rPr>
          <w:rFonts w:ascii="Times New Roman" w:hAnsi="Times New Roman"/>
          <w:i/>
          <w:sz w:val="16"/>
          <w:szCs w:val="16"/>
        </w:rPr>
      </w:pPr>
      <w:r>
        <w:rPr>
          <w:rFonts w:ascii="Times New Roman" w:hAnsi="Times New Roman"/>
          <w:i/>
          <w:sz w:val="16"/>
          <w:szCs w:val="16"/>
        </w:rPr>
        <w:t xml:space="preserve">The accuracy of any resources estimate is a function of the quality and quantity of available data and of engineering interpretation and judgement. While resources </w:t>
      </w:r>
      <w:r w:rsidR="00FA1857">
        <w:rPr>
          <w:rFonts w:ascii="Times New Roman" w:hAnsi="Times New Roman"/>
          <w:i/>
          <w:sz w:val="16"/>
          <w:szCs w:val="16"/>
        </w:rPr>
        <w:t>estimate</w:t>
      </w:r>
      <w:r>
        <w:rPr>
          <w:rFonts w:ascii="Times New Roman" w:hAnsi="Times New Roman"/>
          <w:i/>
          <w:sz w:val="16"/>
          <w:szCs w:val="16"/>
        </w:rPr>
        <w:t xml:space="preserve"> presented herein are considered reasonable, the estimates should be accepted with the understanding that reservoirs performance </w:t>
      </w:r>
      <w:proofErr w:type="gramStart"/>
      <w:r>
        <w:rPr>
          <w:rFonts w:ascii="Times New Roman" w:hAnsi="Times New Roman"/>
          <w:i/>
          <w:sz w:val="16"/>
          <w:szCs w:val="16"/>
        </w:rPr>
        <w:t>subsequent to</w:t>
      </w:r>
      <w:proofErr w:type="gramEnd"/>
      <w:r>
        <w:rPr>
          <w:rFonts w:ascii="Times New Roman" w:hAnsi="Times New Roman"/>
          <w:i/>
          <w:sz w:val="16"/>
          <w:szCs w:val="16"/>
        </w:rPr>
        <w:t xml:space="preserve"> the date of the estimate may justify revision, either upward or downward.</w:t>
      </w:r>
    </w:p>
    <w:p w14:paraId="5E87830E" w14:textId="082701D6" w:rsidR="00BD4578" w:rsidRDefault="00BD4578" w:rsidP="00DC3392">
      <w:pPr>
        <w:autoSpaceDE w:val="0"/>
        <w:autoSpaceDN w:val="0"/>
        <w:adjustRightInd w:val="0"/>
        <w:spacing w:before="120" w:after="0"/>
        <w:jc w:val="both"/>
        <w:rPr>
          <w:rFonts w:ascii="Times New Roman" w:hAnsi="Times New Roman"/>
          <w:i/>
          <w:sz w:val="16"/>
          <w:szCs w:val="16"/>
        </w:rPr>
      </w:pPr>
      <w:r>
        <w:rPr>
          <w:rFonts w:ascii="Times New Roman" w:hAnsi="Times New Roman"/>
          <w:i/>
          <w:sz w:val="16"/>
          <w:szCs w:val="16"/>
        </w:rPr>
        <w:t>Revenue projections presented in this report</w:t>
      </w:r>
      <w:r w:rsidR="005E05ED">
        <w:rPr>
          <w:rFonts w:ascii="Times New Roman" w:hAnsi="Times New Roman"/>
          <w:i/>
          <w:sz w:val="16"/>
          <w:szCs w:val="16"/>
        </w:rPr>
        <w:t xml:space="preserve"> are based in part on forecasts of market prices, currency exchange rates, inflation, market demand and government policy which are subject to many uncertainties and may, in future, differ materially from the forecasts utilized herein. Present values of revenues documented in this report do not necessarily represent the fair market value of the resources evaluated herein.</w:t>
      </w:r>
    </w:p>
    <w:p w14:paraId="657588FF" w14:textId="4B823A72" w:rsidR="00D75418" w:rsidRDefault="00DC3392" w:rsidP="00DC3392">
      <w:pPr>
        <w:autoSpaceDE w:val="0"/>
        <w:autoSpaceDN w:val="0"/>
        <w:adjustRightInd w:val="0"/>
        <w:spacing w:before="120" w:after="0"/>
        <w:jc w:val="both"/>
        <w:rPr>
          <w:rFonts w:ascii="Times New Roman" w:hAnsi="Times New Roman"/>
          <w:i/>
          <w:sz w:val="16"/>
          <w:szCs w:val="16"/>
        </w:rPr>
      </w:pPr>
      <w:r w:rsidRPr="00DC3392">
        <w:rPr>
          <w:rFonts w:ascii="Times New Roman" w:hAnsi="Times New Roman"/>
          <w:i/>
          <w:sz w:val="16"/>
          <w:szCs w:val="16"/>
        </w:rPr>
        <w:t xml:space="preserve">This release contains forward-looking statements, which are based on current expectations, estimates, and projections about the Company’s business and prospects, as well as management’s beliefs, and certain assumptions made by management. Words such as “anticipates,” “expects,” “intends,” “plans,” “believes,” “seeks,” “estimates,” “may,” “should,” “will” and variations of these words are intended to identify forward-looking statements. Such statements speak only as of the date hereof and are subject to change. The Company undertakes no obligation to publicly revise or update any forward-looking statements for any reason. These statements include, but are not limited to, statements about the Company’s prospectus listing on the Canadian Securities Exchange, the potential impact on the market for its securities, expansion and business strategies, anticipated growth opportunities, and the amount of fundraising necessary to achieve the foregoing. Such statements are not </w:t>
      </w:r>
      <w:r w:rsidR="00FA1857" w:rsidRPr="00DC3392">
        <w:rPr>
          <w:rFonts w:ascii="Times New Roman" w:hAnsi="Times New Roman"/>
          <w:i/>
          <w:sz w:val="16"/>
          <w:szCs w:val="16"/>
        </w:rPr>
        <w:t>guaranteeing</w:t>
      </w:r>
      <w:r w:rsidRPr="00DC3392">
        <w:rPr>
          <w:rFonts w:ascii="Times New Roman" w:hAnsi="Times New Roman"/>
          <w:i/>
          <w:sz w:val="16"/>
          <w:szCs w:val="16"/>
        </w:rPr>
        <w:t xml:space="preserve"> of future performance and are subject to certain risks, uncertainties, and assumptions that are difficult to predict. Accordingly, actual results could differ materially and adversely from those expressed in any forward-looking statements </w:t>
      </w:r>
      <w:proofErr w:type="gramStart"/>
      <w:r w:rsidRPr="00DC3392">
        <w:rPr>
          <w:rFonts w:ascii="Times New Roman" w:hAnsi="Times New Roman"/>
          <w:i/>
          <w:sz w:val="16"/>
          <w:szCs w:val="16"/>
        </w:rPr>
        <w:t>as a result of</w:t>
      </w:r>
      <w:proofErr w:type="gramEnd"/>
      <w:r w:rsidRPr="00DC3392">
        <w:rPr>
          <w:rFonts w:ascii="Times New Roman" w:hAnsi="Times New Roman"/>
          <w:i/>
          <w:sz w:val="16"/>
          <w:szCs w:val="16"/>
        </w:rPr>
        <w:t xml:space="preserve"> various factors. These factors include unforeseen securities regulatory challenges, </w:t>
      </w:r>
      <w:r w:rsidR="00E21547">
        <w:rPr>
          <w:rFonts w:ascii="Times New Roman" w:hAnsi="Times New Roman"/>
          <w:i/>
          <w:sz w:val="16"/>
          <w:szCs w:val="16"/>
        </w:rPr>
        <w:t xml:space="preserve">COVID, </w:t>
      </w:r>
      <w:r w:rsidR="00B43171">
        <w:rPr>
          <w:rFonts w:ascii="Times New Roman" w:hAnsi="Times New Roman"/>
          <w:i/>
          <w:sz w:val="16"/>
          <w:szCs w:val="16"/>
        </w:rPr>
        <w:t xml:space="preserve">oil and gas price </w:t>
      </w:r>
      <w:r w:rsidR="00FA1857">
        <w:rPr>
          <w:rFonts w:ascii="Times New Roman" w:hAnsi="Times New Roman"/>
          <w:i/>
          <w:sz w:val="16"/>
          <w:szCs w:val="16"/>
        </w:rPr>
        <w:t>fluctuations</w:t>
      </w:r>
      <w:r w:rsidR="00B43171">
        <w:rPr>
          <w:rFonts w:ascii="Times New Roman" w:hAnsi="Times New Roman"/>
          <w:i/>
          <w:sz w:val="16"/>
          <w:szCs w:val="16"/>
        </w:rPr>
        <w:t xml:space="preserve">, </w:t>
      </w:r>
      <w:r w:rsidRPr="00DC3392">
        <w:rPr>
          <w:rFonts w:ascii="Times New Roman" w:hAnsi="Times New Roman"/>
          <w:i/>
          <w:sz w:val="16"/>
          <w:szCs w:val="16"/>
        </w:rPr>
        <w:t xml:space="preserve">operational and geological risks, the ability of the Company to raise necessary funds for </w:t>
      </w:r>
      <w:r w:rsidR="00D9267B">
        <w:rPr>
          <w:rFonts w:ascii="Times New Roman" w:hAnsi="Times New Roman"/>
          <w:i/>
          <w:sz w:val="16"/>
          <w:szCs w:val="16"/>
        </w:rPr>
        <w:t>development</w:t>
      </w:r>
      <w:r w:rsidRPr="00DC3392">
        <w:rPr>
          <w:rFonts w:ascii="Times New Roman" w:hAnsi="Times New Roman"/>
          <w:i/>
          <w:sz w:val="16"/>
          <w:szCs w:val="16"/>
        </w:rPr>
        <w:t>; the outcome of commercial negotiations; changes in technical or operating conditions; the cost of extracting gas and oil may be too costly so that it is uneconomic and not profitable to do so and other factors discussed from time to time in the Company’s Securities and Exchange Commission filings, including the most recently filed Annual Report on Form 10-K and subsequent reports on Forms 10-Q</w:t>
      </w:r>
      <w:r w:rsidR="008C72B4">
        <w:rPr>
          <w:rFonts w:ascii="Times New Roman" w:hAnsi="Times New Roman"/>
          <w:i/>
          <w:sz w:val="16"/>
          <w:szCs w:val="16"/>
        </w:rPr>
        <w:t>,</w:t>
      </w:r>
      <w:r w:rsidRPr="00DC3392">
        <w:rPr>
          <w:rFonts w:ascii="Times New Roman" w:hAnsi="Times New Roman"/>
          <w:i/>
          <w:sz w:val="16"/>
          <w:szCs w:val="16"/>
        </w:rPr>
        <w:t xml:space="preserve"> 8-K</w:t>
      </w:r>
      <w:r w:rsidR="0030092E">
        <w:rPr>
          <w:rFonts w:ascii="Times New Roman" w:hAnsi="Times New Roman"/>
          <w:i/>
          <w:sz w:val="16"/>
          <w:szCs w:val="16"/>
        </w:rPr>
        <w:t>.</w:t>
      </w:r>
      <w:r w:rsidR="008C72B4">
        <w:rPr>
          <w:rFonts w:ascii="Times New Roman" w:hAnsi="Times New Roman"/>
          <w:i/>
          <w:sz w:val="16"/>
          <w:szCs w:val="16"/>
        </w:rPr>
        <w:t xml:space="preserve"> </w:t>
      </w:r>
      <w:r w:rsidR="0030092E">
        <w:rPr>
          <w:rFonts w:ascii="Times New Roman" w:hAnsi="Times New Roman"/>
          <w:i/>
          <w:sz w:val="16"/>
          <w:szCs w:val="16"/>
        </w:rPr>
        <w:t xml:space="preserve">For a </w:t>
      </w:r>
      <w:r w:rsidR="0030092E">
        <w:rPr>
          <w:rFonts w:ascii="Times New Roman" w:hAnsi="Times New Roman"/>
          <w:i/>
          <w:sz w:val="16"/>
          <w:szCs w:val="16"/>
        </w:rPr>
        <w:lastRenderedPageBreak/>
        <w:t xml:space="preserve">full summary of our oil and gas reserves information, please refer to our </w:t>
      </w:r>
      <w:r w:rsidR="008C72B4">
        <w:rPr>
          <w:rFonts w:ascii="Times New Roman" w:hAnsi="Times New Roman"/>
          <w:i/>
          <w:sz w:val="16"/>
          <w:szCs w:val="16"/>
        </w:rPr>
        <w:t xml:space="preserve">Forms F-1,2,3 51-101 filed on </w:t>
      </w:r>
      <w:hyperlink r:id="rId12" w:history="1">
        <w:r w:rsidR="0030092E" w:rsidRPr="00310AA5">
          <w:rPr>
            <w:rStyle w:val="Hyperlink"/>
            <w:rFonts w:ascii="Times New Roman" w:hAnsi="Times New Roman"/>
            <w:i/>
            <w:sz w:val="16"/>
            <w:szCs w:val="16"/>
          </w:rPr>
          <w:t>www.sedar.com</w:t>
        </w:r>
      </w:hyperlink>
      <w:r w:rsidR="0030092E">
        <w:rPr>
          <w:rFonts w:ascii="Times New Roman" w:hAnsi="Times New Roman"/>
          <w:i/>
          <w:sz w:val="16"/>
          <w:szCs w:val="16"/>
        </w:rPr>
        <w:t xml:space="preserve">, and or request a copy of our reserves report effective December 31, </w:t>
      </w:r>
      <w:proofErr w:type="gramStart"/>
      <w:r w:rsidR="0030092E">
        <w:rPr>
          <w:rFonts w:ascii="Times New Roman" w:hAnsi="Times New Roman"/>
          <w:i/>
          <w:sz w:val="16"/>
          <w:szCs w:val="16"/>
        </w:rPr>
        <w:t>20</w:t>
      </w:r>
      <w:r w:rsidR="00F424BE">
        <w:rPr>
          <w:rFonts w:ascii="Times New Roman" w:hAnsi="Times New Roman"/>
          <w:i/>
          <w:sz w:val="16"/>
          <w:szCs w:val="16"/>
        </w:rPr>
        <w:t>20</w:t>
      </w:r>
      <w:proofErr w:type="gramEnd"/>
      <w:r w:rsidR="00476781">
        <w:rPr>
          <w:rFonts w:ascii="Times New Roman" w:hAnsi="Times New Roman"/>
          <w:i/>
          <w:sz w:val="16"/>
          <w:szCs w:val="16"/>
        </w:rPr>
        <w:t xml:space="preserve"> and or Prospective Resource report dated </w:t>
      </w:r>
      <w:r w:rsidR="00CB332D">
        <w:rPr>
          <w:rFonts w:ascii="Times New Roman" w:hAnsi="Times New Roman"/>
          <w:i/>
          <w:sz w:val="16"/>
          <w:szCs w:val="16"/>
        </w:rPr>
        <w:t xml:space="preserve">July </w:t>
      </w:r>
      <w:r w:rsidR="00476781">
        <w:rPr>
          <w:rFonts w:ascii="Times New Roman" w:hAnsi="Times New Roman"/>
          <w:i/>
          <w:sz w:val="16"/>
          <w:szCs w:val="16"/>
        </w:rPr>
        <w:t>31, 2020</w:t>
      </w:r>
      <w:r w:rsidR="0030092E">
        <w:rPr>
          <w:rFonts w:ascii="Times New Roman" w:hAnsi="Times New Roman"/>
          <w:i/>
          <w:sz w:val="16"/>
          <w:szCs w:val="16"/>
        </w:rPr>
        <w:t>.</w:t>
      </w:r>
      <w:r w:rsidR="008C72B4">
        <w:rPr>
          <w:rFonts w:ascii="Times New Roman" w:hAnsi="Times New Roman"/>
          <w:i/>
          <w:sz w:val="16"/>
          <w:szCs w:val="16"/>
        </w:rPr>
        <w:t xml:space="preserve"> </w:t>
      </w:r>
    </w:p>
    <w:p w14:paraId="717B8502" w14:textId="0039F1F7" w:rsidR="00C45971" w:rsidRPr="00DC3392" w:rsidRDefault="00045491" w:rsidP="00C45971">
      <w:pPr>
        <w:autoSpaceDE w:val="0"/>
        <w:autoSpaceDN w:val="0"/>
        <w:adjustRightInd w:val="0"/>
        <w:spacing w:before="120" w:after="0"/>
        <w:jc w:val="both"/>
        <w:rPr>
          <w:rFonts w:ascii="Times New Roman" w:hAnsi="Times New Roman"/>
          <w:i/>
          <w:sz w:val="16"/>
          <w:szCs w:val="16"/>
        </w:rPr>
      </w:pPr>
      <w:r>
        <w:rPr>
          <w:rFonts w:ascii="Times New Roman" w:hAnsi="Times New Roman"/>
          <w:i/>
          <w:sz w:val="16"/>
          <w:szCs w:val="16"/>
        </w:rPr>
        <w:t xml:space="preserve"> </w:t>
      </w:r>
    </w:p>
    <w:sectPr w:rsidR="00C45971" w:rsidRPr="00DC3392">
      <w:headerReference w:type="even" r:id="rId13"/>
      <w:headerReference w:type="default" r:id="rId1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90B3E" w14:textId="77777777" w:rsidR="008D6819" w:rsidRDefault="008D6819">
      <w:pPr>
        <w:spacing w:after="0" w:line="240" w:lineRule="auto"/>
      </w:pPr>
      <w:r>
        <w:separator/>
      </w:r>
    </w:p>
  </w:endnote>
  <w:endnote w:type="continuationSeparator" w:id="0">
    <w:p w14:paraId="26C81E45" w14:textId="77777777" w:rsidR="008D6819" w:rsidRDefault="008D6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DCEE3" w14:textId="77777777" w:rsidR="008D6819" w:rsidRDefault="008D6819">
      <w:pPr>
        <w:spacing w:after="0" w:line="240" w:lineRule="auto"/>
      </w:pPr>
      <w:r>
        <w:separator/>
      </w:r>
    </w:p>
  </w:footnote>
  <w:footnote w:type="continuationSeparator" w:id="0">
    <w:p w14:paraId="1231F27C" w14:textId="77777777" w:rsidR="008D6819" w:rsidRDefault="008D6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5ECE4" w14:textId="7EA49426" w:rsidR="00FF68E1" w:rsidRDefault="008D6819">
    <w:pPr>
      <w:pStyle w:val="Header"/>
    </w:pPr>
    <w:r>
      <w:rPr>
        <w:noProof/>
      </w:rPr>
      <w:pict w14:anchorId="567C6E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50.45pt;height:270.2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309F1" w14:textId="6B6E707C" w:rsidR="00E32097" w:rsidRDefault="00373CEB" w:rsidP="00373CEB">
    <w:pPr>
      <w:pStyle w:val="Header"/>
      <w:jc w:val="center"/>
    </w:pPr>
    <w:r>
      <w:rPr>
        <w:noProof/>
      </w:rPr>
      <w:drawing>
        <wp:inline distT="0" distB="0" distL="0" distR="0" wp14:anchorId="00E455F1" wp14:editId="182E2F3E">
          <wp:extent cx="2005180" cy="65112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995" cy="6929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2CC6"/>
    <w:multiLevelType w:val="hybridMultilevel"/>
    <w:tmpl w:val="F2401112"/>
    <w:lvl w:ilvl="0" w:tplc="94FAAF0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2377B82"/>
    <w:multiLevelType w:val="hybridMultilevel"/>
    <w:tmpl w:val="BED211C2"/>
    <w:lvl w:ilvl="0" w:tplc="0D5CEDBA">
      <w:numFmt w:val="bullet"/>
      <w:lvlText w:val="•"/>
      <w:lvlJc w:val="left"/>
      <w:pPr>
        <w:ind w:left="1080" w:hanging="72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3B4D8B"/>
    <w:multiLevelType w:val="hybridMultilevel"/>
    <w:tmpl w:val="524CB22E"/>
    <w:lvl w:ilvl="0" w:tplc="17B4CE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32772"/>
    <w:multiLevelType w:val="multilevel"/>
    <w:tmpl w:val="0884F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210DF"/>
    <w:multiLevelType w:val="hybridMultilevel"/>
    <w:tmpl w:val="CE146D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2100846"/>
    <w:multiLevelType w:val="hybridMultilevel"/>
    <w:tmpl w:val="CF3233C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B650FC1"/>
    <w:multiLevelType w:val="hybridMultilevel"/>
    <w:tmpl w:val="59D0F4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F725DE7"/>
    <w:multiLevelType w:val="hybridMultilevel"/>
    <w:tmpl w:val="FB78E3D8"/>
    <w:lvl w:ilvl="0" w:tplc="CF68618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9DB4BD2"/>
    <w:multiLevelType w:val="hybridMultilevel"/>
    <w:tmpl w:val="14C4FE96"/>
    <w:lvl w:ilvl="0" w:tplc="46B61916">
      <w:start w:val="1"/>
      <w:numFmt w:val="bullet"/>
      <w:lvlText w:val="•"/>
      <w:lvlJc w:val="left"/>
      <w:pPr>
        <w:tabs>
          <w:tab w:val="num" w:pos="720"/>
        </w:tabs>
        <w:ind w:left="720" w:hanging="360"/>
      </w:pPr>
      <w:rPr>
        <w:rFonts w:ascii="Arial" w:hAnsi="Arial" w:hint="default"/>
      </w:rPr>
    </w:lvl>
    <w:lvl w:ilvl="1" w:tplc="B210803C" w:tentative="1">
      <w:start w:val="1"/>
      <w:numFmt w:val="bullet"/>
      <w:lvlText w:val="•"/>
      <w:lvlJc w:val="left"/>
      <w:pPr>
        <w:tabs>
          <w:tab w:val="num" w:pos="1440"/>
        </w:tabs>
        <w:ind w:left="1440" w:hanging="360"/>
      </w:pPr>
      <w:rPr>
        <w:rFonts w:ascii="Arial" w:hAnsi="Arial" w:hint="default"/>
      </w:rPr>
    </w:lvl>
    <w:lvl w:ilvl="2" w:tplc="F080036A" w:tentative="1">
      <w:start w:val="1"/>
      <w:numFmt w:val="bullet"/>
      <w:lvlText w:val="•"/>
      <w:lvlJc w:val="left"/>
      <w:pPr>
        <w:tabs>
          <w:tab w:val="num" w:pos="2160"/>
        </w:tabs>
        <w:ind w:left="2160" w:hanging="360"/>
      </w:pPr>
      <w:rPr>
        <w:rFonts w:ascii="Arial" w:hAnsi="Arial" w:hint="default"/>
      </w:rPr>
    </w:lvl>
    <w:lvl w:ilvl="3" w:tplc="7870E038" w:tentative="1">
      <w:start w:val="1"/>
      <w:numFmt w:val="bullet"/>
      <w:lvlText w:val="•"/>
      <w:lvlJc w:val="left"/>
      <w:pPr>
        <w:tabs>
          <w:tab w:val="num" w:pos="2880"/>
        </w:tabs>
        <w:ind w:left="2880" w:hanging="360"/>
      </w:pPr>
      <w:rPr>
        <w:rFonts w:ascii="Arial" w:hAnsi="Arial" w:hint="default"/>
      </w:rPr>
    </w:lvl>
    <w:lvl w:ilvl="4" w:tplc="59020398" w:tentative="1">
      <w:start w:val="1"/>
      <w:numFmt w:val="bullet"/>
      <w:lvlText w:val="•"/>
      <w:lvlJc w:val="left"/>
      <w:pPr>
        <w:tabs>
          <w:tab w:val="num" w:pos="3600"/>
        </w:tabs>
        <w:ind w:left="3600" w:hanging="360"/>
      </w:pPr>
      <w:rPr>
        <w:rFonts w:ascii="Arial" w:hAnsi="Arial" w:hint="default"/>
      </w:rPr>
    </w:lvl>
    <w:lvl w:ilvl="5" w:tplc="3EF83CB4" w:tentative="1">
      <w:start w:val="1"/>
      <w:numFmt w:val="bullet"/>
      <w:lvlText w:val="•"/>
      <w:lvlJc w:val="left"/>
      <w:pPr>
        <w:tabs>
          <w:tab w:val="num" w:pos="4320"/>
        </w:tabs>
        <w:ind w:left="4320" w:hanging="360"/>
      </w:pPr>
      <w:rPr>
        <w:rFonts w:ascii="Arial" w:hAnsi="Arial" w:hint="default"/>
      </w:rPr>
    </w:lvl>
    <w:lvl w:ilvl="6" w:tplc="283E5554" w:tentative="1">
      <w:start w:val="1"/>
      <w:numFmt w:val="bullet"/>
      <w:lvlText w:val="•"/>
      <w:lvlJc w:val="left"/>
      <w:pPr>
        <w:tabs>
          <w:tab w:val="num" w:pos="5040"/>
        </w:tabs>
        <w:ind w:left="5040" w:hanging="360"/>
      </w:pPr>
      <w:rPr>
        <w:rFonts w:ascii="Arial" w:hAnsi="Arial" w:hint="default"/>
      </w:rPr>
    </w:lvl>
    <w:lvl w:ilvl="7" w:tplc="F198F4B0" w:tentative="1">
      <w:start w:val="1"/>
      <w:numFmt w:val="bullet"/>
      <w:lvlText w:val="•"/>
      <w:lvlJc w:val="left"/>
      <w:pPr>
        <w:tabs>
          <w:tab w:val="num" w:pos="5760"/>
        </w:tabs>
        <w:ind w:left="5760" w:hanging="360"/>
      </w:pPr>
      <w:rPr>
        <w:rFonts w:ascii="Arial" w:hAnsi="Arial" w:hint="default"/>
      </w:rPr>
    </w:lvl>
    <w:lvl w:ilvl="8" w:tplc="B39C039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8080BB5"/>
    <w:multiLevelType w:val="hybridMultilevel"/>
    <w:tmpl w:val="C00A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7B61EA"/>
    <w:multiLevelType w:val="hybridMultilevel"/>
    <w:tmpl w:val="14123B9C"/>
    <w:lvl w:ilvl="0" w:tplc="6A7C89C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82268B9"/>
    <w:multiLevelType w:val="hybridMultilevel"/>
    <w:tmpl w:val="72AE0E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6DB3F02"/>
    <w:multiLevelType w:val="hybridMultilevel"/>
    <w:tmpl w:val="72AE0E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A6D1F42"/>
    <w:multiLevelType w:val="hybridMultilevel"/>
    <w:tmpl w:val="8E6C476A"/>
    <w:lvl w:ilvl="0" w:tplc="894EE840">
      <w:numFmt w:val="bullet"/>
      <w:lvlText w:val=""/>
      <w:lvlJc w:val="left"/>
      <w:pPr>
        <w:ind w:left="720" w:hanging="360"/>
      </w:pPr>
      <w:rPr>
        <w:rFonts w:ascii="Symbol" w:eastAsia="Calibri"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41E72B7"/>
    <w:multiLevelType w:val="hybridMultilevel"/>
    <w:tmpl w:val="7F241ED8"/>
    <w:lvl w:ilvl="0" w:tplc="4AFABA4C">
      <w:numFmt w:val="bullet"/>
      <w:lvlText w:val=""/>
      <w:lvlJc w:val="left"/>
      <w:pPr>
        <w:ind w:left="720" w:hanging="360"/>
      </w:pPr>
      <w:rPr>
        <w:rFonts w:ascii="Symbol" w:eastAsia="Calibri"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DE20EE7"/>
    <w:multiLevelType w:val="hybridMultilevel"/>
    <w:tmpl w:val="BB4E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3"/>
  </w:num>
  <w:num w:numId="5">
    <w:abstractNumId w:val="8"/>
  </w:num>
  <w:num w:numId="6">
    <w:abstractNumId w:val="15"/>
  </w:num>
  <w:num w:numId="7">
    <w:abstractNumId w:val="6"/>
  </w:num>
  <w:num w:numId="8">
    <w:abstractNumId w:val="12"/>
  </w:num>
  <w:num w:numId="9">
    <w:abstractNumId w:val="11"/>
  </w:num>
  <w:num w:numId="10">
    <w:abstractNumId w:val="14"/>
  </w:num>
  <w:num w:numId="11">
    <w:abstractNumId w:val="13"/>
  </w:num>
  <w:num w:numId="12">
    <w:abstractNumId w:val="10"/>
  </w:num>
  <w:num w:numId="13">
    <w:abstractNumId w:val="2"/>
  </w:num>
  <w:num w:numId="14">
    <w:abstractNumId w:val="0"/>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E69"/>
    <w:rsid w:val="000004D5"/>
    <w:rsid w:val="00006831"/>
    <w:rsid w:val="000144DB"/>
    <w:rsid w:val="000161B7"/>
    <w:rsid w:val="000162D9"/>
    <w:rsid w:val="00017211"/>
    <w:rsid w:val="0002044C"/>
    <w:rsid w:val="00020547"/>
    <w:rsid w:val="00023BED"/>
    <w:rsid w:val="00024B29"/>
    <w:rsid w:val="00026675"/>
    <w:rsid w:val="00026A34"/>
    <w:rsid w:val="00030AA4"/>
    <w:rsid w:val="00031306"/>
    <w:rsid w:val="00031B90"/>
    <w:rsid w:val="00031FDD"/>
    <w:rsid w:val="00035DEB"/>
    <w:rsid w:val="0003645E"/>
    <w:rsid w:val="00036793"/>
    <w:rsid w:val="00036CB7"/>
    <w:rsid w:val="00040642"/>
    <w:rsid w:val="000442DA"/>
    <w:rsid w:val="00045491"/>
    <w:rsid w:val="00047CAE"/>
    <w:rsid w:val="00051A35"/>
    <w:rsid w:val="000555EA"/>
    <w:rsid w:val="00056B5D"/>
    <w:rsid w:val="00057164"/>
    <w:rsid w:val="000573DA"/>
    <w:rsid w:val="00061B6D"/>
    <w:rsid w:val="00061DBF"/>
    <w:rsid w:val="0007331D"/>
    <w:rsid w:val="0007420F"/>
    <w:rsid w:val="00074E63"/>
    <w:rsid w:val="0007681A"/>
    <w:rsid w:val="00077F13"/>
    <w:rsid w:val="00082F50"/>
    <w:rsid w:val="00084742"/>
    <w:rsid w:val="00084DB6"/>
    <w:rsid w:val="0008529B"/>
    <w:rsid w:val="00086732"/>
    <w:rsid w:val="00090F6C"/>
    <w:rsid w:val="00092491"/>
    <w:rsid w:val="00093687"/>
    <w:rsid w:val="00093D4F"/>
    <w:rsid w:val="00094430"/>
    <w:rsid w:val="000944BB"/>
    <w:rsid w:val="00094517"/>
    <w:rsid w:val="000945AC"/>
    <w:rsid w:val="0009487E"/>
    <w:rsid w:val="000951D5"/>
    <w:rsid w:val="000955E3"/>
    <w:rsid w:val="00095D58"/>
    <w:rsid w:val="000963F4"/>
    <w:rsid w:val="0009771C"/>
    <w:rsid w:val="000A149A"/>
    <w:rsid w:val="000A2C08"/>
    <w:rsid w:val="000A3B84"/>
    <w:rsid w:val="000A5C44"/>
    <w:rsid w:val="000B1D3D"/>
    <w:rsid w:val="000B23BB"/>
    <w:rsid w:val="000B2BB9"/>
    <w:rsid w:val="000B3BEB"/>
    <w:rsid w:val="000B44D8"/>
    <w:rsid w:val="000B7167"/>
    <w:rsid w:val="000B744B"/>
    <w:rsid w:val="000B7C0A"/>
    <w:rsid w:val="000C1B72"/>
    <w:rsid w:val="000C2985"/>
    <w:rsid w:val="000C2E7F"/>
    <w:rsid w:val="000C345C"/>
    <w:rsid w:val="000C3A9F"/>
    <w:rsid w:val="000C403E"/>
    <w:rsid w:val="000C4D9A"/>
    <w:rsid w:val="000C61B3"/>
    <w:rsid w:val="000D07D8"/>
    <w:rsid w:val="000D0F6E"/>
    <w:rsid w:val="000D3777"/>
    <w:rsid w:val="000D3CB7"/>
    <w:rsid w:val="000D5CE4"/>
    <w:rsid w:val="000D6D41"/>
    <w:rsid w:val="000E1CC3"/>
    <w:rsid w:val="000E20DE"/>
    <w:rsid w:val="000E3773"/>
    <w:rsid w:val="000E5287"/>
    <w:rsid w:val="000E5B3A"/>
    <w:rsid w:val="000E67FD"/>
    <w:rsid w:val="000E7130"/>
    <w:rsid w:val="000F18A5"/>
    <w:rsid w:val="000F1E70"/>
    <w:rsid w:val="000F4F5E"/>
    <w:rsid w:val="000F56BC"/>
    <w:rsid w:val="001015AB"/>
    <w:rsid w:val="00101995"/>
    <w:rsid w:val="00102DE2"/>
    <w:rsid w:val="00102E14"/>
    <w:rsid w:val="001032C6"/>
    <w:rsid w:val="001064F5"/>
    <w:rsid w:val="00110C03"/>
    <w:rsid w:val="00111E31"/>
    <w:rsid w:val="00115F85"/>
    <w:rsid w:val="00120924"/>
    <w:rsid w:val="00122A04"/>
    <w:rsid w:val="0012410E"/>
    <w:rsid w:val="00124110"/>
    <w:rsid w:val="00125981"/>
    <w:rsid w:val="001277B1"/>
    <w:rsid w:val="0013086A"/>
    <w:rsid w:val="00130AB7"/>
    <w:rsid w:val="001318C0"/>
    <w:rsid w:val="00132FD0"/>
    <w:rsid w:val="00135FD8"/>
    <w:rsid w:val="001369CE"/>
    <w:rsid w:val="00137209"/>
    <w:rsid w:val="00150103"/>
    <w:rsid w:val="00153B59"/>
    <w:rsid w:val="00153D6F"/>
    <w:rsid w:val="001545F0"/>
    <w:rsid w:val="00154E80"/>
    <w:rsid w:val="00156F45"/>
    <w:rsid w:val="00157707"/>
    <w:rsid w:val="00157BB8"/>
    <w:rsid w:val="00160801"/>
    <w:rsid w:val="00161A3A"/>
    <w:rsid w:val="00161BC1"/>
    <w:rsid w:val="001666AA"/>
    <w:rsid w:val="0016704E"/>
    <w:rsid w:val="0016717A"/>
    <w:rsid w:val="00167E85"/>
    <w:rsid w:val="00170B53"/>
    <w:rsid w:val="0017115C"/>
    <w:rsid w:val="0017133D"/>
    <w:rsid w:val="00173545"/>
    <w:rsid w:val="001801C3"/>
    <w:rsid w:val="0018075A"/>
    <w:rsid w:val="001814FE"/>
    <w:rsid w:val="001863F2"/>
    <w:rsid w:val="001905E0"/>
    <w:rsid w:val="00191820"/>
    <w:rsid w:val="0019256F"/>
    <w:rsid w:val="00192828"/>
    <w:rsid w:val="0019341F"/>
    <w:rsid w:val="00193E41"/>
    <w:rsid w:val="001A10EF"/>
    <w:rsid w:val="001A3E8B"/>
    <w:rsid w:val="001A5493"/>
    <w:rsid w:val="001A575D"/>
    <w:rsid w:val="001A57CE"/>
    <w:rsid w:val="001A5DE3"/>
    <w:rsid w:val="001A6323"/>
    <w:rsid w:val="001A7E8F"/>
    <w:rsid w:val="001B1DEC"/>
    <w:rsid w:val="001B1F82"/>
    <w:rsid w:val="001B3300"/>
    <w:rsid w:val="001B43A5"/>
    <w:rsid w:val="001B4BF3"/>
    <w:rsid w:val="001B5A83"/>
    <w:rsid w:val="001B6546"/>
    <w:rsid w:val="001B74D7"/>
    <w:rsid w:val="001C097F"/>
    <w:rsid w:val="001C0C04"/>
    <w:rsid w:val="001C0FC4"/>
    <w:rsid w:val="001C261B"/>
    <w:rsid w:val="001C31D8"/>
    <w:rsid w:val="001C5B11"/>
    <w:rsid w:val="001D2B71"/>
    <w:rsid w:val="001D2D55"/>
    <w:rsid w:val="001D36D9"/>
    <w:rsid w:val="001D3E6E"/>
    <w:rsid w:val="001D4DFB"/>
    <w:rsid w:val="001D4F2B"/>
    <w:rsid w:val="001D67F7"/>
    <w:rsid w:val="001D7353"/>
    <w:rsid w:val="001D7F19"/>
    <w:rsid w:val="001E0384"/>
    <w:rsid w:val="001E08BD"/>
    <w:rsid w:val="001E21AA"/>
    <w:rsid w:val="001F0B9D"/>
    <w:rsid w:val="001F0E00"/>
    <w:rsid w:val="001F1CF4"/>
    <w:rsid w:val="001F1DB7"/>
    <w:rsid w:val="001F20D8"/>
    <w:rsid w:val="001F6252"/>
    <w:rsid w:val="001F6591"/>
    <w:rsid w:val="00200D7C"/>
    <w:rsid w:val="00201125"/>
    <w:rsid w:val="002017A0"/>
    <w:rsid w:val="00203BCA"/>
    <w:rsid w:val="002044A5"/>
    <w:rsid w:val="0021031C"/>
    <w:rsid w:val="00210E2E"/>
    <w:rsid w:val="00211723"/>
    <w:rsid w:val="002121CE"/>
    <w:rsid w:val="00213518"/>
    <w:rsid w:val="002149D3"/>
    <w:rsid w:val="0021562E"/>
    <w:rsid w:val="002156D0"/>
    <w:rsid w:val="00216EF7"/>
    <w:rsid w:val="00217E85"/>
    <w:rsid w:val="002207E8"/>
    <w:rsid w:val="0022087E"/>
    <w:rsid w:val="00221532"/>
    <w:rsid w:val="002218E9"/>
    <w:rsid w:val="00223B04"/>
    <w:rsid w:val="00225851"/>
    <w:rsid w:val="00225E5D"/>
    <w:rsid w:val="00226FCF"/>
    <w:rsid w:val="002316DE"/>
    <w:rsid w:val="00232935"/>
    <w:rsid w:val="00233839"/>
    <w:rsid w:val="0023508B"/>
    <w:rsid w:val="0023640D"/>
    <w:rsid w:val="00237B70"/>
    <w:rsid w:val="00241D46"/>
    <w:rsid w:val="0024245C"/>
    <w:rsid w:val="0024313A"/>
    <w:rsid w:val="00243964"/>
    <w:rsid w:val="00244476"/>
    <w:rsid w:val="0024541D"/>
    <w:rsid w:val="00247A8C"/>
    <w:rsid w:val="002508C9"/>
    <w:rsid w:val="002522B3"/>
    <w:rsid w:val="0025280D"/>
    <w:rsid w:val="00253C53"/>
    <w:rsid w:val="002552A5"/>
    <w:rsid w:val="00256EE1"/>
    <w:rsid w:val="00260B5A"/>
    <w:rsid w:val="0026202A"/>
    <w:rsid w:val="00263D8F"/>
    <w:rsid w:val="002641E3"/>
    <w:rsid w:val="00264F2B"/>
    <w:rsid w:val="00265040"/>
    <w:rsid w:val="00266C33"/>
    <w:rsid w:val="00266E92"/>
    <w:rsid w:val="00270F2D"/>
    <w:rsid w:val="0027417E"/>
    <w:rsid w:val="00276F89"/>
    <w:rsid w:val="00277B2A"/>
    <w:rsid w:val="00281610"/>
    <w:rsid w:val="00282E39"/>
    <w:rsid w:val="0028399A"/>
    <w:rsid w:val="00284E2E"/>
    <w:rsid w:val="002865C9"/>
    <w:rsid w:val="00290122"/>
    <w:rsid w:val="002928CF"/>
    <w:rsid w:val="00294B4F"/>
    <w:rsid w:val="002962F1"/>
    <w:rsid w:val="0029678E"/>
    <w:rsid w:val="002A0071"/>
    <w:rsid w:val="002A02DA"/>
    <w:rsid w:val="002A06D1"/>
    <w:rsid w:val="002A1A60"/>
    <w:rsid w:val="002A7FBC"/>
    <w:rsid w:val="002B39B2"/>
    <w:rsid w:val="002B3FDA"/>
    <w:rsid w:val="002B662C"/>
    <w:rsid w:val="002C36DD"/>
    <w:rsid w:val="002C3864"/>
    <w:rsid w:val="002C45D4"/>
    <w:rsid w:val="002C4E25"/>
    <w:rsid w:val="002C7004"/>
    <w:rsid w:val="002C7090"/>
    <w:rsid w:val="002C7A72"/>
    <w:rsid w:val="002D2D6C"/>
    <w:rsid w:val="002D5308"/>
    <w:rsid w:val="002D72D5"/>
    <w:rsid w:val="002E0FE9"/>
    <w:rsid w:val="002E10C3"/>
    <w:rsid w:val="002E1312"/>
    <w:rsid w:val="002E3817"/>
    <w:rsid w:val="002E50FC"/>
    <w:rsid w:val="002E7466"/>
    <w:rsid w:val="002F00E3"/>
    <w:rsid w:val="002F2A29"/>
    <w:rsid w:val="002F2E7B"/>
    <w:rsid w:val="002F37C8"/>
    <w:rsid w:val="002F512C"/>
    <w:rsid w:val="002F5FDD"/>
    <w:rsid w:val="002F6026"/>
    <w:rsid w:val="002F6F99"/>
    <w:rsid w:val="002F7C75"/>
    <w:rsid w:val="0030092E"/>
    <w:rsid w:val="00301910"/>
    <w:rsid w:val="00301F3E"/>
    <w:rsid w:val="003020AC"/>
    <w:rsid w:val="00302C9C"/>
    <w:rsid w:val="00306438"/>
    <w:rsid w:val="00307214"/>
    <w:rsid w:val="003109D7"/>
    <w:rsid w:val="0031117F"/>
    <w:rsid w:val="003144E7"/>
    <w:rsid w:val="003145FA"/>
    <w:rsid w:val="0031590A"/>
    <w:rsid w:val="00316432"/>
    <w:rsid w:val="00316BDB"/>
    <w:rsid w:val="00316DC2"/>
    <w:rsid w:val="0031742B"/>
    <w:rsid w:val="00322A2F"/>
    <w:rsid w:val="00324249"/>
    <w:rsid w:val="003276A3"/>
    <w:rsid w:val="00334333"/>
    <w:rsid w:val="00335D47"/>
    <w:rsid w:val="00335E11"/>
    <w:rsid w:val="00336D89"/>
    <w:rsid w:val="0033742D"/>
    <w:rsid w:val="0034183F"/>
    <w:rsid w:val="00343A1F"/>
    <w:rsid w:val="00344A7D"/>
    <w:rsid w:val="003458F6"/>
    <w:rsid w:val="003523AB"/>
    <w:rsid w:val="003525E5"/>
    <w:rsid w:val="00352F91"/>
    <w:rsid w:val="00353265"/>
    <w:rsid w:val="00353FA8"/>
    <w:rsid w:val="00354725"/>
    <w:rsid w:val="003552B4"/>
    <w:rsid w:val="003572FF"/>
    <w:rsid w:val="00360EEC"/>
    <w:rsid w:val="003618E5"/>
    <w:rsid w:val="00361A40"/>
    <w:rsid w:val="00363120"/>
    <w:rsid w:val="00364A70"/>
    <w:rsid w:val="00367BCD"/>
    <w:rsid w:val="00370592"/>
    <w:rsid w:val="00372FE2"/>
    <w:rsid w:val="0037380D"/>
    <w:rsid w:val="00373AE5"/>
    <w:rsid w:val="00373CEB"/>
    <w:rsid w:val="00374DB9"/>
    <w:rsid w:val="00375ECD"/>
    <w:rsid w:val="003770C2"/>
    <w:rsid w:val="0037787C"/>
    <w:rsid w:val="00377E08"/>
    <w:rsid w:val="003813A6"/>
    <w:rsid w:val="00382F80"/>
    <w:rsid w:val="00386267"/>
    <w:rsid w:val="0038701A"/>
    <w:rsid w:val="003910F2"/>
    <w:rsid w:val="0039129A"/>
    <w:rsid w:val="0039569C"/>
    <w:rsid w:val="0039634B"/>
    <w:rsid w:val="00397D64"/>
    <w:rsid w:val="003A1244"/>
    <w:rsid w:val="003A155F"/>
    <w:rsid w:val="003A1D6A"/>
    <w:rsid w:val="003A34D1"/>
    <w:rsid w:val="003A4BB1"/>
    <w:rsid w:val="003A5DD6"/>
    <w:rsid w:val="003B13AA"/>
    <w:rsid w:val="003B2DE2"/>
    <w:rsid w:val="003B3D8E"/>
    <w:rsid w:val="003B42DB"/>
    <w:rsid w:val="003B5279"/>
    <w:rsid w:val="003B62B4"/>
    <w:rsid w:val="003B7B39"/>
    <w:rsid w:val="003C0599"/>
    <w:rsid w:val="003C14E5"/>
    <w:rsid w:val="003C3C1E"/>
    <w:rsid w:val="003C47F9"/>
    <w:rsid w:val="003C5862"/>
    <w:rsid w:val="003C5E3B"/>
    <w:rsid w:val="003C6EAF"/>
    <w:rsid w:val="003C74E4"/>
    <w:rsid w:val="003D083E"/>
    <w:rsid w:val="003D137C"/>
    <w:rsid w:val="003D1468"/>
    <w:rsid w:val="003D1736"/>
    <w:rsid w:val="003D1C6A"/>
    <w:rsid w:val="003D2308"/>
    <w:rsid w:val="003D2736"/>
    <w:rsid w:val="003D3527"/>
    <w:rsid w:val="003D3B60"/>
    <w:rsid w:val="003D48BC"/>
    <w:rsid w:val="003E2468"/>
    <w:rsid w:val="003E2AF4"/>
    <w:rsid w:val="003E3659"/>
    <w:rsid w:val="003E3AA2"/>
    <w:rsid w:val="003E479E"/>
    <w:rsid w:val="003E4CE1"/>
    <w:rsid w:val="003E4F75"/>
    <w:rsid w:val="003E5ACE"/>
    <w:rsid w:val="003E7F7D"/>
    <w:rsid w:val="003F0AFB"/>
    <w:rsid w:val="003F19A3"/>
    <w:rsid w:val="003F4988"/>
    <w:rsid w:val="003F6AE1"/>
    <w:rsid w:val="004010F0"/>
    <w:rsid w:val="0040137E"/>
    <w:rsid w:val="00401B04"/>
    <w:rsid w:val="004034CE"/>
    <w:rsid w:val="00405616"/>
    <w:rsid w:val="00405AE3"/>
    <w:rsid w:val="00405E8A"/>
    <w:rsid w:val="00407E85"/>
    <w:rsid w:val="004103DF"/>
    <w:rsid w:val="004109AE"/>
    <w:rsid w:val="0041192D"/>
    <w:rsid w:val="0041216A"/>
    <w:rsid w:val="00412FA3"/>
    <w:rsid w:val="004168B2"/>
    <w:rsid w:val="004203C1"/>
    <w:rsid w:val="0042142C"/>
    <w:rsid w:val="00421FD5"/>
    <w:rsid w:val="0042317A"/>
    <w:rsid w:val="00425F85"/>
    <w:rsid w:val="00426D2A"/>
    <w:rsid w:val="00430EA6"/>
    <w:rsid w:val="0043133A"/>
    <w:rsid w:val="00433405"/>
    <w:rsid w:val="004357A1"/>
    <w:rsid w:val="00444B28"/>
    <w:rsid w:val="00445E6A"/>
    <w:rsid w:val="0044684F"/>
    <w:rsid w:val="00447DBC"/>
    <w:rsid w:val="004508A7"/>
    <w:rsid w:val="00450CBB"/>
    <w:rsid w:val="004523DB"/>
    <w:rsid w:val="00453B1D"/>
    <w:rsid w:val="00454F66"/>
    <w:rsid w:val="0045507C"/>
    <w:rsid w:val="004572A7"/>
    <w:rsid w:val="00460D28"/>
    <w:rsid w:val="00460E75"/>
    <w:rsid w:val="0046359B"/>
    <w:rsid w:val="00464EA7"/>
    <w:rsid w:val="00464F95"/>
    <w:rsid w:val="00470DB1"/>
    <w:rsid w:val="004710C5"/>
    <w:rsid w:val="00471D57"/>
    <w:rsid w:val="004720FB"/>
    <w:rsid w:val="004721A1"/>
    <w:rsid w:val="00473A67"/>
    <w:rsid w:val="0047580E"/>
    <w:rsid w:val="00475F1C"/>
    <w:rsid w:val="00476781"/>
    <w:rsid w:val="0048239A"/>
    <w:rsid w:val="004831E5"/>
    <w:rsid w:val="00487726"/>
    <w:rsid w:val="004935BC"/>
    <w:rsid w:val="004A1969"/>
    <w:rsid w:val="004A1E62"/>
    <w:rsid w:val="004A28BF"/>
    <w:rsid w:val="004A2AE2"/>
    <w:rsid w:val="004A5922"/>
    <w:rsid w:val="004A5A68"/>
    <w:rsid w:val="004A7C0E"/>
    <w:rsid w:val="004B0BA0"/>
    <w:rsid w:val="004B138A"/>
    <w:rsid w:val="004B2219"/>
    <w:rsid w:val="004B3FFD"/>
    <w:rsid w:val="004B47DB"/>
    <w:rsid w:val="004B5494"/>
    <w:rsid w:val="004B7097"/>
    <w:rsid w:val="004B7ADE"/>
    <w:rsid w:val="004C1170"/>
    <w:rsid w:val="004C163E"/>
    <w:rsid w:val="004C1E88"/>
    <w:rsid w:val="004C1EAE"/>
    <w:rsid w:val="004C1FBC"/>
    <w:rsid w:val="004C28F6"/>
    <w:rsid w:val="004C3229"/>
    <w:rsid w:val="004C541B"/>
    <w:rsid w:val="004C5FFE"/>
    <w:rsid w:val="004C7A0E"/>
    <w:rsid w:val="004D3058"/>
    <w:rsid w:val="004D3DEB"/>
    <w:rsid w:val="004D458A"/>
    <w:rsid w:val="004D602E"/>
    <w:rsid w:val="004D7504"/>
    <w:rsid w:val="004E066B"/>
    <w:rsid w:val="004E0B51"/>
    <w:rsid w:val="004E16B0"/>
    <w:rsid w:val="004E1DDD"/>
    <w:rsid w:val="004E43C7"/>
    <w:rsid w:val="004E690E"/>
    <w:rsid w:val="004E7C0B"/>
    <w:rsid w:val="004F0050"/>
    <w:rsid w:val="004F2694"/>
    <w:rsid w:val="004F3928"/>
    <w:rsid w:val="004F3EEE"/>
    <w:rsid w:val="004F6ECD"/>
    <w:rsid w:val="004F746F"/>
    <w:rsid w:val="004F76C4"/>
    <w:rsid w:val="00504920"/>
    <w:rsid w:val="00504D96"/>
    <w:rsid w:val="0050583D"/>
    <w:rsid w:val="0051050D"/>
    <w:rsid w:val="00511442"/>
    <w:rsid w:val="005130F1"/>
    <w:rsid w:val="00516F9A"/>
    <w:rsid w:val="0052216F"/>
    <w:rsid w:val="00525886"/>
    <w:rsid w:val="00525E18"/>
    <w:rsid w:val="005273C7"/>
    <w:rsid w:val="0052769C"/>
    <w:rsid w:val="00532D99"/>
    <w:rsid w:val="0053408C"/>
    <w:rsid w:val="00534CC7"/>
    <w:rsid w:val="00534EB7"/>
    <w:rsid w:val="00536932"/>
    <w:rsid w:val="00537AA2"/>
    <w:rsid w:val="00537B45"/>
    <w:rsid w:val="00542468"/>
    <w:rsid w:val="00542CEC"/>
    <w:rsid w:val="00544D28"/>
    <w:rsid w:val="00545320"/>
    <w:rsid w:val="005505C5"/>
    <w:rsid w:val="00551010"/>
    <w:rsid w:val="0055117D"/>
    <w:rsid w:val="00553048"/>
    <w:rsid w:val="00554CBB"/>
    <w:rsid w:val="00555507"/>
    <w:rsid w:val="0055625B"/>
    <w:rsid w:val="00560713"/>
    <w:rsid w:val="00560BF7"/>
    <w:rsid w:val="00562858"/>
    <w:rsid w:val="005649C6"/>
    <w:rsid w:val="00565686"/>
    <w:rsid w:val="00565BE8"/>
    <w:rsid w:val="00565D73"/>
    <w:rsid w:val="00565DDE"/>
    <w:rsid w:val="0056663B"/>
    <w:rsid w:val="00567068"/>
    <w:rsid w:val="00573C80"/>
    <w:rsid w:val="00573CFC"/>
    <w:rsid w:val="00574CC3"/>
    <w:rsid w:val="00575E0F"/>
    <w:rsid w:val="0057789D"/>
    <w:rsid w:val="00580172"/>
    <w:rsid w:val="005802CC"/>
    <w:rsid w:val="005817DC"/>
    <w:rsid w:val="00581C62"/>
    <w:rsid w:val="0058206F"/>
    <w:rsid w:val="00582338"/>
    <w:rsid w:val="00587384"/>
    <w:rsid w:val="005878F6"/>
    <w:rsid w:val="005921E3"/>
    <w:rsid w:val="005921F9"/>
    <w:rsid w:val="00592A57"/>
    <w:rsid w:val="00593173"/>
    <w:rsid w:val="005A0EB6"/>
    <w:rsid w:val="005A4552"/>
    <w:rsid w:val="005A6925"/>
    <w:rsid w:val="005B16BD"/>
    <w:rsid w:val="005B1D1B"/>
    <w:rsid w:val="005B424A"/>
    <w:rsid w:val="005B621A"/>
    <w:rsid w:val="005B64BF"/>
    <w:rsid w:val="005B6F65"/>
    <w:rsid w:val="005C2289"/>
    <w:rsid w:val="005C3FF7"/>
    <w:rsid w:val="005C5DF4"/>
    <w:rsid w:val="005C66FE"/>
    <w:rsid w:val="005C6B19"/>
    <w:rsid w:val="005C6E94"/>
    <w:rsid w:val="005D4299"/>
    <w:rsid w:val="005D5939"/>
    <w:rsid w:val="005D59E9"/>
    <w:rsid w:val="005D5D98"/>
    <w:rsid w:val="005D6264"/>
    <w:rsid w:val="005D7007"/>
    <w:rsid w:val="005D7924"/>
    <w:rsid w:val="005D7A50"/>
    <w:rsid w:val="005E05ED"/>
    <w:rsid w:val="005E0635"/>
    <w:rsid w:val="005E2D81"/>
    <w:rsid w:val="005E31DC"/>
    <w:rsid w:val="005E3F4C"/>
    <w:rsid w:val="005E5BDE"/>
    <w:rsid w:val="005E5E5F"/>
    <w:rsid w:val="005E72D2"/>
    <w:rsid w:val="005E7D1D"/>
    <w:rsid w:val="005F1379"/>
    <w:rsid w:val="005F3ACD"/>
    <w:rsid w:val="005F5DA2"/>
    <w:rsid w:val="005F67CF"/>
    <w:rsid w:val="0060483F"/>
    <w:rsid w:val="00605622"/>
    <w:rsid w:val="00607657"/>
    <w:rsid w:val="00610424"/>
    <w:rsid w:val="0061256D"/>
    <w:rsid w:val="006128B1"/>
    <w:rsid w:val="006128E5"/>
    <w:rsid w:val="00617008"/>
    <w:rsid w:val="006203D3"/>
    <w:rsid w:val="006215F8"/>
    <w:rsid w:val="006219FB"/>
    <w:rsid w:val="00622255"/>
    <w:rsid w:val="006236BF"/>
    <w:rsid w:val="00625D63"/>
    <w:rsid w:val="006276B6"/>
    <w:rsid w:val="00631975"/>
    <w:rsid w:val="00631AE7"/>
    <w:rsid w:val="00632A09"/>
    <w:rsid w:val="00632E55"/>
    <w:rsid w:val="00632EBF"/>
    <w:rsid w:val="0063304F"/>
    <w:rsid w:val="0063383F"/>
    <w:rsid w:val="00634576"/>
    <w:rsid w:val="00636793"/>
    <w:rsid w:val="0063739E"/>
    <w:rsid w:val="00640221"/>
    <w:rsid w:val="00642214"/>
    <w:rsid w:val="00642B7E"/>
    <w:rsid w:val="006441F8"/>
    <w:rsid w:val="006445B2"/>
    <w:rsid w:val="00644D12"/>
    <w:rsid w:val="006455A6"/>
    <w:rsid w:val="00647517"/>
    <w:rsid w:val="0065072A"/>
    <w:rsid w:val="00652D68"/>
    <w:rsid w:val="00653F99"/>
    <w:rsid w:val="00654341"/>
    <w:rsid w:val="00655AAB"/>
    <w:rsid w:val="00657073"/>
    <w:rsid w:val="00657D5C"/>
    <w:rsid w:val="00660D11"/>
    <w:rsid w:val="006651DB"/>
    <w:rsid w:val="00665A23"/>
    <w:rsid w:val="0066686F"/>
    <w:rsid w:val="00670460"/>
    <w:rsid w:val="00674D94"/>
    <w:rsid w:val="00677367"/>
    <w:rsid w:val="00677EE7"/>
    <w:rsid w:val="006842F0"/>
    <w:rsid w:val="006852E1"/>
    <w:rsid w:val="00686A73"/>
    <w:rsid w:val="0069001C"/>
    <w:rsid w:val="00690B4B"/>
    <w:rsid w:val="00691899"/>
    <w:rsid w:val="00693868"/>
    <w:rsid w:val="00696925"/>
    <w:rsid w:val="00696CB9"/>
    <w:rsid w:val="00696FAE"/>
    <w:rsid w:val="00697D8F"/>
    <w:rsid w:val="006A08E2"/>
    <w:rsid w:val="006A0C24"/>
    <w:rsid w:val="006A1486"/>
    <w:rsid w:val="006A2003"/>
    <w:rsid w:val="006A37CD"/>
    <w:rsid w:val="006A3E12"/>
    <w:rsid w:val="006A585A"/>
    <w:rsid w:val="006A5CAE"/>
    <w:rsid w:val="006A6D58"/>
    <w:rsid w:val="006B0D7B"/>
    <w:rsid w:val="006B6D19"/>
    <w:rsid w:val="006C1D38"/>
    <w:rsid w:val="006C312B"/>
    <w:rsid w:val="006C66DB"/>
    <w:rsid w:val="006C72E9"/>
    <w:rsid w:val="006C7816"/>
    <w:rsid w:val="006D02D3"/>
    <w:rsid w:val="006D372A"/>
    <w:rsid w:val="006D6E57"/>
    <w:rsid w:val="006D7EE7"/>
    <w:rsid w:val="006E22DF"/>
    <w:rsid w:val="006E3066"/>
    <w:rsid w:val="006E3FA9"/>
    <w:rsid w:val="006F1419"/>
    <w:rsid w:val="006F2CD9"/>
    <w:rsid w:val="007047B2"/>
    <w:rsid w:val="00707BCB"/>
    <w:rsid w:val="007106C8"/>
    <w:rsid w:val="00712117"/>
    <w:rsid w:val="0071274B"/>
    <w:rsid w:val="00713366"/>
    <w:rsid w:val="00713657"/>
    <w:rsid w:val="007156A5"/>
    <w:rsid w:val="00716FF1"/>
    <w:rsid w:val="007174B8"/>
    <w:rsid w:val="00717E5D"/>
    <w:rsid w:val="00720055"/>
    <w:rsid w:val="00720DE0"/>
    <w:rsid w:val="00721195"/>
    <w:rsid w:val="00722103"/>
    <w:rsid w:val="00722DDD"/>
    <w:rsid w:val="0072381F"/>
    <w:rsid w:val="00723D0D"/>
    <w:rsid w:val="007250DF"/>
    <w:rsid w:val="00725F43"/>
    <w:rsid w:val="0072613C"/>
    <w:rsid w:val="00726F3F"/>
    <w:rsid w:val="007305A0"/>
    <w:rsid w:val="00733F17"/>
    <w:rsid w:val="00737332"/>
    <w:rsid w:val="00737983"/>
    <w:rsid w:val="0074029D"/>
    <w:rsid w:val="007402F9"/>
    <w:rsid w:val="00740A58"/>
    <w:rsid w:val="00741638"/>
    <w:rsid w:val="00742499"/>
    <w:rsid w:val="007436EC"/>
    <w:rsid w:val="00745AD4"/>
    <w:rsid w:val="00746D7A"/>
    <w:rsid w:val="007472DC"/>
    <w:rsid w:val="00750C1A"/>
    <w:rsid w:val="00756BC0"/>
    <w:rsid w:val="0075739A"/>
    <w:rsid w:val="00757644"/>
    <w:rsid w:val="00763477"/>
    <w:rsid w:val="007650D7"/>
    <w:rsid w:val="00765DD6"/>
    <w:rsid w:val="00771445"/>
    <w:rsid w:val="00771B7C"/>
    <w:rsid w:val="007826F4"/>
    <w:rsid w:val="00782BAE"/>
    <w:rsid w:val="0078435B"/>
    <w:rsid w:val="00790618"/>
    <w:rsid w:val="0079395B"/>
    <w:rsid w:val="007948DE"/>
    <w:rsid w:val="007A1365"/>
    <w:rsid w:val="007A270B"/>
    <w:rsid w:val="007A45FF"/>
    <w:rsid w:val="007A7399"/>
    <w:rsid w:val="007A7863"/>
    <w:rsid w:val="007A7C2F"/>
    <w:rsid w:val="007B0C69"/>
    <w:rsid w:val="007B23D7"/>
    <w:rsid w:val="007B3108"/>
    <w:rsid w:val="007B605D"/>
    <w:rsid w:val="007B6883"/>
    <w:rsid w:val="007B7CA0"/>
    <w:rsid w:val="007C441A"/>
    <w:rsid w:val="007C5217"/>
    <w:rsid w:val="007C56B1"/>
    <w:rsid w:val="007C63DA"/>
    <w:rsid w:val="007C701D"/>
    <w:rsid w:val="007D1D11"/>
    <w:rsid w:val="007D313F"/>
    <w:rsid w:val="007D374F"/>
    <w:rsid w:val="007D5C8A"/>
    <w:rsid w:val="007E0F2B"/>
    <w:rsid w:val="007E45A6"/>
    <w:rsid w:val="007E6C39"/>
    <w:rsid w:val="007E6DE9"/>
    <w:rsid w:val="007E7A73"/>
    <w:rsid w:val="007F006C"/>
    <w:rsid w:val="007F1675"/>
    <w:rsid w:val="007F1DCC"/>
    <w:rsid w:val="007F3E94"/>
    <w:rsid w:val="007F43E1"/>
    <w:rsid w:val="007F5085"/>
    <w:rsid w:val="007F74BA"/>
    <w:rsid w:val="00802726"/>
    <w:rsid w:val="00803D4E"/>
    <w:rsid w:val="00804CC8"/>
    <w:rsid w:val="00805395"/>
    <w:rsid w:val="00805F04"/>
    <w:rsid w:val="0080611C"/>
    <w:rsid w:val="008069C9"/>
    <w:rsid w:val="0081025A"/>
    <w:rsid w:val="0081216F"/>
    <w:rsid w:val="00815E64"/>
    <w:rsid w:val="008176BC"/>
    <w:rsid w:val="00817A1A"/>
    <w:rsid w:val="00817D6F"/>
    <w:rsid w:val="0082048E"/>
    <w:rsid w:val="008242BA"/>
    <w:rsid w:val="00825E16"/>
    <w:rsid w:val="00831083"/>
    <w:rsid w:val="008336AD"/>
    <w:rsid w:val="00834354"/>
    <w:rsid w:val="00834A27"/>
    <w:rsid w:val="008362E8"/>
    <w:rsid w:val="00841873"/>
    <w:rsid w:val="00841D49"/>
    <w:rsid w:val="008430FE"/>
    <w:rsid w:val="00844051"/>
    <w:rsid w:val="008457BC"/>
    <w:rsid w:val="00846041"/>
    <w:rsid w:val="008462C5"/>
    <w:rsid w:val="008503A2"/>
    <w:rsid w:val="00852284"/>
    <w:rsid w:val="0085529C"/>
    <w:rsid w:val="00855413"/>
    <w:rsid w:val="00856423"/>
    <w:rsid w:val="00857125"/>
    <w:rsid w:val="00860D96"/>
    <w:rsid w:val="00862583"/>
    <w:rsid w:val="00863BF0"/>
    <w:rsid w:val="00865A32"/>
    <w:rsid w:val="00866AC1"/>
    <w:rsid w:val="00866DB4"/>
    <w:rsid w:val="00871286"/>
    <w:rsid w:val="008713D2"/>
    <w:rsid w:val="00871CF1"/>
    <w:rsid w:val="00875C4F"/>
    <w:rsid w:val="00876B06"/>
    <w:rsid w:val="00877AF0"/>
    <w:rsid w:val="00880B26"/>
    <w:rsid w:val="0088152F"/>
    <w:rsid w:val="00882D39"/>
    <w:rsid w:val="008844F5"/>
    <w:rsid w:val="008872CE"/>
    <w:rsid w:val="0089328A"/>
    <w:rsid w:val="00894474"/>
    <w:rsid w:val="0089568F"/>
    <w:rsid w:val="0089741B"/>
    <w:rsid w:val="008A029D"/>
    <w:rsid w:val="008A0DE8"/>
    <w:rsid w:val="008A1A90"/>
    <w:rsid w:val="008A53A3"/>
    <w:rsid w:val="008A695A"/>
    <w:rsid w:val="008A6A50"/>
    <w:rsid w:val="008B004C"/>
    <w:rsid w:val="008B13BD"/>
    <w:rsid w:val="008B3E9D"/>
    <w:rsid w:val="008B4221"/>
    <w:rsid w:val="008B5CDA"/>
    <w:rsid w:val="008C0A32"/>
    <w:rsid w:val="008C2A0D"/>
    <w:rsid w:val="008C2A4E"/>
    <w:rsid w:val="008C37C9"/>
    <w:rsid w:val="008C38EB"/>
    <w:rsid w:val="008C5012"/>
    <w:rsid w:val="008C72B4"/>
    <w:rsid w:val="008C733A"/>
    <w:rsid w:val="008D00C2"/>
    <w:rsid w:val="008D27AD"/>
    <w:rsid w:val="008D5193"/>
    <w:rsid w:val="008D619D"/>
    <w:rsid w:val="008D6819"/>
    <w:rsid w:val="008E014C"/>
    <w:rsid w:val="008E104B"/>
    <w:rsid w:val="008E1ACF"/>
    <w:rsid w:val="008E2026"/>
    <w:rsid w:val="008E29FA"/>
    <w:rsid w:val="008E33EC"/>
    <w:rsid w:val="008E488C"/>
    <w:rsid w:val="008E5ACF"/>
    <w:rsid w:val="008F095A"/>
    <w:rsid w:val="008F3341"/>
    <w:rsid w:val="008F6016"/>
    <w:rsid w:val="00902B31"/>
    <w:rsid w:val="00905D15"/>
    <w:rsid w:val="009074A0"/>
    <w:rsid w:val="009079FC"/>
    <w:rsid w:val="00907B2A"/>
    <w:rsid w:val="009124F7"/>
    <w:rsid w:val="009217B6"/>
    <w:rsid w:val="00922711"/>
    <w:rsid w:val="00925C29"/>
    <w:rsid w:val="0092634B"/>
    <w:rsid w:val="00931935"/>
    <w:rsid w:val="00933F32"/>
    <w:rsid w:val="00936EB4"/>
    <w:rsid w:val="00937FDD"/>
    <w:rsid w:val="00941BC8"/>
    <w:rsid w:val="0094552A"/>
    <w:rsid w:val="009471D1"/>
    <w:rsid w:val="00951357"/>
    <w:rsid w:val="00951F6B"/>
    <w:rsid w:val="009523FD"/>
    <w:rsid w:val="00952BA8"/>
    <w:rsid w:val="00952DD3"/>
    <w:rsid w:val="0095313A"/>
    <w:rsid w:val="00953D09"/>
    <w:rsid w:val="00955F16"/>
    <w:rsid w:val="00956539"/>
    <w:rsid w:val="009579EA"/>
    <w:rsid w:val="00960ABC"/>
    <w:rsid w:val="00960DC1"/>
    <w:rsid w:val="0096184B"/>
    <w:rsid w:val="00965674"/>
    <w:rsid w:val="00970A4F"/>
    <w:rsid w:val="00971945"/>
    <w:rsid w:val="00972783"/>
    <w:rsid w:val="00972F69"/>
    <w:rsid w:val="00974C64"/>
    <w:rsid w:val="009752E6"/>
    <w:rsid w:val="009755A2"/>
    <w:rsid w:val="00976CA6"/>
    <w:rsid w:val="00977770"/>
    <w:rsid w:val="009807EE"/>
    <w:rsid w:val="009840AE"/>
    <w:rsid w:val="009841B3"/>
    <w:rsid w:val="0098473E"/>
    <w:rsid w:val="00987999"/>
    <w:rsid w:val="00990A55"/>
    <w:rsid w:val="0099422C"/>
    <w:rsid w:val="009960F0"/>
    <w:rsid w:val="00996BFC"/>
    <w:rsid w:val="009978D0"/>
    <w:rsid w:val="009A1142"/>
    <w:rsid w:val="009A47D1"/>
    <w:rsid w:val="009A4EE7"/>
    <w:rsid w:val="009A5CB8"/>
    <w:rsid w:val="009A6491"/>
    <w:rsid w:val="009B0D27"/>
    <w:rsid w:val="009B1107"/>
    <w:rsid w:val="009B1E85"/>
    <w:rsid w:val="009B4984"/>
    <w:rsid w:val="009B510A"/>
    <w:rsid w:val="009B7325"/>
    <w:rsid w:val="009C0874"/>
    <w:rsid w:val="009C25B8"/>
    <w:rsid w:val="009C31D5"/>
    <w:rsid w:val="009C498F"/>
    <w:rsid w:val="009C4E80"/>
    <w:rsid w:val="009C581F"/>
    <w:rsid w:val="009C6EB5"/>
    <w:rsid w:val="009D5F39"/>
    <w:rsid w:val="009D6C5E"/>
    <w:rsid w:val="009D6DA3"/>
    <w:rsid w:val="009D7701"/>
    <w:rsid w:val="009E0C0F"/>
    <w:rsid w:val="009E16A6"/>
    <w:rsid w:val="009E42AB"/>
    <w:rsid w:val="009E670C"/>
    <w:rsid w:val="009F3185"/>
    <w:rsid w:val="009F3974"/>
    <w:rsid w:val="009F6C0D"/>
    <w:rsid w:val="009F6C6B"/>
    <w:rsid w:val="00A04CC7"/>
    <w:rsid w:val="00A063F5"/>
    <w:rsid w:val="00A120B6"/>
    <w:rsid w:val="00A13EAB"/>
    <w:rsid w:val="00A1502C"/>
    <w:rsid w:val="00A15046"/>
    <w:rsid w:val="00A153EA"/>
    <w:rsid w:val="00A179BA"/>
    <w:rsid w:val="00A22A63"/>
    <w:rsid w:val="00A22FA0"/>
    <w:rsid w:val="00A230B6"/>
    <w:rsid w:val="00A23AED"/>
    <w:rsid w:val="00A23E8D"/>
    <w:rsid w:val="00A26607"/>
    <w:rsid w:val="00A2769E"/>
    <w:rsid w:val="00A276C8"/>
    <w:rsid w:val="00A27D1A"/>
    <w:rsid w:val="00A31D03"/>
    <w:rsid w:val="00A324D0"/>
    <w:rsid w:val="00A35E69"/>
    <w:rsid w:val="00A37845"/>
    <w:rsid w:val="00A37DB4"/>
    <w:rsid w:val="00A37E04"/>
    <w:rsid w:val="00A41C81"/>
    <w:rsid w:val="00A41EBA"/>
    <w:rsid w:val="00A42779"/>
    <w:rsid w:val="00A43023"/>
    <w:rsid w:val="00A45AD4"/>
    <w:rsid w:val="00A476CA"/>
    <w:rsid w:val="00A47E70"/>
    <w:rsid w:val="00A51543"/>
    <w:rsid w:val="00A52277"/>
    <w:rsid w:val="00A540D3"/>
    <w:rsid w:val="00A551B8"/>
    <w:rsid w:val="00A55E22"/>
    <w:rsid w:val="00A57446"/>
    <w:rsid w:val="00A609D9"/>
    <w:rsid w:val="00A61B9C"/>
    <w:rsid w:val="00A62978"/>
    <w:rsid w:val="00A63A7D"/>
    <w:rsid w:val="00A6408D"/>
    <w:rsid w:val="00A65E3A"/>
    <w:rsid w:val="00A664D5"/>
    <w:rsid w:val="00A671EB"/>
    <w:rsid w:val="00A67968"/>
    <w:rsid w:val="00A702EF"/>
    <w:rsid w:val="00A70728"/>
    <w:rsid w:val="00A719E0"/>
    <w:rsid w:val="00A739C0"/>
    <w:rsid w:val="00A76217"/>
    <w:rsid w:val="00A764CB"/>
    <w:rsid w:val="00A76A1A"/>
    <w:rsid w:val="00A80ADA"/>
    <w:rsid w:val="00A80E88"/>
    <w:rsid w:val="00A812DF"/>
    <w:rsid w:val="00A81E63"/>
    <w:rsid w:val="00A83680"/>
    <w:rsid w:val="00A83C35"/>
    <w:rsid w:val="00A8526E"/>
    <w:rsid w:val="00A879D5"/>
    <w:rsid w:val="00A906FF"/>
    <w:rsid w:val="00A9195A"/>
    <w:rsid w:val="00A91B07"/>
    <w:rsid w:val="00A91EB4"/>
    <w:rsid w:val="00A92894"/>
    <w:rsid w:val="00A92C57"/>
    <w:rsid w:val="00A95161"/>
    <w:rsid w:val="00A95BEE"/>
    <w:rsid w:val="00A96459"/>
    <w:rsid w:val="00AA349C"/>
    <w:rsid w:val="00AB2502"/>
    <w:rsid w:val="00AB30DC"/>
    <w:rsid w:val="00AC034D"/>
    <w:rsid w:val="00AC1CBF"/>
    <w:rsid w:val="00AC7924"/>
    <w:rsid w:val="00AC7DA0"/>
    <w:rsid w:val="00AD2C77"/>
    <w:rsid w:val="00AD3EFA"/>
    <w:rsid w:val="00AD4D66"/>
    <w:rsid w:val="00AD741D"/>
    <w:rsid w:val="00AE7AF8"/>
    <w:rsid w:val="00AF1F01"/>
    <w:rsid w:val="00AF20C5"/>
    <w:rsid w:val="00AF591D"/>
    <w:rsid w:val="00AF75CD"/>
    <w:rsid w:val="00AF7F33"/>
    <w:rsid w:val="00B03BA4"/>
    <w:rsid w:val="00B04B0C"/>
    <w:rsid w:val="00B10A13"/>
    <w:rsid w:val="00B113F8"/>
    <w:rsid w:val="00B13386"/>
    <w:rsid w:val="00B15C16"/>
    <w:rsid w:val="00B26E37"/>
    <w:rsid w:val="00B30852"/>
    <w:rsid w:val="00B30A21"/>
    <w:rsid w:val="00B3218A"/>
    <w:rsid w:val="00B345AA"/>
    <w:rsid w:val="00B37A23"/>
    <w:rsid w:val="00B37D16"/>
    <w:rsid w:val="00B43171"/>
    <w:rsid w:val="00B45745"/>
    <w:rsid w:val="00B45819"/>
    <w:rsid w:val="00B47870"/>
    <w:rsid w:val="00B47FB2"/>
    <w:rsid w:val="00B52174"/>
    <w:rsid w:val="00B524CC"/>
    <w:rsid w:val="00B53754"/>
    <w:rsid w:val="00B561AA"/>
    <w:rsid w:val="00B575CE"/>
    <w:rsid w:val="00B57825"/>
    <w:rsid w:val="00B6158C"/>
    <w:rsid w:val="00B62B2E"/>
    <w:rsid w:val="00B672A1"/>
    <w:rsid w:val="00B700D0"/>
    <w:rsid w:val="00B743A1"/>
    <w:rsid w:val="00B7517F"/>
    <w:rsid w:val="00B76289"/>
    <w:rsid w:val="00B81051"/>
    <w:rsid w:val="00B81FC3"/>
    <w:rsid w:val="00B82400"/>
    <w:rsid w:val="00B84E1C"/>
    <w:rsid w:val="00B84E7A"/>
    <w:rsid w:val="00B85417"/>
    <w:rsid w:val="00B864D5"/>
    <w:rsid w:val="00B91084"/>
    <w:rsid w:val="00B91B75"/>
    <w:rsid w:val="00B941A4"/>
    <w:rsid w:val="00B951D7"/>
    <w:rsid w:val="00B97B13"/>
    <w:rsid w:val="00BA234E"/>
    <w:rsid w:val="00BA2F34"/>
    <w:rsid w:val="00BA3748"/>
    <w:rsid w:val="00BA38B2"/>
    <w:rsid w:val="00BA618E"/>
    <w:rsid w:val="00BB30AE"/>
    <w:rsid w:val="00BB3AF1"/>
    <w:rsid w:val="00BB4273"/>
    <w:rsid w:val="00BB5D5B"/>
    <w:rsid w:val="00BB5E20"/>
    <w:rsid w:val="00BB7135"/>
    <w:rsid w:val="00BB7CCB"/>
    <w:rsid w:val="00BB7F4B"/>
    <w:rsid w:val="00BC05FD"/>
    <w:rsid w:val="00BC13C1"/>
    <w:rsid w:val="00BC24C9"/>
    <w:rsid w:val="00BC69B1"/>
    <w:rsid w:val="00BD3801"/>
    <w:rsid w:val="00BD411F"/>
    <w:rsid w:val="00BD4578"/>
    <w:rsid w:val="00BD4C13"/>
    <w:rsid w:val="00BD5BBB"/>
    <w:rsid w:val="00BD63E9"/>
    <w:rsid w:val="00BE0367"/>
    <w:rsid w:val="00BE2570"/>
    <w:rsid w:val="00BE2D43"/>
    <w:rsid w:val="00BE4110"/>
    <w:rsid w:val="00BE5E2C"/>
    <w:rsid w:val="00BE62E9"/>
    <w:rsid w:val="00BE6F93"/>
    <w:rsid w:val="00BF1E53"/>
    <w:rsid w:val="00BF2FFD"/>
    <w:rsid w:val="00BF3524"/>
    <w:rsid w:val="00BF4937"/>
    <w:rsid w:val="00BF709C"/>
    <w:rsid w:val="00C00F7A"/>
    <w:rsid w:val="00C01598"/>
    <w:rsid w:val="00C024C0"/>
    <w:rsid w:val="00C02B5C"/>
    <w:rsid w:val="00C0338E"/>
    <w:rsid w:val="00C03F5F"/>
    <w:rsid w:val="00C06913"/>
    <w:rsid w:val="00C06B47"/>
    <w:rsid w:val="00C06D57"/>
    <w:rsid w:val="00C072A8"/>
    <w:rsid w:val="00C0752E"/>
    <w:rsid w:val="00C1065C"/>
    <w:rsid w:val="00C10947"/>
    <w:rsid w:val="00C13CD4"/>
    <w:rsid w:val="00C14386"/>
    <w:rsid w:val="00C169E2"/>
    <w:rsid w:val="00C173FB"/>
    <w:rsid w:val="00C22658"/>
    <w:rsid w:val="00C22CA7"/>
    <w:rsid w:val="00C247E3"/>
    <w:rsid w:val="00C26AF6"/>
    <w:rsid w:val="00C26B39"/>
    <w:rsid w:val="00C26D8D"/>
    <w:rsid w:val="00C273DA"/>
    <w:rsid w:val="00C274D2"/>
    <w:rsid w:val="00C2778C"/>
    <w:rsid w:val="00C31BAA"/>
    <w:rsid w:val="00C32BC4"/>
    <w:rsid w:val="00C32C54"/>
    <w:rsid w:val="00C32CD3"/>
    <w:rsid w:val="00C33419"/>
    <w:rsid w:val="00C35002"/>
    <w:rsid w:val="00C35591"/>
    <w:rsid w:val="00C36A8F"/>
    <w:rsid w:val="00C402F2"/>
    <w:rsid w:val="00C41536"/>
    <w:rsid w:val="00C45971"/>
    <w:rsid w:val="00C4743F"/>
    <w:rsid w:val="00C50825"/>
    <w:rsid w:val="00C515CC"/>
    <w:rsid w:val="00C5269D"/>
    <w:rsid w:val="00C53A84"/>
    <w:rsid w:val="00C55E2E"/>
    <w:rsid w:val="00C64823"/>
    <w:rsid w:val="00C662F8"/>
    <w:rsid w:val="00C707CA"/>
    <w:rsid w:val="00C70EB5"/>
    <w:rsid w:val="00C71D8F"/>
    <w:rsid w:val="00C73DE6"/>
    <w:rsid w:val="00C76379"/>
    <w:rsid w:val="00C81053"/>
    <w:rsid w:val="00C8144C"/>
    <w:rsid w:val="00C81720"/>
    <w:rsid w:val="00C8229D"/>
    <w:rsid w:val="00C84E38"/>
    <w:rsid w:val="00C866FD"/>
    <w:rsid w:val="00C87D35"/>
    <w:rsid w:val="00C92FBD"/>
    <w:rsid w:val="00C9395A"/>
    <w:rsid w:val="00C93EC2"/>
    <w:rsid w:val="00C947CC"/>
    <w:rsid w:val="00CA185D"/>
    <w:rsid w:val="00CA18AE"/>
    <w:rsid w:val="00CA223B"/>
    <w:rsid w:val="00CA24D9"/>
    <w:rsid w:val="00CA4527"/>
    <w:rsid w:val="00CA56E1"/>
    <w:rsid w:val="00CA6E3E"/>
    <w:rsid w:val="00CA75DA"/>
    <w:rsid w:val="00CB332D"/>
    <w:rsid w:val="00CB550E"/>
    <w:rsid w:val="00CB5F76"/>
    <w:rsid w:val="00CB6C15"/>
    <w:rsid w:val="00CB7100"/>
    <w:rsid w:val="00CB7E02"/>
    <w:rsid w:val="00CC018C"/>
    <w:rsid w:val="00CC0E14"/>
    <w:rsid w:val="00CC699C"/>
    <w:rsid w:val="00CC6CB4"/>
    <w:rsid w:val="00CC7713"/>
    <w:rsid w:val="00CD02DA"/>
    <w:rsid w:val="00CD086E"/>
    <w:rsid w:val="00CD3EBB"/>
    <w:rsid w:val="00CD5930"/>
    <w:rsid w:val="00CD7835"/>
    <w:rsid w:val="00CE105A"/>
    <w:rsid w:val="00CE140C"/>
    <w:rsid w:val="00CE2FCA"/>
    <w:rsid w:val="00CE375B"/>
    <w:rsid w:val="00CE7467"/>
    <w:rsid w:val="00CF0EAE"/>
    <w:rsid w:val="00CF2146"/>
    <w:rsid w:val="00CF2C60"/>
    <w:rsid w:val="00CF30A9"/>
    <w:rsid w:val="00CF3ECB"/>
    <w:rsid w:val="00CF5608"/>
    <w:rsid w:val="00CF59CC"/>
    <w:rsid w:val="00CF6A25"/>
    <w:rsid w:val="00CF739F"/>
    <w:rsid w:val="00CF7CA1"/>
    <w:rsid w:val="00D0080B"/>
    <w:rsid w:val="00D035D7"/>
    <w:rsid w:val="00D058B4"/>
    <w:rsid w:val="00D05ADA"/>
    <w:rsid w:val="00D0720E"/>
    <w:rsid w:val="00D10724"/>
    <w:rsid w:val="00D118D4"/>
    <w:rsid w:val="00D12F44"/>
    <w:rsid w:val="00D14B4B"/>
    <w:rsid w:val="00D14DC8"/>
    <w:rsid w:val="00D16071"/>
    <w:rsid w:val="00D171AC"/>
    <w:rsid w:val="00D17C05"/>
    <w:rsid w:val="00D21CFA"/>
    <w:rsid w:val="00D233CD"/>
    <w:rsid w:val="00D25B70"/>
    <w:rsid w:val="00D27837"/>
    <w:rsid w:val="00D30F04"/>
    <w:rsid w:val="00D3140B"/>
    <w:rsid w:val="00D32EBE"/>
    <w:rsid w:val="00D331F7"/>
    <w:rsid w:val="00D3703D"/>
    <w:rsid w:val="00D402CF"/>
    <w:rsid w:val="00D40D08"/>
    <w:rsid w:val="00D414CE"/>
    <w:rsid w:val="00D416F5"/>
    <w:rsid w:val="00D433FA"/>
    <w:rsid w:val="00D446C5"/>
    <w:rsid w:val="00D46BDE"/>
    <w:rsid w:val="00D473A5"/>
    <w:rsid w:val="00D47590"/>
    <w:rsid w:val="00D50424"/>
    <w:rsid w:val="00D5358F"/>
    <w:rsid w:val="00D57C13"/>
    <w:rsid w:val="00D618DB"/>
    <w:rsid w:val="00D64076"/>
    <w:rsid w:val="00D6658F"/>
    <w:rsid w:val="00D67371"/>
    <w:rsid w:val="00D67C0B"/>
    <w:rsid w:val="00D70D77"/>
    <w:rsid w:val="00D75418"/>
    <w:rsid w:val="00D75CB7"/>
    <w:rsid w:val="00D800D1"/>
    <w:rsid w:val="00D82ED8"/>
    <w:rsid w:val="00D8544A"/>
    <w:rsid w:val="00D90622"/>
    <w:rsid w:val="00D90EBC"/>
    <w:rsid w:val="00D914B7"/>
    <w:rsid w:val="00D9267B"/>
    <w:rsid w:val="00D94861"/>
    <w:rsid w:val="00D96357"/>
    <w:rsid w:val="00D97882"/>
    <w:rsid w:val="00DA3C18"/>
    <w:rsid w:val="00DA4A75"/>
    <w:rsid w:val="00DA60B5"/>
    <w:rsid w:val="00DB08DE"/>
    <w:rsid w:val="00DB1BB0"/>
    <w:rsid w:val="00DB1FFE"/>
    <w:rsid w:val="00DB3A6F"/>
    <w:rsid w:val="00DB4692"/>
    <w:rsid w:val="00DB48CD"/>
    <w:rsid w:val="00DB51CB"/>
    <w:rsid w:val="00DC1601"/>
    <w:rsid w:val="00DC3392"/>
    <w:rsid w:val="00DC3496"/>
    <w:rsid w:val="00DC3568"/>
    <w:rsid w:val="00DC3A8D"/>
    <w:rsid w:val="00DC65E2"/>
    <w:rsid w:val="00DD03D5"/>
    <w:rsid w:val="00DD0868"/>
    <w:rsid w:val="00DD0AD9"/>
    <w:rsid w:val="00DD0D27"/>
    <w:rsid w:val="00DD1DFC"/>
    <w:rsid w:val="00DD2DB3"/>
    <w:rsid w:val="00DD31B0"/>
    <w:rsid w:val="00DD32FD"/>
    <w:rsid w:val="00DD41DC"/>
    <w:rsid w:val="00DD5CCD"/>
    <w:rsid w:val="00DD6C9F"/>
    <w:rsid w:val="00DE19F7"/>
    <w:rsid w:val="00DE2DA2"/>
    <w:rsid w:val="00DE3DAD"/>
    <w:rsid w:val="00DE4638"/>
    <w:rsid w:val="00DE537F"/>
    <w:rsid w:val="00DE5E7F"/>
    <w:rsid w:val="00DF0256"/>
    <w:rsid w:val="00DF0D5B"/>
    <w:rsid w:val="00DF19A9"/>
    <w:rsid w:val="00DF3490"/>
    <w:rsid w:val="00DF49DA"/>
    <w:rsid w:val="00DF5951"/>
    <w:rsid w:val="00DF616D"/>
    <w:rsid w:val="00DF65B8"/>
    <w:rsid w:val="00E00832"/>
    <w:rsid w:val="00E0090D"/>
    <w:rsid w:val="00E014C0"/>
    <w:rsid w:val="00E02E82"/>
    <w:rsid w:val="00E058A5"/>
    <w:rsid w:val="00E07477"/>
    <w:rsid w:val="00E10126"/>
    <w:rsid w:val="00E12810"/>
    <w:rsid w:val="00E12B1B"/>
    <w:rsid w:val="00E14537"/>
    <w:rsid w:val="00E15DB9"/>
    <w:rsid w:val="00E21547"/>
    <w:rsid w:val="00E218CF"/>
    <w:rsid w:val="00E21F0A"/>
    <w:rsid w:val="00E23A5F"/>
    <w:rsid w:val="00E2692D"/>
    <w:rsid w:val="00E269CC"/>
    <w:rsid w:val="00E27604"/>
    <w:rsid w:val="00E27D7E"/>
    <w:rsid w:val="00E32097"/>
    <w:rsid w:val="00E32FA9"/>
    <w:rsid w:val="00E32FF9"/>
    <w:rsid w:val="00E336ED"/>
    <w:rsid w:val="00E33AA2"/>
    <w:rsid w:val="00E33E09"/>
    <w:rsid w:val="00E340DB"/>
    <w:rsid w:val="00E341C5"/>
    <w:rsid w:val="00E349CB"/>
    <w:rsid w:val="00E400BB"/>
    <w:rsid w:val="00E43069"/>
    <w:rsid w:val="00E45EB0"/>
    <w:rsid w:val="00E511AD"/>
    <w:rsid w:val="00E51A47"/>
    <w:rsid w:val="00E52901"/>
    <w:rsid w:val="00E52C7A"/>
    <w:rsid w:val="00E55F1A"/>
    <w:rsid w:val="00E57B73"/>
    <w:rsid w:val="00E57E89"/>
    <w:rsid w:val="00E61BB1"/>
    <w:rsid w:val="00E62C92"/>
    <w:rsid w:val="00E67314"/>
    <w:rsid w:val="00E7180E"/>
    <w:rsid w:val="00E72A91"/>
    <w:rsid w:val="00E73613"/>
    <w:rsid w:val="00E73733"/>
    <w:rsid w:val="00E80417"/>
    <w:rsid w:val="00E80FF6"/>
    <w:rsid w:val="00E83126"/>
    <w:rsid w:val="00E83B0B"/>
    <w:rsid w:val="00E85444"/>
    <w:rsid w:val="00E8693B"/>
    <w:rsid w:val="00E86A5A"/>
    <w:rsid w:val="00E917F5"/>
    <w:rsid w:val="00E91C8B"/>
    <w:rsid w:val="00E9291F"/>
    <w:rsid w:val="00E9373F"/>
    <w:rsid w:val="00E93CB3"/>
    <w:rsid w:val="00E94489"/>
    <w:rsid w:val="00E959D5"/>
    <w:rsid w:val="00E972A8"/>
    <w:rsid w:val="00E9761F"/>
    <w:rsid w:val="00EA09D2"/>
    <w:rsid w:val="00EA5DD7"/>
    <w:rsid w:val="00EA7A7E"/>
    <w:rsid w:val="00EB09A4"/>
    <w:rsid w:val="00EB319C"/>
    <w:rsid w:val="00EB5CAA"/>
    <w:rsid w:val="00EB643C"/>
    <w:rsid w:val="00EB69D4"/>
    <w:rsid w:val="00EB6E0C"/>
    <w:rsid w:val="00EB7C99"/>
    <w:rsid w:val="00EC0755"/>
    <w:rsid w:val="00EC2076"/>
    <w:rsid w:val="00EC2AEF"/>
    <w:rsid w:val="00EC30B3"/>
    <w:rsid w:val="00EC452E"/>
    <w:rsid w:val="00EC567F"/>
    <w:rsid w:val="00EC56AA"/>
    <w:rsid w:val="00EC5E4D"/>
    <w:rsid w:val="00EC6155"/>
    <w:rsid w:val="00EC67EF"/>
    <w:rsid w:val="00EC7CDB"/>
    <w:rsid w:val="00ED0060"/>
    <w:rsid w:val="00ED2E69"/>
    <w:rsid w:val="00ED37E5"/>
    <w:rsid w:val="00ED3A82"/>
    <w:rsid w:val="00ED7F61"/>
    <w:rsid w:val="00EE2827"/>
    <w:rsid w:val="00EE4EC2"/>
    <w:rsid w:val="00EE56C3"/>
    <w:rsid w:val="00EE6FA5"/>
    <w:rsid w:val="00EE78D3"/>
    <w:rsid w:val="00EF0CB4"/>
    <w:rsid w:val="00EF715C"/>
    <w:rsid w:val="00EF71DD"/>
    <w:rsid w:val="00EF74A8"/>
    <w:rsid w:val="00EF7C65"/>
    <w:rsid w:val="00F017AB"/>
    <w:rsid w:val="00F045EF"/>
    <w:rsid w:val="00F05705"/>
    <w:rsid w:val="00F123E3"/>
    <w:rsid w:val="00F12A1C"/>
    <w:rsid w:val="00F12B22"/>
    <w:rsid w:val="00F12BC6"/>
    <w:rsid w:val="00F13AE9"/>
    <w:rsid w:val="00F16CCF"/>
    <w:rsid w:val="00F17070"/>
    <w:rsid w:val="00F20586"/>
    <w:rsid w:val="00F20AC8"/>
    <w:rsid w:val="00F22877"/>
    <w:rsid w:val="00F2320D"/>
    <w:rsid w:val="00F24B64"/>
    <w:rsid w:val="00F251D2"/>
    <w:rsid w:val="00F25718"/>
    <w:rsid w:val="00F25C19"/>
    <w:rsid w:val="00F26016"/>
    <w:rsid w:val="00F260CD"/>
    <w:rsid w:val="00F2721F"/>
    <w:rsid w:val="00F27298"/>
    <w:rsid w:val="00F27F6F"/>
    <w:rsid w:val="00F307EE"/>
    <w:rsid w:val="00F30C3A"/>
    <w:rsid w:val="00F31439"/>
    <w:rsid w:val="00F3227C"/>
    <w:rsid w:val="00F348C8"/>
    <w:rsid w:val="00F35FB0"/>
    <w:rsid w:val="00F376D8"/>
    <w:rsid w:val="00F41A01"/>
    <w:rsid w:val="00F41F0F"/>
    <w:rsid w:val="00F424BE"/>
    <w:rsid w:val="00F44F68"/>
    <w:rsid w:val="00F50E13"/>
    <w:rsid w:val="00F525A3"/>
    <w:rsid w:val="00F5629E"/>
    <w:rsid w:val="00F57352"/>
    <w:rsid w:val="00F5774A"/>
    <w:rsid w:val="00F57BBE"/>
    <w:rsid w:val="00F603CA"/>
    <w:rsid w:val="00F61788"/>
    <w:rsid w:val="00F61FB8"/>
    <w:rsid w:val="00F64C44"/>
    <w:rsid w:val="00F67616"/>
    <w:rsid w:val="00F704BC"/>
    <w:rsid w:val="00F70832"/>
    <w:rsid w:val="00F76AC3"/>
    <w:rsid w:val="00F83F7E"/>
    <w:rsid w:val="00F85442"/>
    <w:rsid w:val="00F879EF"/>
    <w:rsid w:val="00F902A2"/>
    <w:rsid w:val="00F9509F"/>
    <w:rsid w:val="00F963EE"/>
    <w:rsid w:val="00F96FC7"/>
    <w:rsid w:val="00F9787D"/>
    <w:rsid w:val="00F979F2"/>
    <w:rsid w:val="00FA1857"/>
    <w:rsid w:val="00FA1A60"/>
    <w:rsid w:val="00FA3CD6"/>
    <w:rsid w:val="00FA3E65"/>
    <w:rsid w:val="00FA54CD"/>
    <w:rsid w:val="00FA6BD5"/>
    <w:rsid w:val="00FB115D"/>
    <w:rsid w:val="00FB2FD3"/>
    <w:rsid w:val="00FB3414"/>
    <w:rsid w:val="00FB3F58"/>
    <w:rsid w:val="00FB40AF"/>
    <w:rsid w:val="00FB4681"/>
    <w:rsid w:val="00FB5958"/>
    <w:rsid w:val="00FB6A89"/>
    <w:rsid w:val="00FC1517"/>
    <w:rsid w:val="00FC23DD"/>
    <w:rsid w:val="00FC4AAF"/>
    <w:rsid w:val="00FC4BEF"/>
    <w:rsid w:val="00FC5018"/>
    <w:rsid w:val="00FC5614"/>
    <w:rsid w:val="00FC5D90"/>
    <w:rsid w:val="00FC7A00"/>
    <w:rsid w:val="00FD042E"/>
    <w:rsid w:val="00FD1B9B"/>
    <w:rsid w:val="00FD24C2"/>
    <w:rsid w:val="00FD5CF5"/>
    <w:rsid w:val="00FD6320"/>
    <w:rsid w:val="00FE3AFD"/>
    <w:rsid w:val="00FE4E5D"/>
    <w:rsid w:val="00FE6564"/>
    <w:rsid w:val="00FE725A"/>
    <w:rsid w:val="00FF0A2E"/>
    <w:rsid w:val="00FF68E1"/>
    <w:rsid w:val="00FF6906"/>
    <w:rsid w:val="00FF6FE7"/>
    <w:rsid w:val="316F0E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8FC6B7"/>
  <w15:docId w15:val="{FB0F8802-C43E-4AC2-906B-50DDBCDB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4">
    <w:name w:val="heading 4"/>
    <w:basedOn w:val="Normal"/>
    <w:link w:val="Heading4Char"/>
    <w:uiPriority w:val="9"/>
    <w:qFormat/>
    <w:locked/>
    <w:rsid w:val="00282E39"/>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qFormat/>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unhideWhenUsed/>
    <w:qFormat/>
    <w:pPr>
      <w:spacing w:after="0" w:line="240" w:lineRule="auto"/>
    </w:pPr>
    <w:rPr>
      <w:rFonts w:eastAsiaTheme="minorHAnsi" w:cstheme="minorBidi"/>
      <w:szCs w:val="21"/>
    </w:rPr>
  </w:style>
  <w:style w:type="character" w:styleId="CommentReference">
    <w:name w:val="annotation reference"/>
    <w:basedOn w:val="DefaultParagraphFont"/>
    <w:uiPriority w:val="99"/>
    <w:semiHidden/>
    <w:unhideWhenUsed/>
    <w:qFormat/>
    <w:rPr>
      <w:sz w:val="16"/>
      <w:szCs w:val="16"/>
    </w:rPr>
  </w:style>
  <w:style w:type="character" w:styleId="Hyperlink">
    <w:name w:val="Hyperlink"/>
    <w:basedOn w:val="DefaultParagraphFont"/>
    <w:uiPriority w:val="99"/>
    <w:unhideWhenUsed/>
    <w:rPr>
      <w:rFonts w:cs="Times New Roman"/>
      <w:color w:val="0000FF" w:themeColor="hyperlink"/>
      <w:u w:val="single"/>
    </w:r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Pr>
      <w:rFonts w:cs="Times New Roman"/>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Default">
    <w:name w:val="Default"/>
    <w:basedOn w:val="Normal"/>
    <w:qFormat/>
    <w:pPr>
      <w:autoSpaceDE w:val="0"/>
      <w:autoSpaceDN w:val="0"/>
      <w:spacing w:after="0" w:line="240" w:lineRule="auto"/>
    </w:pPr>
    <w:rPr>
      <w:rFonts w:ascii="Arial" w:eastAsiaTheme="minorHAnsi" w:hAnsi="Arial" w:cs="Arial"/>
      <w:color w:val="000000"/>
      <w:sz w:val="24"/>
      <w:szCs w:val="24"/>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styleId="ListParagraph">
    <w:name w:val="List Paragraph"/>
    <w:basedOn w:val="Normal"/>
    <w:uiPriority w:val="34"/>
    <w:qFormat/>
    <w:pPr>
      <w:ind w:left="720"/>
      <w:contextualSpacing/>
    </w:pPr>
  </w:style>
  <w:style w:type="character" w:customStyle="1" w:styleId="PlainTextChar">
    <w:name w:val="Plain Text Char"/>
    <w:basedOn w:val="DefaultParagraphFont"/>
    <w:link w:val="PlainText"/>
    <w:uiPriority w:val="99"/>
    <w:rPr>
      <w:rFonts w:eastAsiaTheme="minorHAnsi" w:cstheme="minorBidi"/>
      <w:szCs w:val="21"/>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HTMLPreformatted">
    <w:name w:val="HTML Preformatted"/>
    <w:basedOn w:val="Normal"/>
    <w:link w:val="HTMLPreformattedChar"/>
    <w:uiPriority w:val="99"/>
    <w:semiHidden/>
    <w:unhideWhenUsed/>
    <w:rsid w:val="00153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153B59"/>
    <w:rPr>
      <w:rFonts w:ascii="Courier New" w:eastAsia="Times New Roman" w:hAnsi="Courier New" w:cs="Courier New"/>
    </w:rPr>
  </w:style>
  <w:style w:type="character" w:customStyle="1" w:styleId="UnresolvedMention2">
    <w:name w:val="Unresolved Mention2"/>
    <w:basedOn w:val="DefaultParagraphFont"/>
    <w:uiPriority w:val="99"/>
    <w:semiHidden/>
    <w:unhideWhenUsed/>
    <w:rsid w:val="001D3E6E"/>
    <w:rPr>
      <w:color w:val="605E5C"/>
      <w:shd w:val="clear" w:color="auto" w:fill="E1DFDD"/>
    </w:rPr>
  </w:style>
  <w:style w:type="character" w:customStyle="1" w:styleId="Heading4Char">
    <w:name w:val="Heading 4 Char"/>
    <w:basedOn w:val="DefaultParagraphFont"/>
    <w:link w:val="Heading4"/>
    <w:uiPriority w:val="9"/>
    <w:rsid w:val="00282E39"/>
    <w:rPr>
      <w:rFonts w:ascii="Times New Roman" w:eastAsia="Times New Roman" w:hAnsi="Times New Roman"/>
      <w:b/>
      <w:bCs/>
      <w:sz w:val="24"/>
      <w:szCs w:val="24"/>
      <w:lang w:val="en-US" w:eastAsia="en-US"/>
    </w:rPr>
  </w:style>
  <w:style w:type="character" w:styleId="Strong">
    <w:name w:val="Strong"/>
    <w:basedOn w:val="DefaultParagraphFont"/>
    <w:uiPriority w:val="22"/>
    <w:qFormat/>
    <w:locked/>
    <w:rsid w:val="00282E39"/>
    <w:rPr>
      <w:b/>
      <w:bCs/>
    </w:rPr>
  </w:style>
  <w:style w:type="paragraph" w:styleId="FootnoteText">
    <w:name w:val="footnote text"/>
    <w:basedOn w:val="Normal"/>
    <w:link w:val="FootnoteTextChar"/>
    <w:uiPriority w:val="99"/>
    <w:semiHidden/>
    <w:unhideWhenUsed/>
    <w:rsid w:val="000068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6831"/>
    <w:rPr>
      <w:lang w:val="en-US" w:eastAsia="en-US"/>
    </w:rPr>
  </w:style>
  <w:style w:type="character" w:styleId="FootnoteReference">
    <w:name w:val="footnote reference"/>
    <w:basedOn w:val="DefaultParagraphFont"/>
    <w:uiPriority w:val="99"/>
    <w:semiHidden/>
    <w:unhideWhenUsed/>
    <w:rsid w:val="00006831"/>
    <w:rPr>
      <w:vertAlign w:val="superscript"/>
    </w:rPr>
  </w:style>
  <w:style w:type="paragraph" w:styleId="Revision">
    <w:name w:val="Revision"/>
    <w:hidden/>
    <w:uiPriority w:val="99"/>
    <w:semiHidden/>
    <w:rsid w:val="00035DEB"/>
    <w:pPr>
      <w:spacing w:after="0" w:line="240" w:lineRule="auto"/>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8684">
      <w:bodyDiv w:val="1"/>
      <w:marLeft w:val="0"/>
      <w:marRight w:val="0"/>
      <w:marTop w:val="0"/>
      <w:marBottom w:val="0"/>
      <w:divBdr>
        <w:top w:val="none" w:sz="0" w:space="0" w:color="auto"/>
        <w:left w:val="none" w:sz="0" w:space="0" w:color="auto"/>
        <w:bottom w:val="none" w:sz="0" w:space="0" w:color="auto"/>
        <w:right w:val="none" w:sz="0" w:space="0" w:color="auto"/>
      </w:divBdr>
    </w:div>
    <w:div w:id="141773128">
      <w:bodyDiv w:val="1"/>
      <w:marLeft w:val="0"/>
      <w:marRight w:val="0"/>
      <w:marTop w:val="0"/>
      <w:marBottom w:val="0"/>
      <w:divBdr>
        <w:top w:val="none" w:sz="0" w:space="0" w:color="auto"/>
        <w:left w:val="none" w:sz="0" w:space="0" w:color="auto"/>
        <w:bottom w:val="none" w:sz="0" w:space="0" w:color="auto"/>
        <w:right w:val="none" w:sz="0" w:space="0" w:color="auto"/>
      </w:divBdr>
    </w:div>
    <w:div w:id="145830392">
      <w:bodyDiv w:val="1"/>
      <w:marLeft w:val="0"/>
      <w:marRight w:val="0"/>
      <w:marTop w:val="0"/>
      <w:marBottom w:val="0"/>
      <w:divBdr>
        <w:top w:val="none" w:sz="0" w:space="0" w:color="auto"/>
        <w:left w:val="none" w:sz="0" w:space="0" w:color="auto"/>
        <w:bottom w:val="none" w:sz="0" w:space="0" w:color="auto"/>
        <w:right w:val="none" w:sz="0" w:space="0" w:color="auto"/>
      </w:divBdr>
    </w:div>
    <w:div w:id="176309329">
      <w:bodyDiv w:val="1"/>
      <w:marLeft w:val="0"/>
      <w:marRight w:val="0"/>
      <w:marTop w:val="0"/>
      <w:marBottom w:val="0"/>
      <w:divBdr>
        <w:top w:val="none" w:sz="0" w:space="0" w:color="auto"/>
        <w:left w:val="none" w:sz="0" w:space="0" w:color="auto"/>
        <w:bottom w:val="none" w:sz="0" w:space="0" w:color="auto"/>
        <w:right w:val="none" w:sz="0" w:space="0" w:color="auto"/>
      </w:divBdr>
    </w:div>
    <w:div w:id="199901874">
      <w:bodyDiv w:val="1"/>
      <w:marLeft w:val="0"/>
      <w:marRight w:val="0"/>
      <w:marTop w:val="0"/>
      <w:marBottom w:val="0"/>
      <w:divBdr>
        <w:top w:val="none" w:sz="0" w:space="0" w:color="auto"/>
        <w:left w:val="none" w:sz="0" w:space="0" w:color="auto"/>
        <w:bottom w:val="none" w:sz="0" w:space="0" w:color="auto"/>
        <w:right w:val="none" w:sz="0" w:space="0" w:color="auto"/>
      </w:divBdr>
    </w:div>
    <w:div w:id="247421909">
      <w:bodyDiv w:val="1"/>
      <w:marLeft w:val="0"/>
      <w:marRight w:val="0"/>
      <w:marTop w:val="0"/>
      <w:marBottom w:val="0"/>
      <w:divBdr>
        <w:top w:val="none" w:sz="0" w:space="0" w:color="auto"/>
        <w:left w:val="none" w:sz="0" w:space="0" w:color="auto"/>
        <w:bottom w:val="none" w:sz="0" w:space="0" w:color="auto"/>
        <w:right w:val="none" w:sz="0" w:space="0" w:color="auto"/>
      </w:divBdr>
    </w:div>
    <w:div w:id="354040883">
      <w:bodyDiv w:val="1"/>
      <w:marLeft w:val="0"/>
      <w:marRight w:val="0"/>
      <w:marTop w:val="0"/>
      <w:marBottom w:val="0"/>
      <w:divBdr>
        <w:top w:val="none" w:sz="0" w:space="0" w:color="auto"/>
        <w:left w:val="none" w:sz="0" w:space="0" w:color="auto"/>
        <w:bottom w:val="none" w:sz="0" w:space="0" w:color="auto"/>
        <w:right w:val="none" w:sz="0" w:space="0" w:color="auto"/>
      </w:divBdr>
      <w:divsChild>
        <w:div w:id="257522299">
          <w:marLeft w:val="446"/>
          <w:marRight w:val="0"/>
          <w:marTop w:val="120"/>
          <w:marBottom w:val="0"/>
          <w:divBdr>
            <w:top w:val="none" w:sz="0" w:space="0" w:color="auto"/>
            <w:left w:val="none" w:sz="0" w:space="0" w:color="auto"/>
            <w:bottom w:val="none" w:sz="0" w:space="0" w:color="auto"/>
            <w:right w:val="none" w:sz="0" w:space="0" w:color="auto"/>
          </w:divBdr>
        </w:div>
        <w:div w:id="364866986">
          <w:marLeft w:val="446"/>
          <w:marRight w:val="0"/>
          <w:marTop w:val="120"/>
          <w:marBottom w:val="0"/>
          <w:divBdr>
            <w:top w:val="none" w:sz="0" w:space="0" w:color="auto"/>
            <w:left w:val="none" w:sz="0" w:space="0" w:color="auto"/>
            <w:bottom w:val="none" w:sz="0" w:space="0" w:color="auto"/>
            <w:right w:val="none" w:sz="0" w:space="0" w:color="auto"/>
          </w:divBdr>
        </w:div>
        <w:div w:id="398865013">
          <w:marLeft w:val="446"/>
          <w:marRight w:val="0"/>
          <w:marTop w:val="120"/>
          <w:marBottom w:val="0"/>
          <w:divBdr>
            <w:top w:val="none" w:sz="0" w:space="0" w:color="auto"/>
            <w:left w:val="none" w:sz="0" w:space="0" w:color="auto"/>
            <w:bottom w:val="none" w:sz="0" w:space="0" w:color="auto"/>
            <w:right w:val="none" w:sz="0" w:space="0" w:color="auto"/>
          </w:divBdr>
        </w:div>
        <w:div w:id="2118521337">
          <w:marLeft w:val="446"/>
          <w:marRight w:val="0"/>
          <w:marTop w:val="120"/>
          <w:marBottom w:val="0"/>
          <w:divBdr>
            <w:top w:val="none" w:sz="0" w:space="0" w:color="auto"/>
            <w:left w:val="none" w:sz="0" w:space="0" w:color="auto"/>
            <w:bottom w:val="none" w:sz="0" w:space="0" w:color="auto"/>
            <w:right w:val="none" w:sz="0" w:space="0" w:color="auto"/>
          </w:divBdr>
        </w:div>
      </w:divsChild>
    </w:div>
    <w:div w:id="499124572">
      <w:bodyDiv w:val="1"/>
      <w:marLeft w:val="0"/>
      <w:marRight w:val="0"/>
      <w:marTop w:val="0"/>
      <w:marBottom w:val="0"/>
      <w:divBdr>
        <w:top w:val="none" w:sz="0" w:space="0" w:color="auto"/>
        <w:left w:val="none" w:sz="0" w:space="0" w:color="auto"/>
        <w:bottom w:val="none" w:sz="0" w:space="0" w:color="auto"/>
        <w:right w:val="none" w:sz="0" w:space="0" w:color="auto"/>
      </w:divBdr>
    </w:div>
    <w:div w:id="623969475">
      <w:bodyDiv w:val="1"/>
      <w:marLeft w:val="0"/>
      <w:marRight w:val="0"/>
      <w:marTop w:val="0"/>
      <w:marBottom w:val="0"/>
      <w:divBdr>
        <w:top w:val="none" w:sz="0" w:space="0" w:color="auto"/>
        <w:left w:val="none" w:sz="0" w:space="0" w:color="auto"/>
        <w:bottom w:val="none" w:sz="0" w:space="0" w:color="auto"/>
        <w:right w:val="none" w:sz="0" w:space="0" w:color="auto"/>
      </w:divBdr>
    </w:div>
    <w:div w:id="629556071">
      <w:bodyDiv w:val="1"/>
      <w:marLeft w:val="0"/>
      <w:marRight w:val="0"/>
      <w:marTop w:val="0"/>
      <w:marBottom w:val="0"/>
      <w:divBdr>
        <w:top w:val="none" w:sz="0" w:space="0" w:color="auto"/>
        <w:left w:val="none" w:sz="0" w:space="0" w:color="auto"/>
        <w:bottom w:val="none" w:sz="0" w:space="0" w:color="auto"/>
        <w:right w:val="none" w:sz="0" w:space="0" w:color="auto"/>
      </w:divBdr>
    </w:div>
    <w:div w:id="761149639">
      <w:bodyDiv w:val="1"/>
      <w:marLeft w:val="0"/>
      <w:marRight w:val="0"/>
      <w:marTop w:val="0"/>
      <w:marBottom w:val="0"/>
      <w:divBdr>
        <w:top w:val="none" w:sz="0" w:space="0" w:color="auto"/>
        <w:left w:val="none" w:sz="0" w:space="0" w:color="auto"/>
        <w:bottom w:val="none" w:sz="0" w:space="0" w:color="auto"/>
        <w:right w:val="none" w:sz="0" w:space="0" w:color="auto"/>
      </w:divBdr>
    </w:div>
    <w:div w:id="880021177">
      <w:bodyDiv w:val="1"/>
      <w:marLeft w:val="0"/>
      <w:marRight w:val="0"/>
      <w:marTop w:val="0"/>
      <w:marBottom w:val="0"/>
      <w:divBdr>
        <w:top w:val="none" w:sz="0" w:space="0" w:color="auto"/>
        <w:left w:val="none" w:sz="0" w:space="0" w:color="auto"/>
        <w:bottom w:val="none" w:sz="0" w:space="0" w:color="auto"/>
        <w:right w:val="none" w:sz="0" w:space="0" w:color="auto"/>
      </w:divBdr>
    </w:div>
    <w:div w:id="1066077088">
      <w:bodyDiv w:val="1"/>
      <w:marLeft w:val="0"/>
      <w:marRight w:val="0"/>
      <w:marTop w:val="0"/>
      <w:marBottom w:val="0"/>
      <w:divBdr>
        <w:top w:val="none" w:sz="0" w:space="0" w:color="auto"/>
        <w:left w:val="none" w:sz="0" w:space="0" w:color="auto"/>
        <w:bottom w:val="none" w:sz="0" w:space="0" w:color="auto"/>
        <w:right w:val="none" w:sz="0" w:space="0" w:color="auto"/>
      </w:divBdr>
    </w:div>
    <w:div w:id="1232499428">
      <w:bodyDiv w:val="1"/>
      <w:marLeft w:val="0"/>
      <w:marRight w:val="0"/>
      <w:marTop w:val="0"/>
      <w:marBottom w:val="0"/>
      <w:divBdr>
        <w:top w:val="none" w:sz="0" w:space="0" w:color="auto"/>
        <w:left w:val="none" w:sz="0" w:space="0" w:color="auto"/>
        <w:bottom w:val="none" w:sz="0" w:space="0" w:color="auto"/>
        <w:right w:val="none" w:sz="0" w:space="0" w:color="auto"/>
      </w:divBdr>
    </w:div>
    <w:div w:id="1247809814">
      <w:bodyDiv w:val="1"/>
      <w:marLeft w:val="0"/>
      <w:marRight w:val="0"/>
      <w:marTop w:val="0"/>
      <w:marBottom w:val="0"/>
      <w:divBdr>
        <w:top w:val="none" w:sz="0" w:space="0" w:color="auto"/>
        <w:left w:val="none" w:sz="0" w:space="0" w:color="auto"/>
        <w:bottom w:val="none" w:sz="0" w:space="0" w:color="auto"/>
        <w:right w:val="none" w:sz="0" w:space="0" w:color="auto"/>
      </w:divBdr>
    </w:div>
    <w:div w:id="1264802316">
      <w:bodyDiv w:val="1"/>
      <w:marLeft w:val="0"/>
      <w:marRight w:val="0"/>
      <w:marTop w:val="0"/>
      <w:marBottom w:val="0"/>
      <w:divBdr>
        <w:top w:val="none" w:sz="0" w:space="0" w:color="auto"/>
        <w:left w:val="none" w:sz="0" w:space="0" w:color="auto"/>
        <w:bottom w:val="none" w:sz="0" w:space="0" w:color="auto"/>
        <w:right w:val="none" w:sz="0" w:space="0" w:color="auto"/>
      </w:divBdr>
    </w:div>
    <w:div w:id="1475102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6318EB-00F1-48A2-98EF-C0B41AC61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Park Place News Release Preliminary Prospectus and Appointment of B. Wood (W0371522).DOCX</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 Place News Release Preliminary Prospectus and Appointment of B. Wood (W0371522).DOCX</dc:title>
  <dc:subject>W0371522/Font=8</dc:subject>
  <dc:creator>Scott Larsen</dc:creator>
  <cp:lastModifiedBy>scott lower</cp:lastModifiedBy>
  <cp:revision>3</cp:revision>
  <cp:lastPrinted>2020-02-11T18:49:00Z</cp:lastPrinted>
  <dcterms:created xsi:type="dcterms:W3CDTF">2021-12-01T15:37:00Z</dcterms:created>
  <dcterms:modified xsi:type="dcterms:W3CDTF">2021-12-01T15:37:00Z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1033-11.2.0.8342</vt:lpwstr>
  </property>
</Properties>
</file>