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72E5" w14:textId="7D1D3E37" w:rsidR="003E006D" w:rsidRPr="00207B43" w:rsidRDefault="00D53632" w:rsidP="00800A1E">
      <w:pPr>
        <w:pStyle w:val="BodyText"/>
        <w:spacing w:after="240"/>
        <w:ind w:left="120"/>
        <w:jc w:val="center"/>
        <w:rPr>
          <w:b/>
          <w:bCs/>
        </w:rPr>
      </w:pPr>
      <w:r w:rsidRPr="00207B43">
        <w:rPr>
          <w:b/>
          <w:bCs/>
        </w:rPr>
        <w:t>PEDRO RESOURCES LTD</w:t>
      </w:r>
      <w:r w:rsidR="00B914F2" w:rsidRPr="00207B43">
        <w:rPr>
          <w:b/>
          <w:bCs/>
        </w:rPr>
        <w:t xml:space="preserve">. </w:t>
      </w:r>
      <w:r w:rsidR="00D4602D" w:rsidRPr="00207B43">
        <w:rPr>
          <w:b/>
          <w:bCs/>
        </w:rPr>
        <w:t xml:space="preserve">ANNOUNCES </w:t>
      </w:r>
      <w:r w:rsidR="00C06322" w:rsidRPr="00207B43">
        <w:rPr>
          <w:b/>
          <w:bCs/>
        </w:rPr>
        <w:t>DEBT SETTLEMENT</w:t>
      </w:r>
      <w:r w:rsidR="00D4602D" w:rsidRPr="00207B43">
        <w:rPr>
          <w:b/>
          <w:bCs/>
        </w:rPr>
        <w:t xml:space="preserve"> </w:t>
      </w:r>
    </w:p>
    <w:p w14:paraId="3B1C016F" w14:textId="234D490D" w:rsidR="00C06322" w:rsidRPr="00207B43" w:rsidRDefault="00581F13" w:rsidP="00800A1E">
      <w:pPr>
        <w:pStyle w:val="BodyText"/>
        <w:spacing w:after="240"/>
        <w:jc w:val="both"/>
      </w:pPr>
      <w:r w:rsidRPr="00207B43">
        <w:rPr>
          <w:b/>
          <w:bCs/>
        </w:rPr>
        <w:t>November 11</w:t>
      </w:r>
      <w:r w:rsidR="00C06322" w:rsidRPr="00207B43">
        <w:rPr>
          <w:b/>
          <w:bCs/>
        </w:rPr>
        <w:t xml:space="preserve">, 2022 – </w:t>
      </w:r>
      <w:r w:rsidR="00B914F2" w:rsidRPr="00207B43">
        <w:rPr>
          <w:b/>
          <w:bCs/>
        </w:rPr>
        <w:t>Toronto</w:t>
      </w:r>
      <w:r w:rsidR="00C06322" w:rsidRPr="00207B43">
        <w:rPr>
          <w:b/>
          <w:bCs/>
        </w:rPr>
        <w:t xml:space="preserve">, Ontario </w:t>
      </w:r>
      <w:r w:rsidR="00B914F2" w:rsidRPr="00207B43">
        <w:rPr>
          <w:b/>
          <w:bCs/>
        </w:rPr>
        <w:t xml:space="preserve">– </w:t>
      </w:r>
      <w:r w:rsidR="00D53632" w:rsidRPr="00207B43">
        <w:t>Pedro Resources Ltd</w:t>
      </w:r>
      <w:r w:rsidR="00B914F2" w:rsidRPr="00207B43">
        <w:t>. (</w:t>
      </w:r>
      <w:r w:rsidR="00C06322" w:rsidRPr="00207B43">
        <w:t>CSE</w:t>
      </w:r>
      <w:r w:rsidR="00D53632" w:rsidRPr="00207B43">
        <w:t>:</w:t>
      </w:r>
      <w:r w:rsidR="00B914F2" w:rsidRPr="00207B43">
        <w:t xml:space="preserve"> </w:t>
      </w:r>
      <w:r w:rsidR="00C06322" w:rsidRPr="00207B43">
        <w:t>VBN</w:t>
      </w:r>
      <w:r w:rsidR="00B914F2" w:rsidRPr="00207B43">
        <w:t>) (“</w:t>
      </w:r>
      <w:r w:rsidR="00D53632" w:rsidRPr="00207B43">
        <w:rPr>
          <w:b/>
          <w:bCs/>
        </w:rPr>
        <w:t>Pedro</w:t>
      </w:r>
      <w:r w:rsidR="00B914F2" w:rsidRPr="00207B43">
        <w:t>”</w:t>
      </w:r>
      <w:r w:rsidR="00E06144" w:rsidRPr="00207B43">
        <w:t xml:space="preserve"> or the “</w:t>
      </w:r>
      <w:r w:rsidR="00E06144" w:rsidRPr="00207B43">
        <w:rPr>
          <w:b/>
          <w:bCs/>
        </w:rPr>
        <w:t>Company</w:t>
      </w:r>
      <w:r w:rsidR="00E06144" w:rsidRPr="00207B43">
        <w:t>”</w:t>
      </w:r>
      <w:r w:rsidR="00B914F2" w:rsidRPr="00207B43">
        <w:t>)</w:t>
      </w:r>
      <w:r w:rsidR="00A52011" w:rsidRPr="00207B43">
        <w:t xml:space="preserve"> </w:t>
      </w:r>
      <w:r w:rsidR="00C06322" w:rsidRPr="00207B43">
        <w:t>announce</w:t>
      </w:r>
      <w:r w:rsidRPr="00207B43">
        <w:t>s</w:t>
      </w:r>
      <w:r w:rsidR="00C06322" w:rsidRPr="00207B43">
        <w:t xml:space="preserve"> that it has </w:t>
      </w:r>
      <w:r w:rsidRPr="00207B43">
        <w:t xml:space="preserve">agreed to </w:t>
      </w:r>
      <w:r w:rsidR="00C06322" w:rsidRPr="00207B43">
        <w:t>settle an aggregate of $</w:t>
      </w:r>
      <w:r w:rsidRPr="00207B43">
        <w:t>37,810</w:t>
      </w:r>
      <w:r w:rsidR="00C06322" w:rsidRPr="00207B43">
        <w:t xml:space="preserve"> of indebtedness owed to </w:t>
      </w:r>
      <w:r w:rsidRPr="00207B43">
        <w:t xml:space="preserve">a </w:t>
      </w:r>
      <w:r w:rsidR="00C06322" w:rsidRPr="00207B43">
        <w:t xml:space="preserve">non-arm’s length creditor of the Company through the issuance of </w:t>
      </w:r>
      <w:r w:rsidRPr="00207B43">
        <w:t>756,200</w:t>
      </w:r>
      <w:r w:rsidR="00C06322" w:rsidRPr="00207B43">
        <w:t xml:space="preserve"> common shares (“</w:t>
      </w:r>
      <w:r w:rsidR="00C06322" w:rsidRPr="00207B43">
        <w:rPr>
          <w:b/>
          <w:bCs/>
        </w:rPr>
        <w:t>Common Shares</w:t>
      </w:r>
      <w:r w:rsidR="00C06322" w:rsidRPr="00207B43">
        <w:t>”) of the Company at a price of $0.05 per Common Share (the “</w:t>
      </w:r>
      <w:r w:rsidR="00C06322" w:rsidRPr="00207B43">
        <w:rPr>
          <w:b/>
          <w:bCs/>
        </w:rPr>
        <w:t>Debt Settlement</w:t>
      </w:r>
      <w:r w:rsidR="00C06322" w:rsidRPr="00207B43">
        <w:t xml:space="preserve">”). </w:t>
      </w:r>
    </w:p>
    <w:p w14:paraId="6A38354E" w14:textId="08A30C36" w:rsidR="00D4602D" w:rsidRPr="00207B43" w:rsidRDefault="00C06322" w:rsidP="00800A1E">
      <w:pPr>
        <w:pStyle w:val="BodyText"/>
        <w:spacing w:after="240"/>
        <w:jc w:val="both"/>
      </w:pPr>
      <w:r w:rsidRPr="00207B43">
        <w:t xml:space="preserve">All </w:t>
      </w:r>
      <w:r w:rsidR="00207B43" w:rsidRPr="00207B43">
        <w:t xml:space="preserve">Common Shares </w:t>
      </w:r>
      <w:r w:rsidRPr="00207B43">
        <w:t xml:space="preserve">issued in connection with the Debt Settlement </w:t>
      </w:r>
      <w:r w:rsidR="00207B43" w:rsidRPr="00207B43">
        <w:t xml:space="preserve">are </w:t>
      </w:r>
      <w:r w:rsidRPr="00207B43">
        <w:t xml:space="preserve">subject to a statutory hold period of four months plus a day from the date of issuance in accordance with applicable securities legislation.   </w:t>
      </w:r>
    </w:p>
    <w:p w14:paraId="721831A8" w14:textId="17C11FE4" w:rsidR="00207B43" w:rsidRPr="00207B43" w:rsidRDefault="00207B43" w:rsidP="00800A1E">
      <w:pPr>
        <w:pStyle w:val="BodyText"/>
        <w:spacing w:after="240"/>
        <w:jc w:val="both"/>
      </w:pPr>
      <w:r w:rsidRPr="00207B43">
        <w:rPr>
          <w:bCs/>
        </w:rPr>
        <w:t xml:space="preserve">The Debt Settlement constituted a “related party transaction” as defined in Multilateral Instrument 61-101 – </w:t>
      </w:r>
      <w:r w:rsidRPr="00207B43">
        <w:rPr>
          <w:bCs/>
          <w:i/>
          <w:iCs/>
        </w:rPr>
        <w:t>Protection of Minority Security Holders in Special Transactions</w:t>
      </w:r>
      <w:r w:rsidRPr="00207B43">
        <w:rPr>
          <w:bCs/>
        </w:rPr>
        <w:t xml:space="preserve"> (“</w:t>
      </w:r>
      <w:r w:rsidRPr="00207B43">
        <w:rPr>
          <w:b/>
        </w:rPr>
        <w:t>MI 61-101</w:t>
      </w:r>
      <w:r w:rsidRPr="00207B43">
        <w:rPr>
          <w:bCs/>
        </w:rPr>
        <w:t xml:space="preserve">”), as an insider of the Company acquired </w:t>
      </w:r>
      <w:r w:rsidR="0033166A">
        <w:rPr>
          <w:bCs/>
        </w:rPr>
        <w:t>756,200</w:t>
      </w:r>
      <w:r w:rsidRPr="00207B43">
        <w:rPr>
          <w:bCs/>
        </w:rPr>
        <w:t xml:space="preserve"> Common Shares. The Company is relying on exemptions from the valuation and minority shareholder approval requirements of </w:t>
      </w:r>
      <w:r w:rsidR="007A1A2A" w:rsidRPr="007A1A2A">
        <w:rPr>
          <w:bCs/>
        </w:rPr>
        <w:t>MI 61-101 contained in sections 5.5(b) and 5.7(1)(e) of MI 61-101, as the Company is not listed on a specified market and the Company is in financial hardship. A material change report will be filed less than 21 days before the closing date of the Debt Settlement and Offering. This shorter period is reasonable and necessary in the circumstances to allow the Company to improve its financial position by reducing its accrued liabilities.</w:t>
      </w:r>
    </w:p>
    <w:p w14:paraId="68B78543" w14:textId="6AED7657" w:rsidR="00D53632" w:rsidRPr="00207B43" w:rsidRDefault="00D53632" w:rsidP="00800A1E">
      <w:pPr>
        <w:pStyle w:val="BodyText"/>
        <w:spacing w:after="240"/>
        <w:jc w:val="both"/>
        <w:rPr>
          <w:b/>
          <w:bCs/>
        </w:rPr>
      </w:pPr>
      <w:r w:rsidRPr="00207B43">
        <w:rPr>
          <w:b/>
          <w:bCs/>
        </w:rPr>
        <w:t xml:space="preserve">About Pedro Resources Ltd. </w:t>
      </w:r>
    </w:p>
    <w:p w14:paraId="2E26BD47" w14:textId="77777777" w:rsidR="00800A1E" w:rsidRPr="00207B43" w:rsidRDefault="00800A1E" w:rsidP="00800A1E">
      <w:pPr>
        <w:pStyle w:val="BodyText"/>
        <w:spacing w:after="240"/>
        <w:jc w:val="both"/>
      </w:pPr>
      <w:r w:rsidRPr="00207B43">
        <w:t>Pedro Resources Ltd. is a Canadian exploration company focused on mineral exploration and development, in particular the exploration of its Voisey’s Bay West Property, which comprises 721 claims (18,025 hectares), 4.5 km south of Vale's Voisey's Bay Mine in the province of Newfoundland and Labrador, Canada.</w:t>
      </w:r>
    </w:p>
    <w:p w14:paraId="1F380A03" w14:textId="5E7FA938" w:rsidR="00800A1E" w:rsidRPr="00207B43" w:rsidRDefault="00800A1E" w:rsidP="00800A1E">
      <w:pPr>
        <w:pStyle w:val="BodyText"/>
        <w:spacing w:after="240"/>
        <w:jc w:val="both"/>
        <w:rPr>
          <w:b/>
          <w:bCs/>
        </w:rPr>
      </w:pPr>
      <w:r w:rsidRPr="00207B43">
        <w:rPr>
          <w:b/>
          <w:bCs/>
        </w:rPr>
        <w:t>For further information, please contact:</w:t>
      </w:r>
    </w:p>
    <w:p w14:paraId="43E4D7ED" w14:textId="77777777" w:rsidR="00800A1E" w:rsidRPr="00207B43" w:rsidRDefault="00800A1E" w:rsidP="00800A1E">
      <w:pPr>
        <w:pStyle w:val="BodyText"/>
        <w:spacing w:before="1"/>
        <w:jc w:val="both"/>
      </w:pPr>
      <w:r w:rsidRPr="00207B43">
        <w:t>Brian Stecyk</w:t>
      </w:r>
    </w:p>
    <w:p w14:paraId="3D3C79D6" w14:textId="77777777" w:rsidR="00800A1E" w:rsidRPr="00207B43" w:rsidRDefault="00800A1E" w:rsidP="00800A1E">
      <w:pPr>
        <w:pStyle w:val="BodyText"/>
        <w:spacing w:before="1"/>
        <w:jc w:val="both"/>
      </w:pPr>
      <w:r w:rsidRPr="00207B43">
        <w:t xml:space="preserve">Chief Executive Officer </w:t>
      </w:r>
    </w:p>
    <w:p w14:paraId="541ADF4E" w14:textId="7693C54F" w:rsidR="00800A1E" w:rsidRPr="00207B43" w:rsidRDefault="00800A1E" w:rsidP="00800A1E">
      <w:pPr>
        <w:pStyle w:val="BodyText"/>
        <w:spacing w:before="1"/>
        <w:jc w:val="both"/>
      </w:pPr>
      <w:r w:rsidRPr="00207B43">
        <w:t>Tel: 780-953-0111</w:t>
      </w:r>
    </w:p>
    <w:p w14:paraId="1E055805" w14:textId="4E0E7615" w:rsidR="00800A1E" w:rsidRPr="00207B43" w:rsidRDefault="00800A1E" w:rsidP="00800A1E">
      <w:pPr>
        <w:pStyle w:val="BodyText"/>
        <w:spacing w:before="1"/>
        <w:jc w:val="both"/>
      </w:pPr>
    </w:p>
    <w:p w14:paraId="7A3A9B0A" w14:textId="77777777" w:rsidR="00800A1E" w:rsidRPr="00207B43" w:rsidRDefault="00800A1E" w:rsidP="00800A1E">
      <w:pPr>
        <w:pStyle w:val="BodyText"/>
        <w:spacing w:after="240"/>
        <w:jc w:val="both"/>
        <w:rPr>
          <w:b/>
          <w:bCs/>
          <w:sz w:val="18"/>
          <w:szCs w:val="18"/>
        </w:rPr>
      </w:pPr>
      <w:r w:rsidRPr="00207B43">
        <w:rPr>
          <w:b/>
          <w:bCs/>
          <w:sz w:val="18"/>
          <w:szCs w:val="18"/>
        </w:rPr>
        <w:t>Neither the Canadian Securities Exchange nor its Market Regulator (as that term is defined in the policies of the Canadian Securities Exchange) accepts responsibility for the adequacy or accuracy of this release.</w:t>
      </w:r>
    </w:p>
    <w:p w14:paraId="355ACED6" w14:textId="77777777" w:rsidR="00800A1E" w:rsidRPr="00207B43" w:rsidRDefault="00800A1E" w:rsidP="00800A1E">
      <w:pPr>
        <w:pStyle w:val="BodyText"/>
        <w:spacing w:after="240"/>
        <w:jc w:val="both"/>
        <w:rPr>
          <w:b/>
          <w:bCs/>
          <w:sz w:val="18"/>
          <w:szCs w:val="18"/>
        </w:rPr>
      </w:pPr>
      <w:r w:rsidRPr="00207B43">
        <w:rPr>
          <w:b/>
          <w:bCs/>
          <w:sz w:val="18"/>
          <w:szCs w:val="18"/>
        </w:rPr>
        <w:t>Forward Looking Information</w:t>
      </w:r>
    </w:p>
    <w:p w14:paraId="77BDB97C" w14:textId="77777777" w:rsidR="00800A1E" w:rsidRPr="00207B43" w:rsidRDefault="00800A1E" w:rsidP="00800A1E">
      <w:pPr>
        <w:pStyle w:val="BodyText"/>
        <w:spacing w:after="240"/>
        <w:jc w:val="both"/>
        <w:rPr>
          <w:sz w:val="18"/>
          <w:szCs w:val="18"/>
        </w:rPr>
      </w:pPr>
      <w:r w:rsidRPr="00207B43">
        <w:rPr>
          <w:sz w:val="18"/>
          <w:szCs w:val="18"/>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this news release contains forward‐looking statements and information relating, the filing of the Company’s financial statements. The forward‐looking statements and information are based on certain key expectations and assumptions made by management of the Company.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 </w:t>
      </w:r>
    </w:p>
    <w:p w14:paraId="556BA0E3" w14:textId="4481D0C5" w:rsidR="00D53632" w:rsidRPr="00207B43" w:rsidRDefault="00800A1E" w:rsidP="00800A1E">
      <w:pPr>
        <w:pStyle w:val="BodyText"/>
        <w:spacing w:after="240"/>
        <w:jc w:val="both"/>
        <w:rPr>
          <w:sz w:val="18"/>
          <w:szCs w:val="18"/>
        </w:rPr>
      </w:pPr>
      <w:r w:rsidRPr="00207B43">
        <w:rPr>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inherent risks and uncertainties. Actual results could differ materially from those currently anticipated due to a number of factors and risks. Accordingly, readers should not place undue reliance on the forward‐looking statements and information contained in this news release. Readers are cautioned that the foregoing list of factors is not exhaustive. 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The forward-looking statements or information contained in this news release are expressly qualified by this cautionary statement.</w:t>
      </w:r>
    </w:p>
    <w:sectPr w:rsidR="00D53632" w:rsidRPr="00207B43" w:rsidSect="008C3092">
      <w:footerReference w:type="default" r:id="rId7"/>
      <w:pgSz w:w="12240" w:h="15840" w:code="1"/>
      <w:pgMar w:top="10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1F4B" w14:textId="77777777" w:rsidR="00B914F2" w:rsidRDefault="00B914F2">
      <w:r>
        <w:separator/>
      </w:r>
    </w:p>
  </w:endnote>
  <w:endnote w:type="continuationSeparator" w:id="0">
    <w:p w14:paraId="78753C5A" w14:textId="77777777" w:rsidR="00B914F2" w:rsidRDefault="00B9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65CA" w14:textId="3D08656E" w:rsidR="003E006D" w:rsidRDefault="00AA45B5">
    <w:pPr>
      <w:pStyle w:val="BodyText"/>
      <w:spacing w:line="14" w:lineRule="auto"/>
      <w:rPr>
        <w:sz w:val="20"/>
      </w:rPr>
    </w:pPr>
    <w:r>
      <w:rPr>
        <w:noProof/>
      </w:rPr>
      <mc:AlternateContent>
        <mc:Choice Requires="wps">
          <w:drawing>
            <wp:anchor distT="0" distB="0" distL="114300" distR="114300" simplePos="0" relativeHeight="503313056" behindDoc="1" locked="0" layoutInCell="1" allowOverlap="1" wp14:anchorId="1FA0AE26" wp14:editId="423938CC">
              <wp:simplePos x="0" y="0"/>
              <wp:positionH relativeFrom="page">
                <wp:posOffset>804545</wp:posOffset>
              </wp:positionH>
              <wp:positionV relativeFrom="page">
                <wp:posOffset>9241790</wp:posOffset>
              </wp:positionV>
              <wp:extent cx="1435735" cy="4311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73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4E47" w14:textId="211B0EC9" w:rsidR="003E006D" w:rsidRDefault="00B914F2">
                          <w:pPr>
                            <w:spacing w:before="12"/>
                            <w:ind w:left="21"/>
                            <w:rPr>
                              <w:sz w:val="18"/>
                            </w:rPr>
                          </w:pPr>
                          <w:r>
                            <w:rPr>
                              <w:color w:val="FFFFFF"/>
                              <w:sz w:val="18"/>
                            </w:rPr>
                            <w:t xml:space="preserve">Gold Rush Cariboo </w:t>
                          </w:r>
                          <w:r w:rsidR="00BF2CD1">
                            <w:rPr>
                              <w:color w:val="FFFFFF"/>
                              <w:sz w:val="18"/>
                            </w:rPr>
                            <w:t>Corp.</w:t>
                          </w:r>
                        </w:p>
                        <w:p w14:paraId="1631B896" w14:textId="77777777" w:rsidR="003E006D" w:rsidRDefault="00B914F2">
                          <w:pPr>
                            <w:spacing w:before="11" w:line="256" w:lineRule="auto"/>
                            <w:ind w:left="20" w:right="13" w:firstLine="1"/>
                            <w:rPr>
                              <w:sz w:val="18"/>
                            </w:rPr>
                          </w:pPr>
                          <w:r>
                            <w:rPr>
                              <w:color w:val="FFFFFF"/>
                              <w:sz w:val="18"/>
                            </w:rPr>
                            <w:t>393</w:t>
                          </w:r>
                          <w:r>
                            <w:rPr>
                              <w:color w:val="FFFFFF"/>
                              <w:spacing w:val="-17"/>
                              <w:sz w:val="18"/>
                            </w:rPr>
                            <w:t xml:space="preserve"> </w:t>
                          </w:r>
                          <w:r>
                            <w:rPr>
                              <w:color w:val="FFFFFF"/>
                              <w:sz w:val="18"/>
                            </w:rPr>
                            <w:t>University</w:t>
                          </w:r>
                          <w:r>
                            <w:rPr>
                              <w:color w:val="FFFFFF"/>
                              <w:spacing w:val="-16"/>
                              <w:sz w:val="18"/>
                            </w:rPr>
                            <w:t xml:space="preserve"> </w:t>
                          </w:r>
                          <w:r>
                            <w:rPr>
                              <w:color w:val="FFFFFF"/>
                              <w:sz w:val="18"/>
                            </w:rPr>
                            <w:t>Ave,</w:t>
                          </w:r>
                          <w:r>
                            <w:rPr>
                              <w:color w:val="FFFFFF"/>
                              <w:spacing w:val="-16"/>
                              <w:sz w:val="18"/>
                            </w:rPr>
                            <w:t xml:space="preserve"> </w:t>
                          </w:r>
                          <w:r>
                            <w:rPr>
                              <w:color w:val="FFFFFF"/>
                              <w:sz w:val="18"/>
                            </w:rPr>
                            <w:t>Suite</w:t>
                          </w:r>
                          <w:r>
                            <w:rPr>
                              <w:color w:val="FFFFFF"/>
                              <w:spacing w:val="-17"/>
                              <w:sz w:val="18"/>
                            </w:rPr>
                            <w:t xml:space="preserve"> </w:t>
                          </w:r>
                          <w:r>
                            <w:rPr>
                              <w:color w:val="FFFFFF"/>
                              <w:spacing w:val="-3"/>
                              <w:sz w:val="18"/>
                            </w:rPr>
                            <w:t xml:space="preserve">1810 </w:t>
                          </w:r>
                          <w:r>
                            <w:rPr>
                              <w:color w:val="FFFFFF"/>
                              <w:sz w:val="18"/>
                            </w:rPr>
                            <w:t>Toronto, ON M5G</w:t>
                          </w:r>
                          <w:r>
                            <w:rPr>
                              <w:color w:val="FFFFFF"/>
                              <w:spacing w:val="-26"/>
                              <w:sz w:val="18"/>
                            </w:rPr>
                            <w:t xml:space="preserve"> </w:t>
                          </w:r>
                          <w:r>
                            <w:rPr>
                              <w:color w:val="FFFFFF"/>
                              <w:sz w:val="18"/>
                            </w:rPr>
                            <w:t>1E6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AE26" id="_x0000_t202" coordsize="21600,21600" o:spt="202" path="m,l,21600r21600,l21600,xe">
              <v:stroke joinstyle="miter"/>
              <v:path gradientshapeok="t" o:connecttype="rect"/>
            </v:shapetype>
            <v:shape id="Text Box 4" o:spid="_x0000_s1026" type="#_x0000_t202" style="position:absolute;margin-left:63.35pt;margin-top:727.7pt;width:113.05pt;height:33.9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" filled="f" stroked="f">
              <v:path arrowok="t"/>
              <v:textbox inset="0,0,0,0">
                <w:txbxContent>
                  <w:p w14:paraId="22724E47" w14:textId="211B0EC9" w:rsidR="003E006D" w:rsidRDefault="00B914F2">
                    <w:pPr>
                      <w:spacing w:before="12"/>
                      <w:ind w:left="21"/>
                      <w:rPr>
                        <w:sz w:val="18"/>
                      </w:rPr>
                    </w:pPr>
                    <w:r>
                      <w:rPr>
                        <w:color w:val="FFFFFF"/>
                        <w:sz w:val="18"/>
                      </w:rPr>
                      <w:t xml:space="preserve">Gold Rush Cariboo </w:t>
                    </w:r>
                    <w:r w:rsidR="00BF2CD1">
                      <w:rPr>
                        <w:color w:val="FFFFFF"/>
                        <w:sz w:val="18"/>
                      </w:rPr>
                      <w:t>Corp.</w:t>
                    </w:r>
                  </w:p>
                  <w:p w14:paraId="1631B896" w14:textId="77777777" w:rsidR="003E006D" w:rsidRDefault="00B914F2">
                    <w:pPr>
                      <w:spacing w:before="11" w:line="256" w:lineRule="auto"/>
                      <w:ind w:left="20" w:right="13" w:firstLine="1"/>
                      <w:rPr>
                        <w:sz w:val="18"/>
                      </w:rPr>
                    </w:pPr>
                    <w:r>
                      <w:rPr>
                        <w:color w:val="FFFFFF"/>
                        <w:sz w:val="18"/>
                      </w:rPr>
                      <w:t>393</w:t>
                    </w:r>
                    <w:r>
                      <w:rPr>
                        <w:color w:val="FFFFFF"/>
                        <w:spacing w:val="-17"/>
                        <w:sz w:val="18"/>
                      </w:rPr>
                      <w:t xml:space="preserve"> </w:t>
                    </w:r>
                    <w:r>
                      <w:rPr>
                        <w:color w:val="FFFFFF"/>
                        <w:sz w:val="18"/>
                      </w:rPr>
                      <w:t>University</w:t>
                    </w:r>
                    <w:r>
                      <w:rPr>
                        <w:color w:val="FFFFFF"/>
                        <w:spacing w:val="-16"/>
                        <w:sz w:val="18"/>
                      </w:rPr>
                      <w:t xml:space="preserve"> </w:t>
                    </w:r>
                    <w:r>
                      <w:rPr>
                        <w:color w:val="FFFFFF"/>
                        <w:sz w:val="18"/>
                      </w:rPr>
                      <w:t>Ave,</w:t>
                    </w:r>
                    <w:r>
                      <w:rPr>
                        <w:color w:val="FFFFFF"/>
                        <w:spacing w:val="-16"/>
                        <w:sz w:val="18"/>
                      </w:rPr>
                      <w:t xml:space="preserve"> </w:t>
                    </w:r>
                    <w:r>
                      <w:rPr>
                        <w:color w:val="FFFFFF"/>
                        <w:sz w:val="18"/>
                      </w:rPr>
                      <w:t>Suite</w:t>
                    </w:r>
                    <w:r>
                      <w:rPr>
                        <w:color w:val="FFFFFF"/>
                        <w:spacing w:val="-17"/>
                        <w:sz w:val="18"/>
                      </w:rPr>
                      <w:t xml:space="preserve"> </w:t>
                    </w:r>
                    <w:r>
                      <w:rPr>
                        <w:color w:val="FFFFFF"/>
                        <w:spacing w:val="-3"/>
                        <w:sz w:val="18"/>
                      </w:rPr>
                      <w:t xml:space="preserve">1810 </w:t>
                    </w:r>
                    <w:r>
                      <w:rPr>
                        <w:color w:val="FFFFFF"/>
                        <w:sz w:val="18"/>
                      </w:rPr>
                      <w:t>Toronto, ON M5G</w:t>
                    </w:r>
                    <w:r>
                      <w:rPr>
                        <w:color w:val="FFFFFF"/>
                        <w:spacing w:val="-26"/>
                        <w:sz w:val="18"/>
                      </w:rPr>
                      <w:t xml:space="preserve"> </w:t>
                    </w:r>
                    <w:r>
                      <w:rPr>
                        <w:color w:val="FFFFFF"/>
                        <w:sz w:val="18"/>
                      </w:rPr>
                      <w:t>1E6</w:t>
                    </w:r>
                  </w:p>
                </w:txbxContent>
              </v:textbox>
              <w10:wrap anchorx="page" anchory="page"/>
            </v:shape>
          </w:pict>
        </mc:Fallback>
      </mc:AlternateContent>
    </w:r>
    <w:r>
      <w:rPr>
        <w:noProof/>
      </w:rPr>
      <mc:AlternateContent>
        <mc:Choice Requires="wps">
          <w:drawing>
            <wp:anchor distT="0" distB="0" distL="114300" distR="114300" simplePos="0" relativeHeight="503313128" behindDoc="1" locked="0" layoutInCell="1" allowOverlap="1" wp14:anchorId="3A35888A" wp14:editId="0627F499">
              <wp:simplePos x="0" y="0"/>
              <wp:positionH relativeFrom="page">
                <wp:posOffset>805815</wp:posOffset>
              </wp:positionH>
              <wp:positionV relativeFrom="page">
                <wp:posOffset>9799320</wp:posOffset>
              </wp:positionV>
              <wp:extent cx="847090" cy="1517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0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B5B4E" w14:textId="77777777" w:rsidR="003E006D" w:rsidRDefault="00B914F2">
                          <w:pPr>
                            <w:spacing w:before="12"/>
                            <w:ind w:left="20"/>
                            <w:rPr>
                              <w:sz w:val="18"/>
                            </w:rPr>
                          </w:pPr>
                          <w:r>
                            <w:rPr>
                              <w:color w:val="FFFFFF"/>
                              <w:sz w:val="18"/>
                            </w:rPr>
                            <w:t>+</w:t>
                          </w:r>
                          <w:r>
                            <w:rPr>
                              <w:color w:val="FFFFFF"/>
                              <w:spacing w:val="-18"/>
                              <w:sz w:val="18"/>
                            </w:rPr>
                            <w:t xml:space="preserve"> </w:t>
                          </w:r>
                          <w:r>
                            <w:rPr>
                              <w:color w:val="FFFFFF"/>
                              <w:sz w:val="18"/>
                            </w:rPr>
                            <w:t>1-877-497-0528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888A" id="Text Box 1" o:spid="_x0000_s1027" type="#_x0000_t202" style="position:absolute;margin-left:63.45pt;margin-top:771.6pt;width:66.7pt;height:11.95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" filled="f" stroked="f">
              <v:path arrowok="t"/>
              <v:textbox inset="0,0,0,0">
                <w:txbxContent>
                  <w:p w14:paraId="4D8B5B4E" w14:textId="77777777" w:rsidR="003E006D" w:rsidRDefault="00B914F2">
                    <w:pPr>
                      <w:spacing w:before="12"/>
                      <w:ind w:left="20"/>
                      <w:rPr>
                        <w:sz w:val="18"/>
                      </w:rPr>
                    </w:pPr>
                    <w:r>
                      <w:rPr>
                        <w:color w:val="FFFFFF"/>
                        <w:sz w:val="18"/>
                      </w:rPr>
                      <w:t>+</w:t>
                    </w:r>
                    <w:r>
                      <w:rPr>
                        <w:color w:val="FFFFFF"/>
                        <w:spacing w:val="-18"/>
                        <w:sz w:val="18"/>
                      </w:rPr>
                      <w:t xml:space="preserve"> </w:t>
                    </w:r>
                    <w:r>
                      <w:rPr>
                        <w:color w:val="FFFFFF"/>
                        <w:sz w:val="18"/>
                      </w:rPr>
                      <w:t>1-877-497-0528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6066" w14:textId="77777777" w:rsidR="00B914F2" w:rsidRDefault="00B914F2">
      <w:r>
        <w:separator/>
      </w:r>
    </w:p>
  </w:footnote>
  <w:footnote w:type="continuationSeparator" w:id="0">
    <w:p w14:paraId="3F84D047" w14:textId="77777777" w:rsidR="00B914F2" w:rsidRDefault="00B91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3874"/>
    <w:multiLevelType w:val="hybridMultilevel"/>
    <w:tmpl w:val="6C3A4AFA"/>
    <w:lvl w:ilvl="0" w:tplc="D0C83C1A">
      <w:start w:val="1"/>
      <w:numFmt w:val="bullet"/>
      <w:lvlText w:val=""/>
      <w:lvlJc w:val="left"/>
      <w:pPr>
        <w:ind w:left="72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285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6D"/>
    <w:rsid w:val="000836CA"/>
    <w:rsid w:val="00121904"/>
    <w:rsid w:val="00127FAD"/>
    <w:rsid w:val="001D18DC"/>
    <w:rsid w:val="001F47EA"/>
    <w:rsid w:val="0020274D"/>
    <w:rsid w:val="00207B43"/>
    <w:rsid w:val="00227C2B"/>
    <w:rsid w:val="002D46A6"/>
    <w:rsid w:val="0033166A"/>
    <w:rsid w:val="00371252"/>
    <w:rsid w:val="00384E0C"/>
    <w:rsid w:val="003917D5"/>
    <w:rsid w:val="003B6485"/>
    <w:rsid w:val="003C6F56"/>
    <w:rsid w:val="003E006D"/>
    <w:rsid w:val="00444757"/>
    <w:rsid w:val="004C2C29"/>
    <w:rsid w:val="00581F13"/>
    <w:rsid w:val="005918D1"/>
    <w:rsid w:val="006730C6"/>
    <w:rsid w:val="006A4D38"/>
    <w:rsid w:val="006D619F"/>
    <w:rsid w:val="00701188"/>
    <w:rsid w:val="00783166"/>
    <w:rsid w:val="007A1A2A"/>
    <w:rsid w:val="00800A1E"/>
    <w:rsid w:val="008010F9"/>
    <w:rsid w:val="00837516"/>
    <w:rsid w:val="00872D2A"/>
    <w:rsid w:val="00881920"/>
    <w:rsid w:val="008923D1"/>
    <w:rsid w:val="008B2E7D"/>
    <w:rsid w:val="008C3092"/>
    <w:rsid w:val="00915DE3"/>
    <w:rsid w:val="00935D20"/>
    <w:rsid w:val="00A32AC7"/>
    <w:rsid w:val="00A52011"/>
    <w:rsid w:val="00A57BE4"/>
    <w:rsid w:val="00A6377D"/>
    <w:rsid w:val="00AA45B5"/>
    <w:rsid w:val="00AF0900"/>
    <w:rsid w:val="00B914F2"/>
    <w:rsid w:val="00BF2CD1"/>
    <w:rsid w:val="00C06322"/>
    <w:rsid w:val="00C33863"/>
    <w:rsid w:val="00C618DF"/>
    <w:rsid w:val="00C675C6"/>
    <w:rsid w:val="00C80C24"/>
    <w:rsid w:val="00C86463"/>
    <w:rsid w:val="00CB7C65"/>
    <w:rsid w:val="00CE57B6"/>
    <w:rsid w:val="00D4602D"/>
    <w:rsid w:val="00D53632"/>
    <w:rsid w:val="00D67815"/>
    <w:rsid w:val="00DF12AF"/>
    <w:rsid w:val="00E06144"/>
    <w:rsid w:val="00E42D1A"/>
    <w:rsid w:val="00EB2952"/>
    <w:rsid w:val="00EC5BFE"/>
    <w:rsid w:val="00EE51DD"/>
    <w:rsid w:val="00EF2FE2"/>
    <w:rsid w:val="00F32EB1"/>
    <w:rsid w:val="00F61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C31ACE"/>
  <w15:docId w15:val="{BEA0AE9A-8871-7F4B-AA5D-F94C14D1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56"/>
    <w:rPr>
      <w:rFonts w:ascii="Segoe UI" w:eastAsia="Times New Roman" w:hAnsi="Segoe UI" w:cs="Segoe UI"/>
      <w:sz w:val="18"/>
      <w:szCs w:val="18"/>
    </w:rPr>
  </w:style>
  <w:style w:type="paragraph" w:styleId="Header">
    <w:name w:val="header"/>
    <w:basedOn w:val="Normal"/>
    <w:link w:val="HeaderChar"/>
    <w:uiPriority w:val="99"/>
    <w:unhideWhenUsed/>
    <w:rsid w:val="00BF2CD1"/>
    <w:pPr>
      <w:tabs>
        <w:tab w:val="center" w:pos="4680"/>
        <w:tab w:val="right" w:pos="9360"/>
      </w:tabs>
    </w:pPr>
  </w:style>
  <w:style w:type="character" w:customStyle="1" w:styleId="HeaderChar">
    <w:name w:val="Header Char"/>
    <w:basedOn w:val="DefaultParagraphFont"/>
    <w:link w:val="Header"/>
    <w:uiPriority w:val="99"/>
    <w:rsid w:val="00BF2CD1"/>
    <w:rPr>
      <w:rFonts w:ascii="Times New Roman" w:eastAsia="Times New Roman" w:hAnsi="Times New Roman" w:cs="Times New Roman"/>
    </w:rPr>
  </w:style>
  <w:style w:type="paragraph" w:styleId="Footer">
    <w:name w:val="footer"/>
    <w:basedOn w:val="Normal"/>
    <w:link w:val="FooterChar"/>
    <w:uiPriority w:val="99"/>
    <w:unhideWhenUsed/>
    <w:rsid w:val="00BF2CD1"/>
    <w:pPr>
      <w:tabs>
        <w:tab w:val="center" w:pos="4680"/>
        <w:tab w:val="right" w:pos="9360"/>
      </w:tabs>
    </w:pPr>
  </w:style>
  <w:style w:type="character" w:customStyle="1" w:styleId="FooterChar">
    <w:name w:val="Footer Char"/>
    <w:basedOn w:val="DefaultParagraphFont"/>
    <w:link w:val="Footer"/>
    <w:uiPriority w:val="99"/>
    <w:rsid w:val="00BF2CD1"/>
    <w:rPr>
      <w:rFonts w:ascii="Times New Roman" w:eastAsia="Times New Roman" w:hAnsi="Times New Roman" w:cs="Times New Roman"/>
    </w:rPr>
  </w:style>
  <w:style w:type="character" w:styleId="Hyperlink">
    <w:name w:val="Hyperlink"/>
    <w:uiPriority w:val="99"/>
    <w:unhideWhenUsed/>
    <w:rsid w:val="008923D1"/>
    <w:rPr>
      <w:color w:val="0000FF"/>
      <w:u w:val="single"/>
    </w:rPr>
  </w:style>
  <w:style w:type="paragraph" w:styleId="PlainText">
    <w:name w:val="Plain Text"/>
    <w:basedOn w:val="Normal"/>
    <w:link w:val="PlainTextChar"/>
    <w:uiPriority w:val="99"/>
    <w:rsid w:val="008923D1"/>
    <w:pPr>
      <w:widowControl/>
      <w:autoSpaceDE/>
      <w:autoSpaceDN/>
    </w:pPr>
    <w:rPr>
      <w:rFonts w:ascii="Arial" w:hAnsi="Arial" w:cs="Arial"/>
      <w:sz w:val="20"/>
      <w:szCs w:val="20"/>
    </w:rPr>
  </w:style>
  <w:style w:type="character" w:customStyle="1" w:styleId="PlainTextChar">
    <w:name w:val="Plain Text Char"/>
    <w:basedOn w:val="DefaultParagraphFont"/>
    <w:link w:val="PlainText"/>
    <w:uiPriority w:val="99"/>
    <w:rsid w:val="008923D1"/>
    <w:rPr>
      <w:rFonts w:ascii="Arial" w:eastAsia="Times New Roman" w:hAnsi="Arial" w:cs="Arial"/>
      <w:sz w:val="20"/>
      <w:szCs w:val="20"/>
    </w:rPr>
  </w:style>
  <w:style w:type="character" w:styleId="UnresolvedMention">
    <w:name w:val="Unresolved Mention"/>
    <w:basedOn w:val="DefaultParagraphFont"/>
    <w:uiPriority w:val="99"/>
    <w:semiHidden/>
    <w:unhideWhenUsed/>
    <w:rsid w:val="00D53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2907">
      <w:bodyDiv w:val="1"/>
      <w:marLeft w:val="0"/>
      <w:marRight w:val="0"/>
      <w:marTop w:val="0"/>
      <w:marBottom w:val="0"/>
      <w:divBdr>
        <w:top w:val="none" w:sz="0" w:space="0" w:color="auto"/>
        <w:left w:val="none" w:sz="0" w:space="0" w:color="auto"/>
        <w:bottom w:val="none" w:sz="0" w:space="0" w:color="auto"/>
        <w:right w:val="none" w:sz="0" w:space="0" w:color="auto"/>
      </w:divBdr>
      <w:divsChild>
        <w:div w:id="2011323136">
          <w:marLeft w:val="0"/>
          <w:marRight w:val="0"/>
          <w:marTop w:val="0"/>
          <w:marBottom w:val="0"/>
          <w:divBdr>
            <w:top w:val="none" w:sz="0" w:space="0" w:color="auto"/>
            <w:left w:val="none" w:sz="0" w:space="0" w:color="auto"/>
            <w:bottom w:val="none" w:sz="0" w:space="0" w:color="auto"/>
            <w:right w:val="none" w:sz="0" w:space="0" w:color="auto"/>
          </w:divBdr>
        </w:div>
        <w:div w:id="755516525">
          <w:marLeft w:val="0"/>
          <w:marRight w:val="0"/>
          <w:marTop w:val="0"/>
          <w:marBottom w:val="0"/>
          <w:divBdr>
            <w:top w:val="none" w:sz="0" w:space="0" w:color="auto"/>
            <w:left w:val="none" w:sz="0" w:space="0" w:color="auto"/>
            <w:bottom w:val="none" w:sz="0" w:space="0" w:color="auto"/>
            <w:right w:val="none" w:sz="0" w:space="0" w:color="auto"/>
          </w:divBdr>
        </w:div>
        <w:div w:id="841775278">
          <w:marLeft w:val="0"/>
          <w:marRight w:val="0"/>
          <w:marTop w:val="0"/>
          <w:marBottom w:val="0"/>
          <w:divBdr>
            <w:top w:val="none" w:sz="0" w:space="0" w:color="auto"/>
            <w:left w:val="none" w:sz="0" w:space="0" w:color="auto"/>
            <w:bottom w:val="none" w:sz="0" w:space="0" w:color="auto"/>
            <w:right w:val="none" w:sz="0" w:space="0" w:color="auto"/>
          </w:divBdr>
        </w:div>
        <w:div w:id="1644264657">
          <w:marLeft w:val="0"/>
          <w:marRight w:val="0"/>
          <w:marTop w:val="0"/>
          <w:marBottom w:val="0"/>
          <w:divBdr>
            <w:top w:val="none" w:sz="0" w:space="0" w:color="auto"/>
            <w:left w:val="none" w:sz="0" w:space="0" w:color="auto"/>
            <w:bottom w:val="none" w:sz="0" w:space="0" w:color="auto"/>
            <w:right w:val="none" w:sz="0" w:space="0" w:color="auto"/>
          </w:divBdr>
        </w:div>
        <w:div w:id="262882667">
          <w:marLeft w:val="0"/>
          <w:marRight w:val="0"/>
          <w:marTop w:val="0"/>
          <w:marBottom w:val="0"/>
          <w:divBdr>
            <w:top w:val="none" w:sz="0" w:space="0" w:color="auto"/>
            <w:left w:val="none" w:sz="0" w:space="0" w:color="auto"/>
            <w:bottom w:val="none" w:sz="0" w:space="0" w:color="auto"/>
            <w:right w:val="none" w:sz="0" w:space="0" w:color="auto"/>
          </w:divBdr>
        </w:div>
        <w:div w:id="8143739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- 5 - Gold Rush Cariboo Corp - Press Release June 17, 2019 - New Management Team - Edited after IIROC</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- 5 - Gold Rush Cariboo Corp - Press Release June 17, 2019 - New Management Team - Edited after IIROC</dc:title>
  <dc:creator>johnd</dc:creator>
  <cp:lastModifiedBy>Jennifer Thor</cp:lastModifiedBy>
  <cp:revision>8</cp:revision>
  <cp:lastPrinted>2019-11-04T21:25:00Z</cp:lastPrinted>
  <dcterms:created xsi:type="dcterms:W3CDTF">2022-10-18T20:05:00Z</dcterms:created>
  <dcterms:modified xsi:type="dcterms:W3CDTF">2022-11-11T21:46:00Z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2019-08-06T00:00:00Z</vt:filetime>
  </property>
</Properties>
</file>