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firstLine="720"/>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Listed Issuer: Peakbirch Logic Inc. (the “Company” or the “Issuer”).</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Trading Symbol: PKB</w:t>
      </w:r>
    </w:p>
    <w:p w:rsidR="00000000" w:rsidDel="00000000" w:rsidP="00000000" w:rsidRDefault="00000000" w:rsidRPr="00000000" w14:paraId="00000004">
      <w:pPr>
        <w:rPr>
          <w:sz w:val="24"/>
          <w:szCs w:val="24"/>
        </w:rPr>
      </w:pPr>
      <w:r w:rsidDel="00000000" w:rsidR="00000000" w:rsidRPr="00000000">
        <w:rPr>
          <w:rFonts w:ascii="Arial" w:cs="Arial" w:eastAsia="Arial" w:hAnsi="Arial"/>
          <w:color w:val="000000"/>
          <w:sz w:val="24"/>
          <w:szCs w:val="24"/>
          <w:rtl w:val="0"/>
        </w:rPr>
        <w:br w:type="textWrapping"/>
        <w:t xml:space="preserve">Number of Outstanding Listed Securities: </w:t>
      </w:r>
      <w:r w:rsidDel="00000000" w:rsidR="00000000" w:rsidRPr="00000000">
        <w:rPr>
          <w:rFonts w:ascii="Arial" w:cs="Arial" w:eastAsia="Arial" w:hAnsi="Arial"/>
          <w:color w:val="333333"/>
          <w:sz w:val="24"/>
          <w:szCs w:val="24"/>
          <w:highlight w:val="white"/>
          <w:rtl w:val="0"/>
        </w:rPr>
        <w:t xml:space="preserve">126,831,524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w:t>
      </w:r>
      <w:r w:rsidDel="00000000" w:rsidR="00000000" w:rsidRPr="00000000">
        <w:rPr>
          <w:rFonts w:ascii="Arial" w:cs="Arial" w:eastAsia="Arial" w:hAnsi="Arial"/>
          <w:sz w:val="24"/>
          <w:szCs w:val="24"/>
          <w:rtl w:val="0"/>
        </w:rPr>
        <w:t xml:space="preserve">Dec</w:t>
      </w:r>
      <w:r w:rsidDel="00000000" w:rsidR="00000000" w:rsidRPr="00000000">
        <w:rPr>
          <w:rFonts w:ascii="Arial" w:cs="Arial" w:eastAsia="Arial" w:hAnsi="Arial"/>
          <w:color w:val="000000"/>
          <w:sz w:val="24"/>
          <w:szCs w:val="24"/>
          <w:rtl w:val="0"/>
        </w:rPr>
        <w:t xml:space="preserve"> 1st, 2021</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General Instructions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“Issuer” includes the Issuer and any of its subsidiaries.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after="280"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Terms used and not defined in this form are defined or interpreted in Policy 1 – Interpretation and General Provisions.</w:t>
      </w:r>
    </w:p>
    <w:p w:rsidR="00000000" w:rsidDel="00000000" w:rsidP="00000000" w:rsidRDefault="00000000" w:rsidRPr="00000000" w14:paraId="0000000C">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Report on Business</w:t>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Provide a general overview and discussion of the development of the Issuer’s business and operations over the previous month.  Where the Issuer was inactive disclose this fact.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br w:type="textWrapping"/>
        <w:t xml:space="preserve">In November</w:t>
      </w:r>
      <w:r w:rsidDel="00000000" w:rsidR="00000000" w:rsidRPr="00000000">
        <w:rPr>
          <w:rFonts w:ascii="Arial" w:cs="Arial" w:eastAsia="Arial" w:hAnsi="Arial"/>
          <w:b w:val="1"/>
          <w:sz w:val="24"/>
          <w:szCs w:val="24"/>
          <w:rtl w:val="0"/>
        </w:rPr>
        <w:t xml:space="preserve"> PeakBirch focused its attention on planning for Q4 Sales and the upcoming holiday shopping. PeakBirch optimized its marketing strategy based on previous years (2020) learnings, this resulted in a year over year increase in sales of over 100% across the board. </w:t>
        <w:br w:type="textWrapping"/>
        <w:br w:type="textWrapping"/>
        <w:t xml:space="preserve">PeakBirch focused this year on improving gross margin and profitability and removed affiliate and paid for traffic from its strategy instead focusing on organic sustainable sales growth.</w:t>
        <w:br w:type="textWrapping"/>
        <w:br w:type="textWrapping"/>
        <w:t xml:space="preserve">PeakBirch leveraged its extensive inventory from its acquisition from Stul Ltd during the holiday season. Management aims to transfer inventory from the UK to the US in order to increase inventory turnover.</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080" w:hanging="108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3">
      <w:pPr>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None.</w:t>
      </w:r>
    </w:p>
    <w:p w:rsidR="00000000" w:rsidDel="00000000" w:rsidP="00000000" w:rsidRDefault="00000000" w:rsidRPr="00000000" w14:paraId="00000024">
      <w:pPr>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acquisition of new customers or loss of customers.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Not applicable.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employee hirings, terminations or lay-offs with details of anticipated length of lay-offs.</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There were no employee activities.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labour disputes and resolutions of those disputes if applicable.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indebtedness incurred or repaid by the Issuer together with the terms of such indebtedness.</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D">
      <w:pPr>
        <w:spacing w:after="16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securities issued and options or warrants granted.</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Number Issued</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Details of Issuance</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Use of Proceeds</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60"/>
        </w:tabs>
        <w:spacing w:before="12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(1)</w:t>
        <w:tab/>
        <w:t xml:space="preserve">State aggregate proceeds and intended allocation of proceeds.</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s>
        <w:ind w:left="720"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52">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loans to or by Related Persons.</w:t>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4">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55">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changes in directors, officers or committee members.</w:t>
      </w:r>
    </w:p>
    <w:p w:rsidR="00000000" w:rsidDel="00000000" w:rsidP="00000000" w:rsidRDefault="00000000" w:rsidRPr="00000000" w14:paraId="00000057">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8">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59">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 any trends which are likely to impact the Issuer including trends in the Issuer’s market(s) or political/regulatory trends.</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C">
      <w:pPr>
        <w:keepNext w:val="1"/>
        <w:pBdr>
          <w:top w:space="0" w:sz="0" w:val="nil"/>
          <w:left w:space="0" w:sz="0" w:val="nil"/>
          <w:bottom w:space="0" w:sz="0" w:val="nil"/>
          <w:right w:space="0" w:sz="0" w:val="nil"/>
          <w:between w:space="0" w:sz="0" w:val="nil"/>
        </w:pBdr>
        <w:ind w:firstLine="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br w:type="page"/>
      </w:r>
      <w:r w:rsidDel="00000000" w:rsidR="00000000" w:rsidRPr="00000000">
        <w:rPr>
          <w:rFonts w:ascii="Arial" w:cs="Arial" w:eastAsia="Arial" w:hAnsi="Arial"/>
          <w:b w:val="1"/>
          <w:color w:val="000000"/>
          <w:sz w:val="24"/>
          <w:szCs w:val="24"/>
          <w:rtl w:val="0"/>
        </w:rPr>
        <w:t xml:space="preserve">Certificate Of Compliance</w:t>
      </w:r>
    </w:p>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that:</w:t>
      </w:r>
    </w:p>
    <w:p w:rsidR="00000000" w:rsidDel="00000000" w:rsidP="00000000" w:rsidRDefault="00000000" w:rsidRPr="00000000" w14:paraId="0000005F">
      <w:pPr>
        <w:keepNext w:val="1"/>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of the date hereof there were no material information concerning the Issuer which has not been publicly disclosed.</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of the information in this Form 7 Monthly Progress Report is true.</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4680"/>
          <w:tab w:val="left" w:pos="7200"/>
        </w:tabs>
        <w:spacing w:before="4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Dated: </w:t>
      </w:r>
      <w:r w:rsidDel="00000000" w:rsidR="00000000" w:rsidRPr="00000000">
        <w:rPr>
          <w:rFonts w:ascii="Arial" w:cs="Arial" w:eastAsia="Arial" w:hAnsi="Arial"/>
          <w:sz w:val="24"/>
          <w:szCs w:val="24"/>
          <w:rtl w:val="0"/>
        </w:rPr>
        <w:t xml:space="preserve">Dec</w:t>
      </w:r>
      <w:r w:rsidDel="00000000" w:rsidR="00000000" w:rsidRPr="00000000">
        <w:rPr>
          <w:rFonts w:ascii="Arial" w:cs="Arial" w:eastAsia="Arial" w:hAnsi="Arial"/>
          <w:color w:val="000000"/>
          <w:sz w:val="24"/>
          <w:szCs w:val="24"/>
          <w:rtl w:val="0"/>
        </w:rPr>
        <w:t xml:space="preserve"> 1st, 2021                                          Name of Director or Senior Officer</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Marc Mulvaney</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Pr>
        <w:drawing>
          <wp:inline distB="0" distT="0" distL="0" distR="0">
            <wp:extent cx="1650612" cy="1023003"/>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0612" cy="102300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tl w:val="0"/>
        </w:rPr>
      </w:r>
    </w:p>
    <w:tbl>
      <w:tblPr>
        <w:tblStyle w:val="Table2"/>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644"/>
        <w:gridCol w:w="2034"/>
        <w:gridCol w:w="2898"/>
        <w:tblGridChange w:id="0">
          <w:tblGrid>
            <w:gridCol w:w="4644"/>
            <w:gridCol w:w="2034"/>
            <w:gridCol w:w="2898"/>
          </w:tblGrid>
        </w:tblGridChange>
      </w:tblGrid>
      <w:tr>
        <w:trPr>
          <w:cantSplit w:val="0"/>
          <w:tblHeader w:val="0"/>
        </w:trPr>
        <w:tc>
          <w:tcPr>
            <w:tcBorders>
              <w:top w:color="000000" w:space="0" w:sz="18" w:val="single"/>
              <w:bottom w:color="000000" w:space="0" w:sz="0" w:val="nil"/>
              <w:right w:color="000000" w:space="0" w:sz="18"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Issuer Details</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Issuer</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 Logic Inc. </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Month End</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Dec</w:t>
            </w:r>
            <w:r w:rsidDel="00000000" w:rsidR="00000000" w:rsidRPr="00000000">
              <w:rPr>
                <w:rFonts w:ascii="Arial" w:cs="Arial" w:eastAsia="Arial" w:hAnsi="Arial"/>
                <w:color w:val="000000"/>
                <w:sz w:val="24"/>
                <w:szCs w:val="24"/>
                <w:rtl w:val="0"/>
              </w:rPr>
              <w:t xml:space="preserve"> 2021</w:t>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Report</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YY/MM/DD</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01</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21</w:t>
            </w:r>
            <w:r w:rsidDel="00000000" w:rsidR="00000000" w:rsidRPr="00000000">
              <w:rPr>
                <w:rtl w:val="0"/>
              </w:rPr>
            </w:r>
          </w:p>
        </w:tc>
      </w:tr>
      <w:tr>
        <w:trPr>
          <w:cantSplit w:val="0"/>
          <w:trHeight w:val="729" w:hRule="atLeast"/>
          <w:tblHeader w:val="0"/>
        </w:trPr>
        <w:tc>
          <w:tcPr>
            <w:gridSpan w:val="3"/>
            <w:tcBorders>
              <w:top w:color="000000" w:space="0" w:sz="18" w:val="single"/>
              <w:bottom w:color="000000" w:space="0" w:sz="18"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Address</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#400 – 837 W. Hastings Street</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City/Province/Postal Code</w:t>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Vancouver, BC V6C 3N6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Fax No.</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Telephone No.</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Name</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Position</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Telephone No.</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Email Address</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investors@peakbirch.ca</w:t>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Web Site Address</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Peakbirch.com</w:t>
            </w:r>
          </w:p>
        </w:tc>
      </w:tr>
    </w:tbl>
    <w:p w:rsidR="00000000" w:rsidDel="00000000" w:rsidP="00000000" w:rsidRDefault="00000000" w:rsidRPr="00000000" w14:paraId="00000089">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rsid w:val="00B857A7"/>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BodyText"/>
    <w:link w:val="TitleChar"/>
    <w:uiPriority w:val="10"/>
    <w:qFormat w:val="1"/>
    <w:rsid w:val="00B857A7"/>
    <w:pPr>
      <w:spacing w:after="240"/>
      <w:jc w:val="center"/>
    </w:pPr>
    <w:rPr>
      <w:rFonts w:ascii="Arial" w:hAnsi="Arial"/>
      <w:b w:val="1"/>
      <w:sz w:val="40"/>
    </w:rPr>
  </w:style>
  <w:style w:type="paragraph" w:styleId="BodyText">
    <w:name w:val="Body Text"/>
    <w:basedOn w:val="Normal"/>
    <w:link w:val="BodyTextChar"/>
    <w:rsid w:val="00B857A7"/>
    <w:pPr>
      <w:spacing w:before="240"/>
    </w:pPr>
    <w:rPr>
      <w:sz w:val="24"/>
      <w:lang w:val="en-GB"/>
    </w:rPr>
  </w:style>
  <w:style w:type="character" w:styleId="BodyTextChar" w:customStyle="1">
    <w:name w:val="Body Text Char"/>
    <w:basedOn w:val="DefaultParagraphFont"/>
    <w:link w:val="BodyText"/>
    <w:rsid w:val="00B857A7"/>
    <w:rPr>
      <w:rFonts w:ascii="Times New Roman" w:cs="Times New Roman" w:eastAsia="Times New Roman" w:hAnsi="Times New Roman"/>
      <w:sz w:val="24"/>
      <w:szCs w:val="20"/>
      <w:lang w:val="en-GB"/>
    </w:rPr>
  </w:style>
  <w:style w:type="paragraph" w:styleId="List">
    <w:name w:val="List"/>
    <w:basedOn w:val="BodyText"/>
    <w:rsid w:val="00B857A7"/>
    <w:pPr>
      <w:ind w:left="1080" w:hanging="1080"/>
    </w:pPr>
  </w:style>
  <w:style w:type="character" w:styleId="TitleChar" w:customStyle="1">
    <w:name w:val="Title Char"/>
    <w:basedOn w:val="DefaultParagraphFont"/>
    <w:link w:val="Title"/>
    <w:rsid w:val="00B857A7"/>
    <w:rPr>
      <w:rFonts w:ascii="Arial" w:cs="Times New Roman" w:eastAsia="Times New Roman" w:hAnsi="Arial"/>
      <w:b w:val="1"/>
      <w:sz w:val="40"/>
      <w:szCs w:val="20"/>
      <w:lang w:val="en-GB"/>
    </w:rPr>
  </w:style>
  <w:style w:type="paragraph" w:styleId="NormalWeb">
    <w:name w:val="Normal (Web)"/>
    <w:basedOn w:val="Normal"/>
    <w:uiPriority w:val="99"/>
    <w:unhideWhenUsed w:val="1"/>
    <w:rsid w:val="00B857A7"/>
    <w:pPr>
      <w:spacing w:after="100" w:afterAutospacing="1" w:before="100" w:beforeAutospacing="1"/>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BcIBKBBvVxBOw2mL0ktc01sZQ==">AMUW2mWwHWdKkaSHPwxn8j1TEcczERjcuB1tyWqCTkcQxeNYOS0KVBOCRafZLRDbVNLpX0MeuzSxyzNDLDjH92IKCYlAaaiPxEeiWZCeihoNLlqaKZ5WYL6hvwKJZhDyoL5skk6XX3S+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2021-10-15T21:06:00Z</dcterms:created>
  <dc:creator>Danilen Villanueva</dc:creator>
</cp:coreProperties>
</file>