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firstLine="720"/>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Listed Issuer: Peakbirch Logic Inc. (the “Company” or the “Issuer”).</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Trading Symbol: PKB</w:t>
      </w:r>
    </w:p>
    <w:p w:rsidR="00000000" w:rsidDel="00000000" w:rsidP="00000000" w:rsidRDefault="00000000" w:rsidRPr="00000000" w14:paraId="00000004">
      <w:pPr>
        <w:rPr>
          <w:rFonts w:ascii="Arial" w:cs="Arial" w:eastAsia="Arial" w:hAnsi="Arial"/>
          <w:color w:val="333333"/>
          <w:sz w:val="24"/>
          <w:szCs w:val="24"/>
          <w:highlight w:val="white"/>
        </w:rPr>
      </w:pPr>
      <w:r w:rsidDel="00000000" w:rsidR="00000000" w:rsidRPr="00000000">
        <w:rPr>
          <w:rFonts w:ascii="Arial" w:cs="Arial" w:eastAsia="Arial" w:hAnsi="Arial"/>
          <w:color w:val="000000"/>
          <w:sz w:val="24"/>
          <w:szCs w:val="24"/>
          <w:rtl w:val="0"/>
        </w:rPr>
        <w:br w:type="textWrapping"/>
        <w:t xml:space="preserve">Number of Outstanding Listed Securities: </w:t>
      </w:r>
      <w:r w:rsidDel="00000000" w:rsidR="00000000" w:rsidRPr="00000000">
        <w:rPr>
          <w:rFonts w:ascii="Arial" w:cs="Arial" w:eastAsia="Arial" w:hAnsi="Arial"/>
          <w:color w:val="333333"/>
          <w:sz w:val="24"/>
          <w:szCs w:val="24"/>
          <w:highlight w:val="white"/>
          <w:rtl w:val="0"/>
        </w:rPr>
        <w:t xml:space="preserve">82,704,488</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w:t>
      </w:r>
      <w:r w:rsidDel="00000000" w:rsidR="00000000" w:rsidRPr="00000000">
        <w:rPr>
          <w:rFonts w:ascii="Arial" w:cs="Arial" w:eastAsia="Arial" w:hAnsi="Arial"/>
          <w:sz w:val="24"/>
          <w:szCs w:val="24"/>
          <w:rtl w:val="0"/>
        </w:rPr>
        <w:t xml:space="preserve">April</w:t>
      </w:r>
      <w:r w:rsidDel="00000000" w:rsidR="00000000" w:rsidRPr="00000000">
        <w:rPr>
          <w:rFonts w:ascii="Arial" w:cs="Arial" w:eastAsia="Arial" w:hAnsi="Arial"/>
          <w:color w:val="000000"/>
          <w:sz w:val="24"/>
          <w:szCs w:val="24"/>
          <w:rtl w:val="0"/>
        </w:rPr>
        <w:t xml:space="preserve"> 1st, 20</w:t>
      </w:r>
      <w:r w:rsidDel="00000000" w:rsidR="00000000" w:rsidRPr="00000000">
        <w:rPr>
          <w:rFonts w:ascii="Arial" w:cs="Arial" w:eastAsia="Arial" w:hAnsi="Arial"/>
          <w:sz w:val="24"/>
          <w:szCs w:val="24"/>
          <w:rtl w:val="0"/>
        </w:rPr>
        <w:t xml:space="preserve">22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General Instructions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“Issuer” includes the Issuer and any of its subsidiaries.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after="280"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Terms used and not defined in this form are defined or interpreted in Policy 1 – Interpretation and General Provisions.</w:t>
      </w:r>
    </w:p>
    <w:p w:rsidR="00000000" w:rsidDel="00000000" w:rsidP="00000000" w:rsidRDefault="00000000" w:rsidRPr="00000000" w14:paraId="0000000C">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Report on Business</w:t>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Provide a general overview and discussion of the development of the Issuer’s business and operations over the previous month.  Where the Issuer was inactive disclose this fact.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sz w:val="24"/>
          <w:szCs w:val="24"/>
          <w:rtl w:val="0"/>
        </w:rPr>
        <w:t xml:space="preserve">On March 1st, 2022 the company announced a change in directors with Kang Yau stepping down and being replaced by </w:t>
      </w:r>
      <w:hyperlink r:id="rId7">
        <w:r w:rsidDel="00000000" w:rsidR="00000000" w:rsidRPr="00000000">
          <w:rPr>
            <w:color w:val="0000ee"/>
            <w:u w:val="single"/>
            <w:shd w:fill="auto" w:val="clear"/>
            <w:rtl w:val="0"/>
          </w:rPr>
          <w:t xml:space="preserve">Mohsen Rahimi</w:t>
        </w:r>
      </w:hyperlink>
      <w:r w:rsidDel="00000000" w:rsidR="00000000" w:rsidRPr="00000000">
        <w:rPr>
          <w:rFonts w:ascii="Arial" w:cs="Arial" w:eastAsia="Arial" w:hAnsi="Arial"/>
          <w:b w:val="1"/>
          <w:sz w:val="24"/>
          <w:szCs w:val="24"/>
          <w:rtl w:val="0"/>
        </w:rPr>
        <w:t xml:space="preserve">. The company subsequently, announced that it applied for the MCTO due to delays in connection with confirming certain information required as part of the audit of the Issuer Statements, in particular resulting from the acquisition of Stul Ltd.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March 10th, 2022 the company announced its plans to commence the development of an NFT Marketplace. </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080" w:hanging="108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5">
      <w:pPr>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None.</w:t>
      </w:r>
    </w:p>
    <w:p w:rsidR="00000000" w:rsidDel="00000000" w:rsidP="00000000" w:rsidRDefault="00000000" w:rsidRPr="00000000" w14:paraId="00000026">
      <w:pPr>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acquisition of new customers or loss of customers.</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Not applicable.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employee hirings, terminations or lay-offs with details of anticipated length of lay-offs.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There were no employee activities.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labour disputes and resolutions of those disputes if applicable.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indebtedness incurred or repaid by the Issuer together with the terms of such indebtedness.</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F">
      <w:pPr>
        <w:spacing w:after="16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securities issued and options or warrants granted.</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Number Issued</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Details of Issuance</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Use of Proceeds</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tl w:val="0"/>
              </w:rPr>
            </w:r>
          </w:p>
        </w:tc>
      </w:tr>
      <w:tr>
        <w:trPr>
          <w:cantSplit w:val="0"/>
          <w:trHeight w:val="493.9453125" w:hRule="atLeast"/>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7">
            <w:pP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60"/>
              </w:tabs>
              <w:spacing w:line="280" w:lineRule="auto"/>
              <w:jc w:val="left"/>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360"/>
              </w:tabs>
              <w:spacing w:line="280" w:lineRule="auto"/>
              <w:jc w:val="left"/>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spacing w:before="12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(1)</w:t>
        <w:tab/>
        <w:t xml:space="preserve">State aggregate proceeds and intended allocation of proceeds.</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ind w:left="720"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5C">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loans to or by Related Persons.</w:t>
      </w:r>
    </w:p>
    <w:p w:rsidR="00000000" w:rsidDel="00000000" w:rsidP="00000000" w:rsidRDefault="00000000" w:rsidRPr="00000000" w14:paraId="0000005D">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E">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5F">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changes in directors, officers or committee members.</w:t>
      </w:r>
    </w:p>
    <w:p w:rsidR="00000000" w:rsidDel="00000000" w:rsidP="00000000" w:rsidRDefault="00000000" w:rsidRPr="00000000" w14:paraId="00000061">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2">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63">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 any trends which are likely to impact the Issuer including trends in the Issuer’s market(s) or political/regulatory trends.</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ind w:firstLine="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67">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br w:type="page"/>
      </w:r>
      <w:r w:rsidDel="00000000" w:rsidR="00000000" w:rsidRPr="00000000">
        <w:rPr>
          <w:rFonts w:ascii="Arial" w:cs="Arial" w:eastAsia="Arial" w:hAnsi="Arial"/>
          <w:b w:val="1"/>
          <w:color w:val="000000"/>
          <w:sz w:val="24"/>
          <w:szCs w:val="24"/>
          <w:rtl w:val="0"/>
        </w:rPr>
        <w:t xml:space="preserve">Certificate Of Compliance</w:t>
      </w:r>
    </w:p>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that:</w:t>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of the date hereof there were no material information concerning the Issuer which has not been publicly disclosed.</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of the information in this Form 7 Monthly Progress Report is true.</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4680"/>
          <w:tab w:val="left" w:pos="7200"/>
        </w:tabs>
        <w:spacing w:before="4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Dated: </w:t>
      </w:r>
      <w:r w:rsidDel="00000000" w:rsidR="00000000" w:rsidRPr="00000000">
        <w:rPr>
          <w:rFonts w:ascii="Arial" w:cs="Arial" w:eastAsia="Arial" w:hAnsi="Arial"/>
          <w:sz w:val="24"/>
          <w:szCs w:val="24"/>
          <w:rtl w:val="0"/>
        </w:rPr>
        <w:t xml:space="preserve">April</w:t>
      </w:r>
      <w:r w:rsidDel="00000000" w:rsidR="00000000" w:rsidRPr="00000000">
        <w:rPr>
          <w:rFonts w:ascii="Arial" w:cs="Arial" w:eastAsia="Arial" w:hAnsi="Arial"/>
          <w:color w:val="000000"/>
          <w:sz w:val="24"/>
          <w:szCs w:val="24"/>
          <w:rtl w:val="0"/>
        </w:rPr>
        <w:t xml:space="preserve"> 1st, 202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Name of Director or Senior Officer</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Marc Mulvaney</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Pr>
        <w:drawing>
          <wp:inline distB="0" distT="0" distL="0" distR="0">
            <wp:extent cx="1650612" cy="1023003"/>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50612" cy="1023003"/>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tl w:val="0"/>
        </w:rPr>
      </w:r>
    </w:p>
    <w:tbl>
      <w:tblPr>
        <w:tblStyle w:val="Table2"/>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644"/>
        <w:gridCol w:w="2034"/>
        <w:gridCol w:w="2898"/>
        <w:tblGridChange w:id="0">
          <w:tblGrid>
            <w:gridCol w:w="4644"/>
            <w:gridCol w:w="2034"/>
            <w:gridCol w:w="2898"/>
          </w:tblGrid>
        </w:tblGridChange>
      </w:tblGrid>
      <w:tr>
        <w:trPr>
          <w:cantSplit w:val="0"/>
          <w:tblHeader w:val="0"/>
        </w:trPr>
        <w:tc>
          <w:tcPr>
            <w:tcBorders>
              <w:top w:color="000000" w:space="0" w:sz="18" w:val="single"/>
              <w:bottom w:color="000000" w:space="0" w:sz="0" w:val="nil"/>
              <w:right w:color="000000" w:space="0" w:sz="18"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Issuer Details</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Issuer</w:t>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 </w:t>
            </w:r>
            <w:r w:rsidDel="00000000" w:rsidR="00000000" w:rsidRPr="00000000">
              <w:rPr>
                <w:rFonts w:ascii="Arial" w:cs="Arial" w:eastAsia="Arial" w:hAnsi="Arial"/>
                <w:sz w:val="24"/>
                <w:szCs w:val="24"/>
                <w:rtl w:val="0"/>
              </w:rPr>
              <w:t xml:space="preserve">Commerce</w:t>
            </w:r>
            <w:r w:rsidDel="00000000" w:rsidR="00000000" w:rsidRPr="00000000">
              <w:rPr>
                <w:rFonts w:ascii="Arial" w:cs="Arial" w:eastAsia="Arial" w:hAnsi="Arial"/>
                <w:color w:val="000000"/>
                <w:sz w:val="24"/>
                <w:szCs w:val="24"/>
                <w:rtl w:val="0"/>
              </w:rPr>
              <w:t xml:space="preserve"> Inc. </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Month End</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March</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2</w:t>
            </w:r>
            <w:r w:rsidDel="00000000" w:rsidR="00000000" w:rsidRPr="00000000">
              <w:rPr>
                <w:rtl w:val="0"/>
              </w:rPr>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Report</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YY/MM/DD</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01</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729" w:hRule="atLeast"/>
          <w:tblHeader w:val="0"/>
        </w:trPr>
        <w:tc>
          <w:tcPr>
            <w:gridSpan w:val="3"/>
            <w:tcBorders>
              <w:top w:color="000000" w:space="0" w:sz="18" w:val="single"/>
              <w:bottom w:color="000000" w:space="0" w:sz="18"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Address</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#400 – 837 W. Hastings Street</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City/Province/Postal Code</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Vancouver, BC V6C 3N6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Fax No.</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Telephone No.</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Name</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Position</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Telephone No.</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Email Address</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investors@peakbirch.</w:t>
            </w:r>
            <w:r w:rsidDel="00000000" w:rsidR="00000000" w:rsidRPr="00000000">
              <w:rPr>
                <w:rFonts w:ascii="Arial" w:cs="Arial" w:eastAsia="Arial" w:hAnsi="Arial"/>
                <w:sz w:val="24"/>
                <w:szCs w:val="24"/>
                <w:rtl w:val="0"/>
              </w:rPr>
              <w:t xml:space="preserve">com</w:t>
            </w:r>
            <w:r w:rsidDel="00000000" w:rsidR="00000000" w:rsidRPr="00000000">
              <w:rPr>
                <w:rtl w:val="0"/>
              </w:rPr>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Web Site Address</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Peakbirch.com</w:t>
            </w:r>
          </w:p>
        </w:tc>
      </w:tr>
    </w:tbl>
    <w:p w:rsidR="00000000" w:rsidDel="00000000" w:rsidP="00000000" w:rsidRDefault="00000000" w:rsidRPr="00000000" w14:paraId="0000009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rsid w:val="00B857A7"/>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BodyText"/>
    <w:link w:val="TitleChar"/>
    <w:uiPriority w:val="10"/>
    <w:qFormat w:val="1"/>
    <w:rsid w:val="00B857A7"/>
    <w:pPr>
      <w:spacing w:after="240"/>
      <w:jc w:val="center"/>
    </w:pPr>
    <w:rPr>
      <w:rFonts w:ascii="Arial" w:hAnsi="Arial"/>
      <w:b w:val="1"/>
      <w:sz w:val="40"/>
    </w:rPr>
  </w:style>
  <w:style w:type="paragraph" w:styleId="BodyText">
    <w:name w:val="Body Text"/>
    <w:basedOn w:val="Normal"/>
    <w:link w:val="BodyTextChar"/>
    <w:rsid w:val="00B857A7"/>
    <w:pPr>
      <w:spacing w:before="240"/>
    </w:pPr>
    <w:rPr>
      <w:sz w:val="24"/>
      <w:lang w:val="en-GB"/>
    </w:rPr>
  </w:style>
  <w:style w:type="character" w:styleId="BodyTextChar" w:customStyle="1">
    <w:name w:val="Body Text Char"/>
    <w:basedOn w:val="DefaultParagraphFont"/>
    <w:link w:val="BodyText"/>
    <w:rsid w:val="00B857A7"/>
    <w:rPr>
      <w:rFonts w:ascii="Times New Roman" w:cs="Times New Roman" w:eastAsia="Times New Roman" w:hAnsi="Times New Roman"/>
      <w:sz w:val="24"/>
      <w:szCs w:val="20"/>
      <w:lang w:val="en-GB"/>
    </w:rPr>
  </w:style>
  <w:style w:type="paragraph" w:styleId="List">
    <w:name w:val="List"/>
    <w:basedOn w:val="BodyText"/>
    <w:rsid w:val="00B857A7"/>
    <w:pPr>
      <w:ind w:left="1080" w:hanging="1080"/>
    </w:pPr>
  </w:style>
  <w:style w:type="character" w:styleId="TitleChar" w:customStyle="1">
    <w:name w:val="Title Char"/>
    <w:basedOn w:val="DefaultParagraphFont"/>
    <w:link w:val="Title"/>
    <w:rsid w:val="00B857A7"/>
    <w:rPr>
      <w:rFonts w:ascii="Arial" w:cs="Times New Roman" w:eastAsia="Times New Roman" w:hAnsi="Arial"/>
      <w:b w:val="1"/>
      <w:sz w:val="40"/>
      <w:szCs w:val="20"/>
      <w:lang w:val="en-GB"/>
    </w:rPr>
  </w:style>
  <w:style w:type="paragraph" w:styleId="NormalWeb">
    <w:name w:val="Normal (Web)"/>
    <w:basedOn w:val="Normal"/>
    <w:uiPriority w:val="99"/>
    <w:unhideWhenUsed w:val="1"/>
    <w:rsid w:val="00B857A7"/>
    <w:pPr>
      <w:spacing w:after="100" w:afterAutospacing="1" w:before="100" w:beforeAutospacing="1"/>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rahimi.86@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AAMDNnaE5hOnAHSDqOKsno9/g==">AMUW2mVkmexHWdfSbv4VBI0i/wZ0HQ7fKH8I9Cdn8Kqs5/Qt3uTWxYwmSgBNH73e0JhXW3wHLU15Ao7W7+otqe+nlcLmWIgJrYzp/kCX6Jy+rxtdD1LBD+fWnuCssbvnzEs3iTZYXf5D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2021-10-15T21:06:00Z</dcterms:created>
  <dc:creator>Danilen Villanueva</dc:creator>
</cp:coreProperties>
</file>