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ind w:firstLine="720"/>
        <w:rPr>
          <w:color w:val="000000"/>
          <w:sz w:val="28"/>
          <w:szCs w:val="28"/>
          <w:u w:val="single"/>
        </w:rPr>
      </w:pPr>
      <w:bookmarkStart w:colFirst="0" w:colLast="0" w:name="_heading=h.gjdgxs" w:id="0"/>
      <w:bookmarkEnd w:id="0"/>
      <w:r w:rsidDel="00000000" w:rsidR="00000000" w:rsidRPr="00000000">
        <w:rPr>
          <w:color w:val="000000"/>
          <w:sz w:val="28"/>
          <w:szCs w:val="28"/>
          <w:rtl w:val="0"/>
        </w:rPr>
        <w:t xml:space="preserve">FORM 7</w:t>
        <w:br w:type="textWrapping"/>
        <w:br w:type="textWrapping"/>
      </w:r>
      <w:r w:rsidDel="00000000" w:rsidR="00000000" w:rsidRPr="00000000">
        <w:rPr>
          <w:color w:val="000000"/>
          <w:sz w:val="28"/>
          <w:szCs w:val="28"/>
          <w:u w:val="single"/>
          <w:rtl w:val="0"/>
        </w:rPr>
        <w:t xml:space="preserve">MONTHLY PROGRESS REPORT</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Listed Issuer: Peakbirch Logic Inc. (the “Company” or the “Issuer”).</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Trading Symbol: PKB</w:t>
      </w:r>
    </w:p>
    <w:p w:rsidR="00000000" w:rsidDel="00000000" w:rsidP="00000000" w:rsidRDefault="00000000" w:rsidRPr="00000000" w14:paraId="00000004">
      <w:pPr>
        <w:rPr>
          <w:sz w:val="24"/>
          <w:szCs w:val="24"/>
        </w:rPr>
      </w:pPr>
      <w:r w:rsidDel="00000000" w:rsidR="00000000" w:rsidRPr="00000000">
        <w:rPr>
          <w:rFonts w:ascii="Arial" w:cs="Arial" w:eastAsia="Arial" w:hAnsi="Arial"/>
          <w:color w:val="000000"/>
          <w:sz w:val="24"/>
          <w:szCs w:val="24"/>
          <w:rtl w:val="0"/>
        </w:rPr>
        <w:br w:type="textWrapping"/>
        <w:t xml:space="preserve">Number of Outstanding Listed Securities: </w:t>
      </w:r>
      <w:r w:rsidDel="00000000" w:rsidR="00000000" w:rsidRPr="00000000">
        <w:rPr>
          <w:rFonts w:ascii="Arial" w:cs="Arial" w:eastAsia="Arial" w:hAnsi="Arial"/>
          <w:color w:val="333333"/>
          <w:sz w:val="24"/>
          <w:szCs w:val="24"/>
          <w:highlight w:val="white"/>
          <w:rtl w:val="0"/>
        </w:rPr>
        <w:t xml:space="preserve">126,831,524</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w:t>
      </w:r>
      <w:r w:rsidDel="00000000" w:rsidR="00000000" w:rsidRPr="00000000">
        <w:rPr>
          <w:rFonts w:ascii="Arial" w:cs="Arial" w:eastAsia="Arial" w:hAnsi="Arial"/>
          <w:sz w:val="24"/>
          <w:szCs w:val="24"/>
          <w:rtl w:val="0"/>
        </w:rPr>
        <w:t xml:space="preserve">Feb</w:t>
      </w:r>
      <w:r w:rsidDel="00000000" w:rsidR="00000000" w:rsidRPr="00000000">
        <w:rPr>
          <w:rFonts w:ascii="Arial" w:cs="Arial" w:eastAsia="Arial" w:hAnsi="Arial"/>
          <w:color w:val="000000"/>
          <w:sz w:val="24"/>
          <w:szCs w:val="24"/>
          <w:rtl w:val="0"/>
        </w:rPr>
        <w:t xml:space="preserve"> 1st, 20</w:t>
      </w:r>
      <w:r w:rsidDel="00000000" w:rsidR="00000000" w:rsidRPr="00000000">
        <w:rPr>
          <w:rFonts w:ascii="Arial" w:cs="Arial" w:eastAsia="Arial" w:hAnsi="Arial"/>
          <w:sz w:val="24"/>
          <w:szCs w:val="24"/>
          <w:rtl w:val="0"/>
        </w:rPr>
        <w:t xml:space="preserve">22</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7920"/>
          <w:tab w:val="left" w:pos="9180"/>
        </w:tabs>
        <w:spacing w:befor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General Instructions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 “Issuer” includes the Issuer and any of its subsidiaries.</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pos="1440"/>
          <w:tab w:val="left" w:pos="7920"/>
          <w:tab w:val="left" w:pos="9180"/>
        </w:tabs>
        <w:spacing w:after="280"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Terms used and not defined in this form are defined or interpreted in Policy 1 – Interpretation and General Provisions.</w:t>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Report on Business</w:t>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before="12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Provide a general overview and discussion of the development of the Issuer’s business and operations over the previous month.  Where the Issuer was inactive disclose this fact.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sz w:val="24"/>
          <w:szCs w:val="24"/>
          <w:rtl w:val="0"/>
        </w:rPr>
        <w:t xml:space="preserve">In January the company continued to work on its on-going year end audit. It continued to execute on its conversion strategy mentioned in the previous month’s report.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080" w:hanging="108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any products or services that were discontinued. For resource companies, provide details of any drilling, exploration or production programs that have been amended or abandoned.</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 to #1</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expiry or termination of any contracts or agreements between the Issuer, the Issuer’s affiliates or third parties or cancellation of any financing arrangements that have been previously announced.</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ind w:left="72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None.</w:t>
      </w:r>
    </w:p>
    <w:p w:rsidR="00000000" w:rsidDel="00000000" w:rsidP="00000000" w:rsidRDefault="00000000" w:rsidRPr="00000000" w14:paraId="00000024">
      <w:pPr>
        <w:ind w:left="720" w:firstLine="0"/>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acquisition of new customers or loss of customers.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any new developments or effects on intangible products such as brand names, circulation lists, copyrights, franchises, licenses, patents, software, subscription lists and trade-marks.</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Not applicable.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employee hirings, terminations or lay-offs with details of anticipated length of lay-offs.</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There were no employee activities.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Report on any labour disputes and resolutions of those disputes if applicable.</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indebtedness incurred or repaid by the Issuer together with the terms of such indebtedness.</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3D">
      <w:pPr>
        <w:spacing w:after="160"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securities issued and options or warrants granted.</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rPr>
          <w:cantSplit w:val="0"/>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Security</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Number Issued</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Details of Issuance</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Use of Proceeds</w:t>
            </w:r>
            <w:r w:rsidDel="00000000" w:rsidR="00000000" w:rsidRPr="00000000">
              <w:rPr>
                <w:rFonts w:ascii="Arial" w:cs="Arial" w:eastAsia="Arial" w:hAnsi="Arial"/>
                <w:b w:val="1"/>
                <w:color w:val="000000"/>
                <w:sz w:val="24"/>
                <w:szCs w:val="24"/>
                <w:vertAlign w:val="superscript"/>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60"/>
              </w:tabs>
              <w:spacing w:line="280" w:lineRule="auto"/>
              <w:jc w:val="cente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s>
        <w:spacing w:before="12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(1)</w:t>
        <w:tab/>
        <w:t xml:space="preserve">State aggregate proceeds and intended allocation of proceeds.</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s>
        <w:ind w:left="720" w:firstLine="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52">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loans to or by Related Persons.</w:t>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4">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w:t>
      </w:r>
    </w:p>
    <w:p w:rsidR="00000000" w:rsidDel="00000000" w:rsidP="00000000" w:rsidRDefault="00000000" w:rsidRPr="00000000" w14:paraId="00000055">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keepNext w:val="1"/>
        <w:keepLines w:val="1"/>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details of any changes in directors, officers or committee members.</w:t>
      </w:r>
    </w:p>
    <w:p w:rsidR="00000000" w:rsidDel="00000000" w:rsidP="00000000" w:rsidRDefault="00000000" w:rsidRPr="00000000" w14:paraId="00000057">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8">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59">
      <w:pPr>
        <w:keepNext w:val="1"/>
        <w:keepLines w:val="1"/>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Discuss any trends which are likely to impact the Issuer including trends in the Issuer’s market(s) or political/regulatory trends.</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C">
      <w:pPr>
        <w:keepNext w:val="1"/>
        <w:pBdr>
          <w:top w:space="0" w:sz="0" w:val="nil"/>
          <w:left w:space="0" w:sz="0" w:val="nil"/>
          <w:bottom w:space="0" w:sz="0" w:val="nil"/>
          <w:right w:space="0" w:sz="0" w:val="nil"/>
          <w:between w:space="0" w:sz="0" w:val="nil"/>
        </w:pBdr>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w:t>
      </w:r>
    </w:p>
    <w:p w:rsidR="00000000" w:rsidDel="00000000" w:rsidP="00000000" w:rsidRDefault="00000000" w:rsidRPr="00000000" w14:paraId="0000005D">
      <w:pPr>
        <w:keepNext w:val="1"/>
        <w:pBdr>
          <w:top w:space="0" w:sz="0" w:val="nil"/>
          <w:left w:space="0" w:sz="0" w:val="nil"/>
          <w:bottom w:space="0" w:sz="0" w:val="nil"/>
          <w:right w:space="0" w:sz="0" w:val="nil"/>
          <w:between w:space="0" w:sz="0" w:val="nil"/>
        </w:pBdr>
        <w:jc w:val="both"/>
        <w:rPr>
          <w:rFonts w:ascii="Arial" w:cs="Arial" w:eastAsia="Arial" w:hAnsi="Arial"/>
          <w:b w:val="1"/>
          <w:color w:val="000000"/>
          <w:sz w:val="24"/>
          <w:szCs w:val="24"/>
        </w:rPr>
      </w:pPr>
      <w:r w:rsidDel="00000000" w:rsidR="00000000" w:rsidRPr="00000000">
        <w:br w:type="page"/>
      </w:r>
      <w:r w:rsidDel="00000000" w:rsidR="00000000" w:rsidRPr="00000000">
        <w:rPr>
          <w:rFonts w:ascii="Arial" w:cs="Arial" w:eastAsia="Arial" w:hAnsi="Arial"/>
          <w:b w:val="1"/>
          <w:color w:val="000000"/>
          <w:sz w:val="24"/>
          <w:szCs w:val="24"/>
          <w:rtl w:val="0"/>
        </w:rPr>
        <w:t xml:space="preserve">Certificate Of Compliance</w:t>
      </w:r>
    </w:p>
    <w:p w:rsidR="00000000" w:rsidDel="00000000" w:rsidP="00000000" w:rsidRDefault="00000000" w:rsidRPr="00000000" w14:paraId="0000005E">
      <w:pPr>
        <w:keepNext w:val="1"/>
        <w:pBdr>
          <w:top w:space="0" w:sz="0" w:val="nil"/>
          <w:left w:space="0" w:sz="0" w:val="nil"/>
          <w:bottom w:space="0" w:sz="0" w:val="nil"/>
          <w:right w:space="0" w:sz="0" w:val="nil"/>
          <w:between w:space="0" w:sz="0" w:val="nil"/>
        </w:pBdr>
        <w:spacing w:befor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that:</w:t>
      </w:r>
    </w:p>
    <w:p w:rsidR="00000000" w:rsidDel="00000000" w:rsidP="00000000" w:rsidRDefault="00000000" w:rsidRPr="00000000" w14:paraId="0000005F">
      <w:pPr>
        <w:keepNext w:val="1"/>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is a director and/or senior officer of the Issuer and has been duly authorized by a resolution of the board of directors of the Issuer to sign this Certificate of Compliance.</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of the date hereof there were no material information concerning the Issuer which has not been publicly disclosed.</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before="240" w:lineRule="auto"/>
        <w:ind w:left="720"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of the information in this Form 7 Monthly Progress Report is true.</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4680"/>
          <w:tab w:val="left" w:pos="7200"/>
        </w:tabs>
        <w:spacing w:before="48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Dated: </w:t>
      </w:r>
      <w:r w:rsidDel="00000000" w:rsidR="00000000" w:rsidRPr="00000000">
        <w:rPr>
          <w:rFonts w:ascii="Arial" w:cs="Arial" w:eastAsia="Arial" w:hAnsi="Arial"/>
          <w:sz w:val="24"/>
          <w:szCs w:val="24"/>
          <w:rtl w:val="0"/>
        </w:rPr>
        <w:t xml:space="preserve">Feb</w:t>
      </w:r>
      <w:r w:rsidDel="00000000" w:rsidR="00000000" w:rsidRPr="00000000">
        <w:rPr>
          <w:rFonts w:ascii="Arial" w:cs="Arial" w:eastAsia="Arial" w:hAnsi="Arial"/>
          <w:color w:val="000000"/>
          <w:sz w:val="24"/>
          <w:szCs w:val="24"/>
          <w:rtl w:val="0"/>
        </w:rPr>
        <w:t xml:space="preserve"> 1st, 202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Name of Director or Senior Officer</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918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Marc Mulvaney</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9180"/>
          <w:tab w:val="left" w:pos="9360"/>
        </w:tabs>
        <w:ind w:left="57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Pr>
        <w:drawing>
          <wp:inline distB="0" distT="0" distL="0" distR="0">
            <wp:extent cx="1650612" cy="1023003"/>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0612" cy="1023003"/>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9180"/>
        </w:tabs>
        <w:ind w:left="5760" w:firstLine="0"/>
        <w:jc w:val="both"/>
        <w:rPr>
          <w:rFonts w:ascii="Arial" w:cs="Arial" w:eastAsia="Arial" w:hAnsi="Arial"/>
          <w:color w:val="000000"/>
          <w:sz w:val="24"/>
          <w:szCs w:val="24"/>
        </w:rPr>
      </w:pPr>
      <w:r w:rsidDel="00000000" w:rsidR="00000000" w:rsidRPr="00000000">
        <w:rPr>
          <w:rtl w:val="0"/>
        </w:rPr>
      </w:r>
    </w:p>
    <w:tbl>
      <w:tblPr>
        <w:tblStyle w:val="Table2"/>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4644"/>
        <w:gridCol w:w="2034"/>
        <w:gridCol w:w="2898"/>
        <w:tblGridChange w:id="0">
          <w:tblGrid>
            <w:gridCol w:w="4644"/>
            <w:gridCol w:w="2034"/>
            <w:gridCol w:w="2898"/>
          </w:tblGrid>
        </w:tblGridChange>
      </w:tblGrid>
      <w:tr>
        <w:trPr>
          <w:cantSplit w:val="0"/>
          <w:tblHeader w:val="0"/>
        </w:trPr>
        <w:tc>
          <w:tcPr>
            <w:tcBorders>
              <w:top w:color="000000" w:space="0" w:sz="18" w:val="single"/>
              <w:bottom w:color="000000" w:space="0" w:sz="0" w:val="nil"/>
              <w:right w:color="000000" w:space="0" w:sz="18"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Issuer Details</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Name of Issuer</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 Logic Inc. </w:t>
            </w:r>
          </w:p>
        </w:tc>
        <w:tc>
          <w:tcPr>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Month End</w:t>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Jan</w:t>
            </w:r>
            <w:r w:rsidDel="00000000" w:rsidR="00000000" w:rsidRPr="00000000">
              <w:rPr>
                <w:rFonts w:ascii="Arial" w:cs="Arial" w:eastAsia="Arial" w:hAnsi="Arial"/>
                <w:color w:val="000000"/>
                <w:sz w:val="24"/>
                <w:szCs w:val="24"/>
                <w:rtl w:val="0"/>
              </w:rPr>
              <w:t xml:space="preserve"> 2021</w:t>
            </w:r>
          </w:p>
        </w:tc>
        <w:tc>
          <w:tcPr>
            <w:tcBorders>
              <w:top w:color="000000" w:space="0" w:sz="18" w:val="single"/>
              <w:left w:color="000000" w:space="0" w:sz="18" w:val="single"/>
              <w:bottom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Date of Report</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YY/MM/DD</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02</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01</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22</w:t>
            </w:r>
            <w:r w:rsidDel="00000000" w:rsidR="00000000" w:rsidRPr="00000000">
              <w:rPr>
                <w:rtl w:val="0"/>
              </w:rPr>
            </w:r>
          </w:p>
        </w:tc>
      </w:tr>
      <w:tr>
        <w:trPr>
          <w:cantSplit w:val="0"/>
          <w:trHeight w:val="729" w:hRule="atLeast"/>
          <w:tblHeader w:val="0"/>
        </w:trPr>
        <w:tc>
          <w:tcPr>
            <w:gridSpan w:val="3"/>
            <w:tcBorders>
              <w:top w:color="000000" w:space="0" w:sz="18" w:val="single"/>
              <w:bottom w:color="000000" w:space="0" w:sz="18"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Address</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#400 – 837 W. Hastings Street</w:t>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City/Province/Postal Code</w:t>
            </w:r>
          </w:p>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Vancouver, BC V6C 3N6</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Fax No.</w:t>
            </w:r>
          </w:p>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Issuer Telephone No.</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Name</w:t>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Marc Mulvaney</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Position</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CEO, Director</w:t>
            </w:r>
          </w:p>
        </w:tc>
        <w:tc>
          <w:tcPr>
            <w:tcBorders>
              <w:top w:color="000000" w:space="0" w:sz="18" w:val="single"/>
              <w:left w:color="000000" w:space="0" w:sz="18" w:val="single"/>
              <w:bottom w:color="000000" w:space="0" w:sz="18"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Telephone No.</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Verdana" w:cs="Verdana" w:eastAsia="Verdana" w:hAnsi="Verdana"/>
                <w:color w:val="000000"/>
                <w:rtl w:val="0"/>
              </w:rPr>
              <w:t xml:space="preserve">702-695-5582 </w:t>
            </w:r>
            <w:r w:rsidDel="00000000" w:rsidR="00000000" w:rsidRPr="00000000">
              <w:rPr>
                <w:rtl w:val="0"/>
              </w:rPr>
            </w:r>
          </w:p>
        </w:tc>
      </w:tr>
      <w:tr>
        <w:trPr>
          <w:cantSplit w:val="0"/>
          <w:tblHeader w:val="0"/>
        </w:trPr>
        <w:tc>
          <w:tcPr>
            <w:tcBorders>
              <w:top w:color="000000" w:space="0" w:sz="18" w:val="single"/>
              <w:bottom w:color="000000" w:space="0" w:sz="18" w:val="single"/>
              <w:right w:color="000000" w:space="0" w:sz="18"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Contact Email Address</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investors@peakbirch.ca</w:t>
            </w:r>
          </w:p>
        </w:tc>
        <w:tc>
          <w:tcPr>
            <w:gridSpan w:val="2"/>
            <w:tcBorders>
              <w:top w:color="000000" w:space="0" w:sz="18" w:val="single"/>
              <w:left w:color="000000" w:space="0" w:sz="18" w:val="single"/>
              <w:bottom w:color="000000" w:space="0" w:sz="18"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Web Site Address</w:t>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Peakbirch.com</w:t>
            </w:r>
          </w:p>
        </w:tc>
      </w:tr>
    </w:tbl>
    <w:p w:rsidR="00000000" w:rsidDel="00000000" w:rsidP="00000000" w:rsidRDefault="00000000" w:rsidRPr="00000000" w14:paraId="00000089">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hanging="72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72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before="240" w:lineRule="auto"/>
      <w:jc w:val="center"/>
    </w:pPr>
    <w:rPr>
      <w:rFonts w:ascii="Arial" w:cs="Arial" w:eastAsia="Arial" w:hAnsi="Arial"/>
      <w:b w:val="1"/>
      <w:sz w:val="40"/>
      <w:szCs w:val="40"/>
    </w:rPr>
  </w:style>
  <w:style w:type="paragraph" w:styleId="Normal" w:default="1">
    <w:name w:val="Normal"/>
    <w:qFormat w:val="1"/>
    <w:rsid w:val="00B857A7"/>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BodyText"/>
    <w:link w:val="TitleChar"/>
    <w:uiPriority w:val="10"/>
    <w:qFormat w:val="1"/>
    <w:rsid w:val="00B857A7"/>
    <w:pPr>
      <w:spacing w:after="240"/>
      <w:jc w:val="center"/>
    </w:pPr>
    <w:rPr>
      <w:rFonts w:ascii="Arial" w:hAnsi="Arial"/>
      <w:b w:val="1"/>
      <w:sz w:val="40"/>
    </w:rPr>
  </w:style>
  <w:style w:type="paragraph" w:styleId="BodyText">
    <w:name w:val="Body Text"/>
    <w:basedOn w:val="Normal"/>
    <w:link w:val="BodyTextChar"/>
    <w:rsid w:val="00B857A7"/>
    <w:pPr>
      <w:spacing w:before="240"/>
    </w:pPr>
    <w:rPr>
      <w:sz w:val="24"/>
      <w:lang w:val="en-GB"/>
    </w:rPr>
  </w:style>
  <w:style w:type="character" w:styleId="BodyTextChar" w:customStyle="1">
    <w:name w:val="Body Text Char"/>
    <w:basedOn w:val="DefaultParagraphFont"/>
    <w:link w:val="BodyText"/>
    <w:rsid w:val="00B857A7"/>
    <w:rPr>
      <w:rFonts w:ascii="Times New Roman" w:cs="Times New Roman" w:eastAsia="Times New Roman" w:hAnsi="Times New Roman"/>
      <w:sz w:val="24"/>
      <w:szCs w:val="20"/>
      <w:lang w:val="en-GB"/>
    </w:rPr>
  </w:style>
  <w:style w:type="paragraph" w:styleId="List">
    <w:name w:val="List"/>
    <w:basedOn w:val="BodyText"/>
    <w:rsid w:val="00B857A7"/>
    <w:pPr>
      <w:ind w:left="1080" w:hanging="1080"/>
    </w:pPr>
  </w:style>
  <w:style w:type="character" w:styleId="TitleChar" w:customStyle="1">
    <w:name w:val="Title Char"/>
    <w:basedOn w:val="DefaultParagraphFont"/>
    <w:link w:val="Title"/>
    <w:rsid w:val="00B857A7"/>
    <w:rPr>
      <w:rFonts w:ascii="Arial" w:cs="Times New Roman" w:eastAsia="Times New Roman" w:hAnsi="Arial"/>
      <w:b w:val="1"/>
      <w:sz w:val="40"/>
      <w:szCs w:val="20"/>
      <w:lang w:val="en-GB"/>
    </w:rPr>
  </w:style>
  <w:style w:type="paragraph" w:styleId="NormalWeb">
    <w:name w:val="Normal (Web)"/>
    <w:basedOn w:val="Normal"/>
    <w:uiPriority w:val="99"/>
    <w:unhideWhenUsed w:val="1"/>
    <w:rsid w:val="00B857A7"/>
    <w:pPr>
      <w:spacing w:after="100" w:afterAutospacing="1" w:before="100" w:beforeAutospacing="1"/>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pl/2OYJySB1T0zZpjCYcOr76w==">AMUW2mUsbjpUncdUCq1IQO735KTK83u/VR8MWg+G5lIAXRTkjEXszmVP3mH6C+GJzE74nI2FiVPV6NVL9/mzurmMevPrjmpuWkyXKxRIpO99PnHwkNHBgQBMDewdsQ6dejSATJpYH+Tc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2021-10-15T21:06:00Z</dcterms:created>
  <dc:creator>Danilen Villanueva</dc:creator>
</cp:coreProperties>
</file>