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ind w:firstLine="720"/>
        <w:rPr>
          <w:color w:val="000000"/>
          <w:sz w:val="28"/>
          <w:szCs w:val="28"/>
          <w:u w:val="single"/>
        </w:rPr>
      </w:pPr>
      <w:bookmarkStart w:colFirst="0" w:colLast="0" w:name="_heading=h.gjdgxs" w:id="0"/>
      <w:bookmarkEnd w:id="0"/>
      <w:r w:rsidDel="00000000" w:rsidR="00000000" w:rsidRPr="00000000">
        <w:rPr>
          <w:color w:val="000000"/>
          <w:sz w:val="28"/>
          <w:szCs w:val="28"/>
          <w:rtl w:val="0"/>
        </w:rPr>
        <w:t xml:space="preserve">FORM 7</w:t>
        <w:br w:type="textWrapping"/>
        <w:br w:type="textWrapping"/>
      </w:r>
      <w:r w:rsidDel="00000000" w:rsidR="00000000" w:rsidRPr="00000000">
        <w:rPr>
          <w:color w:val="000000"/>
          <w:sz w:val="28"/>
          <w:szCs w:val="28"/>
          <w:u w:val="single"/>
          <w:rtl w:val="0"/>
        </w:rPr>
        <w:t xml:space="preserve">MONTHLY PROGRESS REPORT</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Listed Issuer: Peakbirch Logic Inc. (the “Company” or the “Issuer”).</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7920"/>
          <w:tab w:val="left" w:pos="918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Trading Symbol: PKB</w:t>
      </w:r>
    </w:p>
    <w:p w:rsidR="00000000" w:rsidDel="00000000" w:rsidP="00000000" w:rsidRDefault="00000000" w:rsidRPr="00000000" w14:paraId="00000004">
      <w:pPr>
        <w:rPr>
          <w:rFonts w:ascii="Arial" w:cs="Arial" w:eastAsia="Arial" w:hAnsi="Arial"/>
          <w:color w:val="333333"/>
          <w:sz w:val="24"/>
          <w:szCs w:val="24"/>
          <w:highlight w:val="white"/>
        </w:rPr>
      </w:pPr>
      <w:r w:rsidDel="00000000" w:rsidR="00000000" w:rsidRPr="00000000">
        <w:rPr>
          <w:rFonts w:ascii="Arial" w:cs="Arial" w:eastAsia="Arial" w:hAnsi="Arial"/>
          <w:color w:val="000000"/>
          <w:sz w:val="24"/>
          <w:szCs w:val="24"/>
          <w:rtl w:val="0"/>
        </w:rPr>
        <w:br w:type="textWrapping"/>
        <w:t xml:space="preserve">Number of Outstanding Listed Securities: </w:t>
      </w:r>
      <w:r w:rsidDel="00000000" w:rsidR="00000000" w:rsidRPr="00000000">
        <w:rPr>
          <w:rFonts w:ascii="Arial" w:cs="Arial" w:eastAsia="Arial" w:hAnsi="Arial"/>
          <w:color w:val="333333"/>
          <w:sz w:val="24"/>
          <w:szCs w:val="24"/>
          <w:highlight w:val="white"/>
          <w:rtl w:val="0"/>
        </w:rPr>
        <w:t xml:space="preserve">82,704,488</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7920"/>
          <w:tab w:val="left" w:pos="918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w:t>
      </w:r>
      <w:r w:rsidDel="00000000" w:rsidR="00000000" w:rsidRPr="00000000">
        <w:rPr>
          <w:rFonts w:ascii="Arial" w:cs="Arial" w:eastAsia="Arial" w:hAnsi="Arial"/>
          <w:sz w:val="24"/>
          <w:szCs w:val="24"/>
          <w:rtl w:val="0"/>
        </w:rPr>
        <w:t xml:space="preserve">March</w:t>
      </w:r>
      <w:r w:rsidDel="00000000" w:rsidR="00000000" w:rsidRPr="00000000">
        <w:rPr>
          <w:rFonts w:ascii="Arial" w:cs="Arial" w:eastAsia="Arial" w:hAnsi="Arial"/>
          <w:color w:val="000000"/>
          <w:sz w:val="24"/>
          <w:szCs w:val="24"/>
          <w:rtl w:val="0"/>
        </w:rPr>
        <w:t xml:space="preserve"> 1st, 20</w:t>
      </w:r>
      <w:r w:rsidDel="00000000" w:rsidR="00000000" w:rsidRPr="00000000">
        <w:rPr>
          <w:rFonts w:ascii="Arial" w:cs="Arial" w:eastAsia="Arial" w:hAnsi="Arial"/>
          <w:sz w:val="24"/>
          <w:szCs w:val="24"/>
          <w:rtl w:val="0"/>
        </w:rPr>
        <w:t xml:space="preserve">22</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7920"/>
          <w:tab w:val="left" w:pos="918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7920"/>
          <w:tab w:val="left" w:pos="918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7920"/>
          <w:tab w:val="left" w:pos="918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General Instructions</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tabs>
          <w:tab w:val="left" w:pos="1440"/>
          <w:tab w:val="left" w:pos="7920"/>
          <w:tab w:val="left" w:pos="9180"/>
        </w:tabs>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tabs>
          <w:tab w:val="left" w:pos="1440"/>
          <w:tab w:val="left" w:pos="7920"/>
          <w:tab w:val="left" w:pos="9180"/>
        </w:tabs>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term “Issuer” includes the Issuer and any of its subsidiaries.</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tabs>
          <w:tab w:val="left" w:pos="1440"/>
          <w:tab w:val="left" w:pos="7920"/>
          <w:tab w:val="left" w:pos="9180"/>
        </w:tabs>
        <w:spacing w:after="280"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Terms used and not defined in this form are defined or interpreted in Policy 1 – Interpretation and General Provisions.</w:t>
      </w:r>
    </w:p>
    <w:p w:rsidR="00000000" w:rsidDel="00000000" w:rsidP="00000000" w:rsidRDefault="00000000" w:rsidRPr="00000000" w14:paraId="0000000C">
      <w:pPr>
        <w:keepLines w:val="1"/>
        <w:pBdr>
          <w:top w:space="0" w:sz="0" w:val="nil"/>
          <w:left w:space="0" w:sz="0" w:val="nil"/>
          <w:bottom w:space="0" w:sz="0" w:val="nil"/>
          <w:right w:space="0" w:sz="0" w:val="nil"/>
          <w:between w:space="0" w:sz="0" w:val="nil"/>
        </w:pBdr>
        <w:spacing w:before="12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Report on Business</w:t>
      </w:r>
    </w:p>
    <w:p w:rsidR="00000000" w:rsidDel="00000000" w:rsidP="00000000" w:rsidRDefault="00000000" w:rsidRPr="00000000" w14:paraId="0000000D">
      <w:pPr>
        <w:keepLines w:val="1"/>
        <w:pBdr>
          <w:top w:space="0" w:sz="0" w:val="nil"/>
          <w:left w:space="0" w:sz="0" w:val="nil"/>
          <w:bottom w:space="0" w:sz="0" w:val="nil"/>
          <w:right w:space="0" w:sz="0" w:val="nil"/>
          <w:between w:space="0" w:sz="0" w:val="nil"/>
        </w:pBdr>
        <w:spacing w:before="12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Provide a general overview and discussion of the development of the Issuer’s business and operations over the previous month.  Where the Issuer was inactive disclose this fact.</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br w:type="textWrapping"/>
        <w:t xml:space="preserve">On F</w:t>
      </w:r>
      <w:r w:rsidDel="00000000" w:rsidR="00000000" w:rsidRPr="00000000">
        <w:rPr>
          <w:rFonts w:ascii="Arial" w:cs="Arial" w:eastAsia="Arial" w:hAnsi="Arial"/>
          <w:b w:val="1"/>
          <w:sz w:val="24"/>
          <w:szCs w:val="24"/>
          <w:rtl w:val="0"/>
        </w:rPr>
        <w:t xml:space="preserve">ebruary 23rd, 2022 PeakBirch Logic Inc announced a change to PeakBirch Commerce Inc, and announced a shared consolidation of the its issued and outstanding common shares on the basis of one post-consolidation common share for every three pre-consolidation common shares.</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72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 February 24th, 2022 that it entered into an amending agreement, amending the share exchange agreement between PeakBirch and Greenlite Crowdfunding Corp completing the acquisition in full. </w:t>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080" w:hanging="108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Refer to #1</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and provide details of any products or services that were discontinued. For resource companies, provide details of any drilling, exploration or production programs that have been amended or abandoned.</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Refer to #1</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the expiry or termination of any contracts or agreements between the Issuer, the Issuer’s affiliates or third parties or cancellation of any financing arrangements that have been previously announced.</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5">
      <w:pPr>
        <w:ind w:left="72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None.</w:t>
      </w:r>
    </w:p>
    <w:p w:rsidR="00000000" w:rsidDel="00000000" w:rsidP="00000000" w:rsidRDefault="00000000" w:rsidRPr="00000000" w14:paraId="00000026">
      <w:pPr>
        <w:ind w:left="72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the acquisition of new customers or loss of customers.</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Not applicable.</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any new developments or effects on intangible products such as brand names, circulation lists, copyrights, franchises, licenses, patents, software, subscription lists and trade-marks.</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Not applicable.</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Report on any employee hirings, terminations or lay-offs with details of anticipated length of lay-offs.</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There were no employee activities.</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Report on any labour disputes and resolutions of those disputes if applicable.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Not applicable</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details of any indebtedness incurred or repaid by the Issuer together with the terms of such indebtedness.</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w:t>
      </w:r>
    </w:p>
    <w:p w:rsidR="00000000" w:rsidDel="00000000" w:rsidP="00000000" w:rsidRDefault="00000000" w:rsidRPr="00000000" w14:paraId="0000003F">
      <w:pPr>
        <w:spacing w:after="16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details of any securities issued and options or warrants granted.</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rPr>
          <w:cantSplit w:val="0"/>
          <w:tblHeader w:val="0"/>
        </w:trPr>
        <w:tc>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Security</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Number Issued</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Details of Issuance</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Use of Proceeds</w:t>
            </w:r>
            <w:r w:rsidDel="00000000" w:rsidR="00000000" w:rsidRPr="00000000">
              <w:rPr>
                <w:rFonts w:ascii="Arial" w:cs="Arial" w:eastAsia="Arial" w:hAnsi="Arial"/>
                <w:b w:val="1"/>
                <w:color w:val="000000"/>
                <w:sz w:val="24"/>
                <w:szCs w:val="24"/>
                <w:vertAlign w:val="superscript"/>
                <w:rtl w:val="0"/>
              </w:rPr>
              <w:t xml:space="preserve">(1)</w:t>
            </w:r>
            <w:r w:rsidDel="00000000" w:rsidR="00000000" w:rsidRPr="00000000">
              <w:rPr>
                <w:rtl w:val="0"/>
              </w:rPr>
            </w:r>
          </w:p>
        </w:tc>
      </w:tr>
      <w:tr>
        <w:trPr>
          <w:cantSplit w:val="0"/>
          <w:trHeight w:val="493.9453125" w:hRule="atLeast"/>
          <w:tblHeader w:val="0"/>
        </w:trPr>
        <w:tc>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Common Shares</w:t>
            </w:r>
            <w:r w:rsidDel="00000000" w:rsidR="00000000" w:rsidRPr="00000000">
              <w:rPr>
                <w:rtl w:val="0"/>
              </w:rPr>
            </w:r>
          </w:p>
        </w:tc>
        <w:tc>
          <w:tcPr/>
          <w:p w:rsidR="00000000" w:rsidDel="00000000" w:rsidP="00000000" w:rsidRDefault="00000000" w:rsidRPr="00000000" w14:paraId="00000047">
            <w:pP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5,000,000</w:t>
            </w: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360"/>
              </w:tabs>
              <w:spacing w:line="280" w:lineRule="auto"/>
              <w:jc w:val="left"/>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Acquisition of Greenlite</w:t>
            </w: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360"/>
              </w:tabs>
              <w:spacing w:line="280" w:lineRule="auto"/>
              <w:jc w:val="left"/>
              <w:rPr>
                <w:rFonts w:ascii="Arial" w:cs="Arial" w:eastAsia="Arial" w:hAnsi="Arial"/>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A">
            <w:pP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Common Shares</w:t>
            </w: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1,801,793</w:t>
            </w: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RSU</w:t>
            </w: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E">
            <w:pP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Common Shares</w:t>
            </w: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20,552,950</w:t>
            </w: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Debt Conversion</w:t>
            </w: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2">
            <w:pP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Common Shares</w:t>
            </w: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1,014,652</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RSU</w:t>
            </w: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6">
            <w:pP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Common Shares</w:t>
            </w: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378,663</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RSU</w:t>
            </w: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360"/>
        </w:tabs>
        <w:spacing w:before="120"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(1)</w:t>
        <w:tab/>
        <w:t xml:space="preserve">State aggregate proceeds and intended allocation of proceeds.</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360"/>
        </w:tabs>
        <w:ind w:left="720" w:firstLine="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5C">
      <w:pPr>
        <w:keepNext w:val="1"/>
        <w:keepLines w:val="1"/>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details of any loans to or by Related Persons.</w:t>
      </w:r>
    </w:p>
    <w:p w:rsidR="00000000" w:rsidDel="00000000" w:rsidP="00000000" w:rsidRDefault="00000000" w:rsidRPr="00000000" w14:paraId="0000005D">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E">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w:t>
      </w:r>
    </w:p>
    <w:p w:rsidR="00000000" w:rsidDel="00000000" w:rsidP="00000000" w:rsidRDefault="00000000" w:rsidRPr="00000000" w14:paraId="0000005F">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keepNext w:val="1"/>
        <w:keepLines w:val="1"/>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details of any changes in directors, officers or committee members.</w:t>
      </w:r>
    </w:p>
    <w:p w:rsidR="00000000" w:rsidDel="00000000" w:rsidP="00000000" w:rsidRDefault="00000000" w:rsidRPr="00000000" w14:paraId="00000061">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2">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w:t>
      </w:r>
    </w:p>
    <w:p w:rsidR="00000000" w:rsidDel="00000000" w:rsidP="00000000" w:rsidRDefault="00000000" w:rsidRPr="00000000" w14:paraId="00000063">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Discuss any trends which are likely to impact the Issuer including trends in the Issuer’s market(s) or political/regulatory trends.</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6">
      <w:pPr>
        <w:keepNext w:val="1"/>
        <w:pBdr>
          <w:top w:space="0" w:sz="0" w:val="nil"/>
          <w:left w:space="0" w:sz="0" w:val="nil"/>
          <w:bottom w:space="0" w:sz="0" w:val="nil"/>
          <w:right w:space="0" w:sz="0" w:val="nil"/>
          <w:between w:space="0" w:sz="0" w:val="nil"/>
        </w:pBdr>
        <w:ind w:firstLine="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w:t>
      </w:r>
    </w:p>
    <w:p w:rsidR="00000000" w:rsidDel="00000000" w:rsidP="00000000" w:rsidRDefault="00000000" w:rsidRPr="00000000" w14:paraId="00000067">
      <w:pPr>
        <w:keepNext w:val="1"/>
        <w:pBdr>
          <w:top w:space="0" w:sz="0" w:val="nil"/>
          <w:left w:space="0" w:sz="0" w:val="nil"/>
          <w:bottom w:space="0" w:sz="0" w:val="nil"/>
          <w:right w:space="0" w:sz="0" w:val="nil"/>
          <w:between w:space="0" w:sz="0" w:val="nil"/>
        </w:pBdr>
        <w:jc w:val="both"/>
        <w:rPr>
          <w:rFonts w:ascii="Arial" w:cs="Arial" w:eastAsia="Arial" w:hAnsi="Arial"/>
          <w:b w:val="1"/>
          <w:color w:val="000000"/>
          <w:sz w:val="24"/>
          <w:szCs w:val="24"/>
        </w:rPr>
      </w:pPr>
      <w:r w:rsidDel="00000000" w:rsidR="00000000" w:rsidRPr="00000000">
        <w:br w:type="page"/>
      </w:r>
      <w:r w:rsidDel="00000000" w:rsidR="00000000" w:rsidRPr="00000000">
        <w:rPr>
          <w:rFonts w:ascii="Arial" w:cs="Arial" w:eastAsia="Arial" w:hAnsi="Arial"/>
          <w:b w:val="1"/>
          <w:color w:val="000000"/>
          <w:sz w:val="24"/>
          <w:szCs w:val="24"/>
          <w:rtl w:val="0"/>
        </w:rPr>
        <w:t xml:space="preserve">Certificate Of Compliance</w:t>
      </w:r>
    </w:p>
    <w:p w:rsidR="00000000" w:rsidDel="00000000" w:rsidP="00000000" w:rsidRDefault="00000000" w:rsidRPr="00000000" w14:paraId="00000068">
      <w:pPr>
        <w:keepNext w:val="1"/>
        <w:pBdr>
          <w:top w:space="0" w:sz="0" w:val="nil"/>
          <w:left w:space="0" w:sz="0" w:val="nil"/>
          <w:bottom w:space="0" w:sz="0" w:val="nil"/>
          <w:right w:space="0" w:sz="0" w:val="nil"/>
          <w:between w:space="0" w:sz="0" w:val="nil"/>
        </w:pBdr>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undersigned hereby certifies that:</w:t>
      </w:r>
    </w:p>
    <w:p w:rsidR="00000000" w:rsidDel="00000000" w:rsidP="00000000" w:rsidRDefault="00000000" w:rsidRPr="00000000" w14:paraId="00000069">
      <w:pPr>
        <w:keepNext w:val="1"/>
        <w:numPr>
          <w:ilvl w:val="0"/>
          <w:numId w:val="1"/>
        </w:numPr>
        <w:pBdr>
          <w:top w:space="0" w:sz="0" w:val="nil"/>
          <w:left w:space="0" w:sz="0" w:val="nil"/>
          <w:bottom w:space="0" w:sz="0" w:val="nil"/>
          <w:right w:space="0" w:sz="0" w:val="nil"/>
          <w:between w:space="0" w:sz="0" w:val="nil"/>
        </w:pBdr>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undersigned is a director and/or senior officer of the Issuer and has been duly authorized by a resolution of the board of directors of the Issuer to sign this Certificate of Compliance.</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of the date hereof there were no material information concerning the Issuer which has not been publicly disclosed.</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undersigned hereby certifies to the Exchange that the Issuer is in compliance with the requirements of applicable securities legislation (as such term is defined in National Instrument 14-101) and all Exchange Requirements (as defined in CNSX Policy 1).</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of the information in this Form 7 Monthly Progress Report is true.</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4680"/>
          <w:tab w:val="left" w:pos="7200"/>
        </w:tabs>
        <w:spacing w:before="48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Dated: </w:t>
      </w:r>
      <w:r w:rsidDel="00000000" w:rsidR="00000000" w:rsidRPr="00000000">
        <w:rPr>
          <w:rFonts w:ascii="Arial" w:cs="Arial" w:eastAsia="Arial" w:hAnsi="Arial"/>
          <w:sz w:val="24"/>
          <w:szCs w:val="24"/>
          <w:rtl w:val="0"/>
        </w:rPr>
        <w:t xml:space="preserve">March</w:t>
      </w:r>
      <w:r w:rsidDel="00000000" w:rsidR="00000000" w:rsidRPr="00000000">
        <w:rPr>
          <w:rFonts w:ascii="Arial" w:cs="Arial" w:eastAsia="Arial" w:hAnsi="Arial"/>
          <w:color w:val="000000"/>
          <w:sz w:val="24"/>
          <w:szCs w:val="24"/>
          <w:rtl w:val="0"/>
        </w:rPr>
        <w:t xml:space="preserve"> 1st, 202</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                                          Name of Director or Senior Officer</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9180"/>
        </w:tabs>
        <w:ind w:left="57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9180"/>
        </w:tabs>
        <w:ind w:left="57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Marc Mulvaney</w:t>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pos="9180"/>
        </w:tabs>
        <w:ind w:left="57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9180"/>
          <w:tab w:val="left" w:pos="9360"/>
        </w:tabs>
        <w:ind w:left="57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i w:val="1"/>
          <w:color w:val="000000"/>
          <w:sz w:val="24"/>
          <w:szCs w:val="24"/>
          <w:rtl w:val="0"/>
        </w:rPr>
        <w:t xml:space="preserve">Marc Mulvaney</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9180"/>
          <w:tab w:val="left" w:pos="9360"/>
        </w:tabs>
        <w:ind w:left="57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9180"/>
        </w:tabs>
        <w:ind w:left="5760" w:firstLine="0"/>
        <w:jc w:val="both"/>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Pr>
        <w:drawing>
          <wp:inline distB="0" distT="0" distL="0" distR="0">
            <wp:extent cx="1650612" cy="1023003"/>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50612" cy="1023003"/>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9180"/>
        </w:tabs>
        <w:ind w:left="576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CEO, Director</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9180"/>
        </w:tabs>
        <w:ind w:left="5760" w:firstLine="0"/>
        <w:jc w:val="both"/>
        <w:rPr>
          <w:rFonts w:ascii="Arial" w:cs="Arial" w:eastAsia="Arial" w:hAnsi="Arial"/>
          <w:color w:val="000000"/>
          <w:sz w:val="24"/>
          <w:szCs w:val="24"/>
        </w:rPr>
      </w:pPr>
      <w:r w:rsidDel="00000000" w:rsidR="00000000" w:rsidRPr="00000000">
        <w:rPr>
          <w:rtl w:val="0"/>
        </w:rPr>
      </w:r>
    </w:p>
    <w:tbl>
      <w:tblPr>
        <w:tblStyle w:val="Table2"/>
        <w:tblW w:w="9576.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4644"/>
        <w:gridCol w:w="2034"/>
        <w:gridCol w:w="2898"/>
        <w:tblGridChange w:id="0">
          <w:tblGrid>
            <w:gridCol w:w="4644"/>
            <w:gridCol w:w="2034"/>
            <w:gridCol w:w="2898"/>
          </w:tblGrid>
        </w:tblGridChange>
      </w:tblGrid>
      <w:tr>
        <w:trPr>
          <w:cantSplit w:val="0"/>
          <w:tblHeader w:val="0"/>
        </w:trPr>
        <w:tc>
          <w:tcPr>
            <w:tcBorders>
              <w:top w:color="000000" w:space="0" w:sz="18" w:val="single"/>
              <w:bottom w:color="000000" w:space="0" w:sz="0" w:val="nil"/>
              <w:right w:color="000000" w:space="0" w:sz="18" w:val="single"/>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Issuer Details</w:t>
            </w:r>
          </w:p>
          <w:p w:rsidR="00000000" w:rsidDel="00000000" w:rsidP="00000000" w:rsidRDefault="00000000" w:rsidRPr="00000000" w14:paraId="00000077">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Issuer</w:t>
            </w:r>
          </w:p>
          <w:p w:rsidR="00000000" w:rsidDel="00000000" w:rsidP="00000000" w:rsidRDefault="00000000" w:rsidRPr="00000000" w14:paraId="00000078">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Peakbirch </w:t>
            </w:r>
            <w:r w:rsidDel="00000000" w:rsidR="00000000" w:rsidRPr="00000000">
              <w:rPr>
                <w:rFonts w:ascii="Arial" w:cs="Arial" w:eastAsia="Arial" w:hAnsi="Arial"/>
                <w:sz w:val="24"/>
                <w:szCs w:val="24"/>
                <w:rtl w:val="0"/>
              </w:rPr>
              <w:t xml:space="preserve">Commerce</w:t>
            </w:r>
            <w:r w:rsidDel="00000000" w:rsidR="00000000" w:rsidRPr="00000000">
              <w:rPr>
                <w:rFonts w:ascii="Arial" w:cs="Arial" w:eastAsia="Arial" w:hAnsi="Arial"/>
                <w:color w:val="000000"/>
                <w:sz w:val="24"/>
                <w:szCs w:val="24"/>
                <w:rtl w:val="0"/>
              </w:rPr>
              <w:t xml:space="preserve"> Inc. </w:t>
            </w:r>
          </w:p>
        </w:tc>
        <w:tc>
          <w:tcPr>
            <w:tcBorders>
              <w:top w:color="000000" w:space="0" w:sz="18" w:val="single"/>
              <w:left w:color="000000" w:space="0" w:sz="18" w:val="single"/>
              <w:bottom w:color="000000" w:space="0" w:sz="0" w:val="nil"/>
              <w:right w:color="000000" w:space="0" w:sz="18"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Month End</w:t>
            </w:r>
          </w:p>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Feb</w:t>
            </w:r>
            <w:r w:rsidDel="00000000" w:rsidR="00000000" w:rsidRPr="00000000">
              <w:rPr>
                <w:rFonts w:ascii="Arial" w:cs="Arial" w:eastAsia="Arial" w:hAnsi="Arial"/>
                <w:color w:val="000000"/>
                <w:sz w:val="24"/>
                <w:szCs w:val="24"/>
                <w:rtl w:val="0"/>
              </w:rPr>
              <w:t xml:space="preserve"> 202</w:t>
            </w:r>
            <w:r w:rsidDel="00000000" w:rsidR="00000000" w:rsidRPr="00000000">
              <w:rPr>
                <w:rFonts w:ascii="Arial" w:cs="Arial" w:eastAsia="Arial" w:hAnsi="Arial"/>
                <w:sz w:val="24"/>
                <w:szCs w:val="24"/>
                <w:rtl w:val="0"/>
              </w:rPr>
              <w:t xml:space="preserve">2</w:t>
            </w:r>
            <w:r w:rsidDel="00000000" w:rsidR="00000000" w:rsidRPr="00000000">
              <w:rPr>
                <w:rtl w:val="0"/>
              </w:rPr>
            </w:r>
          </w:p>
        </w:tc>
        <w:tc>
          <w:tcPr>
            <w:tcBorders>
              <w:top w:color="000000" w:space="0" w:sz="18" w:val="single"/>
              <w:left w:color="000000" w:space="0" w:sz="18" w:val="single"/>
              <w:bottom w:color="000000" w:space="0" w:sz="0" w:val="nil"/>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of Report</w:t>
            </w:r>
          </w:p>
          <w:p w:rsidR="00000000" w:rsidDel="00000000" w:rsidP="00000000" w:rsidRDefault="00000000" w:rsidRPr="00000000" w14:paraId="0000007C">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YY/MM/DD</w:t>
            </w:r>
          </w:p>
          <w:p w:rsidR="00000000" w:rsidDel="00000000" w:rsidP="00000000" w:rsidRDefault="00000000" w:rsidRPr="00000000" w14:paraId="0000007D">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03</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01</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22</w:t>
            </w:r>
            <w:r w:rsidDel="00000000" w:rsidR="00000000" w:rsidRPr="00000000">
              <w:rPr>
                <w:rtl w:val="0"/>
              </w:rPr>
            </w:r>
          </w:p>
        </w:tc>
      </w:tr>
      <w:tr>
        <w:trPr>
          <w:cantSplit w:val="0"/>
          <w:trHeight w:val="729" w:hRule="atLeast"/>
          <w:tblHeader w:val="0"/>
        </w:trPr>
        <w:tc>
          <w:tcPr>
            <w:gridSpan w:val="3"/>
            <w:tcBorders>
              <w:top w:color="000000" w:space="0" w:sz="18" w:val="single"/>
              <w:bottom w:color="000000" w:space="0" w:sz="18"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Issuer Address</w:t>
            </w:r>
          </w:p>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#400 – 837 W. Hastings Street</w:t>
            </w:r>
          </w:p>
        </w:tc>
      </w:tr>
      <w:tr>
        <w:trPr>
          <w:cantSplit w:val="0"/>
          <w:tblHeader w:val="0"/>
        </w:trPr>
        <w:tc>
          <w:tcPr>
            <w:tcBorders>
              <w:top w:color="000000" w:space="0" w:sz="18" w:val="single"/>
              <w:bottom w:color="000000" w:space="0" w:sz="18" w:val="single"/>
              <w:right w:color="000000" w:space="0" w:sz="18"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City/Province/Postal Code</w:t>
            </w:r>
          </w:p>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Vancouver, BC V6C 3N6</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Issuer Fax No.</w:t>
            </w:r>
          </w:p>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c>
          <w:tcPr>
            <w:tcBorders>
              <w:top w:color="000000" w:space="0" w:sz="18" w:val="single"/>
              <w:left w:color="000000" w:space="0" w:sz="18" w:val="single"/>
              <w:bottom w:color="000000" w:space="0" w:sz="18"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Issuer Telephone No.</w:t>
            </w:r>
          </w:p>
          <w:p w:rsidR="00000000" w:rsidDel="00000000" w:rsidP="00000000" w:rsidRDefault="00000000" w:rsidRPr="00000000" w14:paraId="00000087">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Verdana" w:cs="Verdana" w:eastAsia="Verdana" w:hAnsi="Verdana"/>
                <w:color w:val="000000"/>
                <w:rtl w:val="0"/>
              </w:rPr>
              <w:t xml:space="preserve">702-695-5582 </w:t>
            </w:r>
            <w:r w:rsidDel="00000000" w:rsidR="00000000" w:rsidRPr="00000000">
              <w:rPr>
                <w:rtl w:val="0"/>
              </w:rPr>
            </w:r>
          </w:p>
        </w:tc>
      </w:tr>
      <w:tr>
        <w:trPr>
          <w:cantSplit w:val="0"/>
          <w:tblHeader w:val="0"/>
        </w:trPr>
        <w:tc>
          <w:tcPr>
            <w:tcBorders>
              <w:top w:color="000000" w:space="0" w:sz="18" w:val="single"/>
              <w:bottom w:color="000000" w:space="0" w:sz="18" w:val="single"/>
              <w:right w:color="000000" w:space="0" w:sz="18" w:val="single"/>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Contact Name</w:t>
            </w:r>
          </w:p>
          <w:p w:rsidR="00000000" w:rsidDel="00000000" w:rsidP="00000000" w:rsidRDefault="00000000" w:rsidRPr="00000000" w14:paraId="00000089">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Marc Mulvaney</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Contact Position</w:t>
            </w:r>
          </w:p>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CEO, Director</w:t>
            </w:r>
          </w:p>
        </w:tc>
        <w:tc>
          <w:tcPr>
            <w:tcBorders>
              <w:top w:color="000000" w:space="0" w:sz="18" w:val="single"/>
              <w:left w:color="000000" w:space="0" w:sz="18" w:val="single"/>
              <w:bottom w:color="000000" w:space="0" w:sz="18"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Contact Telephone No.</w:t>
            </w:r>
          </w:p>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Verdana" w:cs="Verdana" w:eastAsia="Verdana" w:hAnsi="Verdana"/>
                <w:color w:val="000000"/>
                <w:rtl w:val="0"/>
              </w:rPr>
              <w:t xml:space="preserve">702-695-5582 </w:t>
            </w:r>
            <w:r w:rsidDel="00000000" w:rsidR="00000000" w:rsidRPr="00000000">
              <w:rPr>
                <w:rtl w:val="0"/>
              </w:rPr>
            </w:r>
          </w:p>
        </w:tc>
      </w:tr>
      <w:tr>
        <w:trPr>
          <w:cantSplit w:val="0"/>
          <w:tblHeader w:val="0"/>
        </w:trPr>
        <w:tc>
          <w:tcPr>
            <w:tcBorders>
              <w:top w:color="000000" w:space="0" w:sz="18" w:val="single"/>
              <w:bottom w:color="000000" w:space="0" w:sz="18" w:val="single"/>
              <w:right w:color="000000" w:space="0" w:sz="18" w:val="single"/>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Contact Email Address</w:t>
            </w:r>
          </w:p>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investors@peakbirch.</w:t>
            </w:r>
            <w:r w:rsidDel="00000000" w:rsidR="00000000" w:rsidRPr="00000000">
              <w:rPr>
                <w:rFonts w:ascii="Arial" w:cs="Arial" w:eastAsia="Arial" w:hAnsi="Arial"/>
                <w:sz w:val="24"/>
                <w:szCs w:val="24"/>
                <w:rtl w:val="0"/>
              </w:rPr>
              <w:t xml:space="preserve">com</w:t>
            </w:r>
            <w:r w:rsidDel="00000000" w:rsidR="00000000" w:rsidRPr="00000000">
              <w:rPr>
                <w:rtl w:val="0"/>
              </w:rPr>
            </w:r>
          </w:p>
        </w:tc>
        <w:tc>
          <w:tcPr>
            <w:gridSpan w:val="2"/>
            <w:tcBorders>
              <w:top w:color="000000" w:space="0" w:sz="18" w:val="single"/>
              <w:left w:color="000000" w:space="0" w:sz="18" w:val="single"/>
              <w:bottom w:color="000000" w:space="0" w:sz="18"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Web Site Address</w:t>
            </w:r>
          </w:p>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Peakbirch.com</w:t>
            </w:r>
          </w:p>
        </w:tc>
      </w:tr>
    </w:tbl>
    <w:p w:rsidR="00000000" w:rsidDel="00000000" w:rsidP="00000000" w:rsidRDefault="00000000" w:rsidRPr="00000000" w14:paraId="00000093">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720"/>
      </w:pPr>
      <w:rPr>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qFormat w:val="1"/>
    <w:rsid w:val="00B857A7"/>
    <w:rPr>
      <w:lang w:val="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BodyText"/>
    <w:link w:val="TitleChar"/>
    <w:uiPriority w:val="10"/>
    <w:qFormat w:val="1"/>
    <w:rsid w:val="00B857A7"/>
    <w:pPr>
      <w:spacing w:after="240"/>
      <w:jc w:val="center"/>
    </w:pPr>
    <w:rPr>
      <w:rFonts w:ascii="Arial" w:hAnsi="Arial"/>
      <w:b w:val="1"/>
      <w:sz w:val="40"/>
    </w:rPr>
  </w:style>
  <w:style w:type="paragraph" w:styleId="BodyText">
    <w:name w:val="Body Text"/>
    <w:basedOn w:val="Normal"/>
    <w:link w:val="BodyTextChar"/>
    <w:rsid w:val="00B857A7"/>
    <w:pPr>
      <w:spacing w:before="240"/>
    </w:pPr>
    <w:rPr>
      <w:sz w:val="24"/>
      <w:lang w:val="en-GB"/>
    </w:rPr>
  </w:style>
  <w:style w:type="character" w:styleId="BodyTextChar" w:customStyle="1">
    <w:name w:val="Body Text Char"/>
    <w:basedOn w:val="DefaultParagraphFont"/>
    <w:link w:val="BodyText"/>
    <w:rsid w:val="00B857A7"/>
    <w:rPr>
      <w:rFonts w:ascii="Times New Roman" w:cs="Times New Roman" w:eastAsia="Times New Roman" w:hAnsi="Times New Roman"/>
      <w:sz w:val="24"/>
      <w:szCs w:val="20"/>
      <w:lang w:val="en-GB"/>
    </w:rPr>
  </w:style>
  <w:style w:type="paragraph" w:styleId="List">
    <w:name w:val="List"/>
    <w:basedOn w:val="BodyText"/>
    <w:rsid w:val="00B857A7"/>
    <w:pPr>
      <w:ind w:left="1080" w:hanging="1080"/>
    </w:pPr>
  </w:style>
  <w:style w:type="character" w:styleId="TitleChar" w:customStyle="1">
    <w:name w:val="Title Char"/>
    <w:basedOn w:val="DefaultParagraphFont"/>
    <w:link w:val="Title"/>
    <w:rsid w:val="00B857A7"/>
    <w:rPr>
      <w:rFonts w:ascii="Arial" w:cs="Times New Roman" w:eastAsia="Times New Roman" w:hAnsi="Arial"/>
      <w:b w:val="1"/>
      <w:sz w:val="40"/>
      <w:szCs w:val="20"/>
      <w:lang w:val="en-GB"/>
    </w:rPr>
  </w:style>
  <w:style w:type="paragraph" w:styleId="NormalWeb">
    <w:name w:val="Normal (Web)"/>
    <w:basedOn w:val="Normal"/>
    <w:uiPriority w:val="99"/>
    <w:unhideWhenUsed w:val="1"/>
    <w:rsid w:val="00B857A7"/>
    <w:pPr>
      <w:spacing w:after="100" w:afterAutospacing="1" w:before="100" w:beforeAutospacing="1"/>
    </w:pPr>
    <w:rPr>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ua8kZ5OrPJb59O7glr8K9Yj6TQ==">AMUW2mWiHbyr6dnonnzEcRzigVMgyEAhUIm3su+yty3gsWQlaDuNfBYe7bfBVaje2+uNZ2Ck8+5S/A51xe7R+rULYiH8oWVDKa5uoMdpL8WI19T9Jd7PWs0yvkyYOYfbwUVanw8gJz6V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2021-10-15T21:06:00Z</dcterms:created>
  <dc:creator>Danilen Villanueva</dc:creator>
</cp:coreProperties>
</file>