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6253C80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17D61">
        <w:rPr>
          <w:rFonts w:ascii="Arial" w:hAnsi="Arial"/>
          <w:b/>
          <w:color w:val="000000"/>
          <w:u w:val="single"/>
        </w:rPr>
        <w:t>Pinnacle North Gold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28962D0C"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17D61">
        <w:rPr>
          <w:rFonts w:ascii="Arial" w:hAnsi="Arial"/>
          <w:b/>
          <w:color w:val="000000"/>
          <w:u w:val="single"/>
        </w:rPr>
        <w:t>PGG</w:t>
      </w:r>
      <w:r>
        <w:rPr>
          <w:rFonts w:ascii="Arial" w:hAnsi="Arial"/>
          <w:color w:val="000000"/>
          <w:u w:val="single"/>
        </w:rPr>
        <w:tab/>
      </w:r>
      <w:r>
        <w:rPr>
          <w:rFonts w:ascii="Arial" w:hAnsi="Arial"/>
          <w:color w:val="000000"/>
          <w:u w:val="single"/>
        </w:rPr>
        <w:tab/>
      </w:r>
    </w:p>
    <w:p w14:paraId="58CCD69C" w14:textId="7E07C0B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17D61">
        <w:rPr>
          <w:rFonts w:ascii="Arial" w:hAnsi="Arial"/>
          <w:b/>
          <w:color w:val="000000"/>
          <w:u w:val="single"/>
        </w:rPr>
        <w:t>10,</w:t>
      </w:r>
      <w:r w:rsidR="00695970">
        <w:rPr>
          <w:rFonts w:ascii="Arial" w:hAnsi="Arial"/>
          <w:b/>
          <w:color w:val="000000"/>
          <w:u w:val="single"/>
        </w:rPr>
        <w:t>910</w:t>
      </w:r>
      <w:r w:rsidR="00517D61">
        <w:rPr>
          <w:rFonts w:ascii="Arial" w:hAnsi="Arial"/>
          <w:b/>
          <w:color w:val="000000"/>
          <w:u w:val="single"/>
        </w:rPr>
        <w:t>,500</w:t>
      </w:r>
      <w:r>
        <w:rPr>
          <w:rFonts w:ascii="Arial" w:hAnsi="Arial"/>
          <w:color w:val="000000"/>
          <w:u w:val="single"/>
        </w:rPr>
        <w:tab/>
      </w:r>
      <w:r>
        <w:rPr>
          <w:rFonts w:ascii="Arial" w:hAnsi="Arial"/>
          <w:color w:val="000000"/>
          <w:u w:val="single"/>
        </w:rPr>
        <w:tab/>
      </w:r>
    </w:p>
    <w:p w14:paraId="4551F60A" w14:textId="4681E61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E17DA">
        <w:rPr>
          <w:rFonts w:ascii="Arial" w:hAnsi="Arial"/>
          <w:b/>
          <w:color w:val="000000"/>
          <w:u w:val="single"/>
        </w:rPr>
        <w:t>March</w:t>
      </w:r>
      <w:r w:rsidR="001A5DFD">
        <w:rPr>
          <w:rFonts w:ascii="Arial" w:hAnsi="Arial"/>
          <w:b/>
          <w:color w:val="000000"/>
          <w:u w:val="single"/>
        </w:rPr>
        <w:t xml:space="preserve"> 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6D56354C" w14:textId="00A570B7" w:rsidR="00695970" w:rsidRPr="00517D61" w:rsidRDefault="000E17DA" w:rsidP="00517D61">
      <w:pPr>
        <w:autoSpaceDE w:val="0"/>
        <w:autoSpaceDN w:val="0"/>
        <w:adjustRightInd w:val="0"/>
        <w:ind w:left="720"/>
        <w:jc w:val="both"/>
        <w:rPr>
          <w:rFonts w:ascii="Arial" w:hAnsi="Arial" w:cs="Arial"/>
          <w:b/>
          <w:bCs/>
          <w:sz w:val="32"/>
          <w:szCs w:val="24"/>
        </w:rPr>
      </w:pPr>
      <w:r>
        <w:rPr>
          <w:rFonts w:ascii="Arial" w:hAnsi="Arial" w:cs="Arial"/>
          <w:b/>
          <w:bCs/>
          <w:color w:val="000000"/>
          <w:sz w:val="24"/>
          <w:szCs w:val="24"/>
          <w:shd w:val="clear" w:color="auto" w:fill="FFFFFF"/>
        </w:rPr>
        <w:t>No developments during March 2020.</w:t>
      </w:r>
    </w:p>
    <w:p w14:paraId="29EC575D" w14:textId="77777777" w:rsidR="00564E92" w:rsidRDefault="00564E92" w:rsidP="0085769A">
      <w:pPr>
        <w:pStyle w:val="List"/>
        <w:spacing w:before="0"/>
        <w:jc w:val="both"/>
        <w:rPr>
          <w:rFonts w:ascii="Arial" w:hAnsi="Arial"/>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14ED4AE5" w:rsidR="00517D61" w:rsidRP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r w:rsidRPr="00517D61">
        <w:rPr>
          <w:rFonts w:ascii="Arial" w:hAnsi="Arial" w:cs="Arial"/>
          <w:b/>
          <w:bCs/>
          <w:color w:val="000000"/>
          <w:sz w:val="24"/>
          <w:szCs w:val="24"/>
          <w:shd w:val="clear" w:color="auto" w:fill="FFFFFF"/>
        </w:rPr>
        <w:t>The Company is a Canadian junior mineral exploration company.  Currently, the Company’s sole asset consists of the optioned Donna Property located approximately 63 km east of Vernon, British Columbia and covering approximately 9,421 hectares.</w:t>
      </w:r>
    </w:p>
    <w:p w14:paraId="7466B90E"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C86C115" w14:textId="77777777" w:rsidR="00564E92" w:rsidRDefault="00564E92" w:rsidP="00517D61">
      <w:pPr>
        <w:pStyle w:val="List"/>
        <w:spacing w:before="0"/>
        <w:ind w:hanging="360"/>
        <w:jc w:val="both"/>
        <w:rPr>
          <w:rFonts w:ascii="Arial" w:hAnsi="Arial" w:cs="Arial"/>
          <w:b/>
          <w:szCs w:val="24"/>
        </w:rPr>
      </w:pPr>
      <w:r w:rsidRPr="001F7AA8">
        <w:rPr>
          <w:rFonts w:ascii="Arial" w:hAnsi="Arial" w:cs="Arial"/>
          <w:b/>
          <w:szCs w:val="24"/>
        </w:rPr>
        <w:t>N/A</w:t>
      </w:r>
    </w:p>
    <w:p w14:paraId="08AA362C" w14:textId="77777777" w:rsidR="00564E92" w:rsidRDefault="00564E92" w:rsidP="0085769A">
      <w:pPr>
        <w:pStyle w:val="List"/>
        <w:spacing w:before="0"/>
        <w:ind w:hanging="360"/>
        <w:jc w:val="both"/>
        <w:rPr>
          <w:rFonts w:ascii="Arial" w:hAnsi="Arial"/>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104F1F56"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4671D346" w14:textId="77777777" w:rsidR="00564E92" w:rsidRDefault="00564E92" w:rsidP="0085769A">
      <w:pPr>
        <w:pStyle w:val="List"/>
        <w:spacing w:before="0"/>
        <w:jc w:val="both"/>
        <w:rPr>
          <w:rFonts w:ascii="Arial" w:hAnsi="Arial"/>
        </w:rPr>
      </w:pPr>
    </w:p>
    <w:p w14:paraId="17C304A4" w14:textId="2D1D284F" w:rsidR="00640E94" w:rsidRDefault="00640E94" w:rsidP="00517D6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77777777" w:rsidR="00517D61" w:rsidRDefault="00517D61">
      <w:pPr>
        <w:rPr>
          <w:rFonts w:ascii="Arial" w:hAnsi="Arial" w:cs="Arial"/>
          <w:b/>
          <w:sz w:val="24"/>
          <w:szCs w:val="24"/>
          <w:lang w:val="en-GB"/>
        </w:rPr>
      </w:pPr>
      <w:r>
        <w:rPr>
          <w:rFonts w:ascii="Arial" w:hAnsi="Arial" w:cs="Arial"/>
          <w:b/>
          <w:szCs w:val="24"/>
        </w:rPr>
        <w:br w:type="page"/>
      </w: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149321" w14:textId="77777777" w:rsidR="00564E92" w:rsidRDefault="00564E92" w:rsidP="0085769A">
      <w:pPr>
        <w:pStyle w:val="List"/>
        <w:spacing w:before="0"/>
        <w:jc w:val="both"/>
        <w:rPr>
          <w:rFonts w:ascii="Arial" w:hAnsi="Arial"/>
        </w:rPr>
      </w:pPr>
    </w:p>
    <w:p w14:paraId="735D0C29" w14:textId="1BCB6B9B" w:rsidR="00640E94" w:rsidRDefault="00640E94" w:rsidP="00517D61">
      <w:pPr>
        <w:pStyle w:val="List"/>
        <w:numPr>
          <w:ilvl w:val="0"/>
          <w:numId w:val="28"/>
        </w:numPr>
        <w:spacing w:before="0"/>
        <w:jc w:val="both"/>
        <w:rPr>
          <w:rFonts w:ascii="Arial" w:hAnsi="Arial"/>
        </w:rPr>
      </w:pPr>
      <w:r>
        <w:rPr>
          <w:rFonts w:ascii="Arial" w:hAnsi="Arial"/>
        </w:rPr>
        <w:t>Report on any employee hirings, terminations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4898EF5" w14:textId="77777777" w:rsidR="00564E92" w:rsidRDefault="00564E92" w:rsidP="0085769A">
      <w:pPr>
        <w:pStyle w:val="List"/>
        <w:spacing w:before="0"/>
        <w:jc w:val="both"/>
        <w:rPr>
          <w:rFonts w:ascii="Arial" w:hAnsi="Arial"/>
        </w:rPr>
      </w:pPr>
    </w:p>
    <w:p w14:paraId="7C3E165B" w14:textId="5B7C53D2"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49D29EB4" w14:textId="245EF360" w:rsidR="00FF3FD9" w:rsidRDefault="00FF3FD9" w:rsidP="00910F17">
      <w:pPr>
        <w:pStyle w:val="List"/>
        <w:spacing w:before="120" w:after="120"/>
        <w:ind w:left="720" w:firstLine="0"/>
        <w:jc w:val="both"/>
        <w:rPr>
          <w:rFonts w:ascii="Arial" w:hAnsi="Arial"/>
        </w:rPr>
      </w:pPr>
    </w:p>
    <w:p w14:paraId="34B49EC7" w14:textId="77777777" w:rsidR="00517D61" w:rsidRDefault="00517D61">
      <w:pPr>
        <w:rPr>
          <w:rFonts w:ascii="Arial" w:hAnsi="Arial"/>
          <w:sz w:val="24"/>
          <w:lang w:val="en-GB"/>
        </w:rPr>
      </w:pPr>
      <w:r>
        <w:rPr>
          <w:rFonts w:ascii="Arial" w:hAnsi="Arial"/>
        </w:rPr>
        <w:br w:type="page"/>
      </w: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6782C2B5" w14:textId="77777777" w:rsidR="00517D61" w:rsidRDefault="00517D61" w:rsidP="00517D61">
      <w:pPr>
        <w:pStyle w:val="List"/>
        <w:spacing w:before="0"/>
        <w:ind w:left="720" w:firstLine="0"/>
        <w:jc w:val="both"/>
        <w:rPr>
          <w:rFonts w:ascii="Arial" w:hAnsi="Arial"/>
        </w:rPr>
      </w:pP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3118"/>
        <w:gridCol w:w="2777"/>
      </w:tblGrid>
      <w:tr w:rsidR="00640E94" w14:paraId="1A452A92" w14:textId="77777777" w:rsidTr="00FF3FD9">
        <w:tc>
          <w:tcPr>
            <w:tcW w:w="1305" w:type="dxa"/>
          </w:tcPr>
          <w:p w14:paraId="79B9D0F6"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Security</w:t>
            </w:r>
          </w:p>
        </w:tc>
        <w:tc>
          <w:tcPr>
            <w:tcW w:w="1559" w:type="dxa"/>
          </w:tcPr>
          <w:p w14:paraId="689265DA"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Number Issued</w:t>
            </w:r>
          </w:p>
        </w:tc>
        <w:tc>
          <w:tcPr>
            <w:tcW w:w="3118" w:type="dxa"/>
          </w:tcPr>
          <w:p w14:paraId="535A3908" w14:textId="77777777" w:rsidR="00640E94" w:rsidRDefault="00640E94" w:rsidP="00FF3FD9">
            <w:pPr>
              <w:pStyle w:val="List"/>
              <w:tabs>
                <w:tab w:val="left" w:pos="360"/>
              </w:tabs>
              <w:spacing w:before="0" w:line="280" w:lineRule="exact"/>
              <w:ind w:left="0" w:firstLine="0"/>
              <w:rPr>
                <w:rFonts w:ascii="Arial" w:hAnsi="Arial"/>
                <w:b/>
              </w:rPr>
            </w:pPr>
            <w:r>
              <w:rPr>
                <w:rFonts w:ascii="Arial" w:hAnsi="Arial"/>
                <w:b/>
              </w:rPr>
              <w:t>Details of Issuance</w:t>
            </w:r>
          </w:p>
        </w:tc>
        <w:tc>
          <w:tcPr>
            <w:tcW w:w="2777" w:type="dxa"/>
          </w:tcPr>
          <w:p w14:paraId="474AC3C5" w14:textId="6A5E9D8F"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sidR="00FF3FD9">
              <w:rPr>
                <w:rFonts w:ascii="Arial" w:hAnsi="Arial"/>
                <w:b/>
              </w:rPr>
              <w:t xml:space="preserve"> </w:t>
            </w:r>
            <w:r w:rsidRPr="00FF3FD9">
              <w:rPr>
                <w:rFonts w:ascii="Arial" w:hAnsi="Arial"/>
                <w:bCs/>
                <w:vertAlign w:val="superscript"/>
              </w:rPr>
              <w:t>(1)</w:t>
            </w:r>
          </w:p>
        </w:tc>
      </w:tr>
      <w:tr w:rsidR="00640E94" w14:paraId="36F66812" w14:textId="77777777" w:rsidTr="00FF3FD9">
        <w:tc>
          <w:tcPr>
            <w:tcW w:w="1305" w:type="dxa"/>
          </w:tcPr>
          <w:p w14:paraId="6A7ED9E2" w14:textId="71E7B777" w:rsidR="00640E94" w:rsidRDefault="00640E94" w:rsidP="00FF3FD9">
            <w:pPr>
              <w:pStyle w:val="List"/>
              <w:tabs>
                <w:tab w:val="left" w:pos="360"/>
              </w:tabs>
              <w:spacing w:before="60" w:after="60" w:line="280" w:lineRule="exact"/>
              <w:ind w:left="0" w:firstLine="0"/>
              <w:jc w:val="both"/>
              <w:rPr>
                <w:rFonts w:ascii="Arial" w:hAnsi="Arial"/>
              </w:rPr>
            </w:pPr>
          </w:p>
        </w:tc>
        <w:tc>
          <w:tcPr>
            <w:tcW w:w="1559" w:type="dxa"/>
          </w:tcPr>
          <w:p w14:paraId="1F79B1CF" w14:textId="1E5192EC" w:rsidR="00640E94" w:rsidRDefault="00640E94" w:rsidP="00FF3FD9">
            <w:pPr>
              <w:pStyle w:val="List"/>
              <w:tabs>
                <w:tab w:val="left" w:pos="360"/>
              </w:tabs>
              <w:spacing w:before="60" w:after="60" w:line="280" w:lineRule="exact"/>
              <w:ind w:left="0" w:firstLine="0"/>
              <w:jc w:val="both"/>
              <w:rPr>
                <w:rFonts w:ascii="Arial" w:hAnsi="Arial"/>
              </w:rPr>
            </w:pPr>
          </w:p>
        </w:tc>
        <w:tc>
          <w:tcPr>
            <w:tcW w:w="3118" w:type="dxa"/>
          </w:tcPr>
          <w:p w14:paraId="1AA70B99" w14:textId="1AC1F7F1" w:rsidR="00640E94" w:rsidRDefault="00640E94" w:rsidP="00FF3FD9">
            <w:pPr>
              <w:pStyle w:val="List"/>
              <w:tabs>
                <w:tab w:val="left" w:pos="360"/>
              </w:tabs>
              <w:spacing w:before="60" w:after="60" w:line="280" w:lineRule="exact"/>
              <w:ind w:left="0" w:firstLine="0"/>
              <w:rPr>
                <w:rFonts w:ascii="Arial" w:hAnsi="Arial"/>
              </w:rPr>
            </w:pPr>
          </w:p>
        </w:tc>
        <w:tc>
          <w:tcPr>
            <w:tcW w:w="2777" w:type="dxa"/>
          </w:tcPr>
          <w:p w14:paraId="1574A54E" w14:textId="77E4ACB1" w:rsidR="00FF3FD9" w:rsidRDefault="00FF3FD9" w:rsidP="00FF3FD9">
            <w:pPr>
              <w:pStyle w:val="List"/>
              <w:tabs>
                <w:tab w:val="left" w:pos="360"/>
              </w:tabs>
              <w:spacing w:before="60" w:after="60" w:line="280" w:lineRule="exact"/>
              <w:ind w:left="0" w:firstLine="0"/>
              <w:rPr>
                <w:rFonts w:ascii="Arial" w:hAnsi="Arial"/>
              </w:rPr>
            </w:pPr>
          </w:p>
        </w:tc>
      </w:tr>
    </w:tbl>
    <w:p w14:paraId="672547D2" w14:textId="02D9B8CB" w:rsidR="00640E94" w:rsidRPr="00FF3FD9" w:rsidRDefault="00640E94" w:rsidP="00FF3FD9">
      <w:pPr>
        <w:pStyle w:val="List"/>
        <w:numPr>
          <w:ilvl w:val="0"/>
          <w:numId w:val="29"/>
        </w:numPr>
        <w:tabs>
          <w:tab w:val="left" w:pos="360"/>
        </w:tabs>
        <w:spacing w:before="12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3E6BD75C" w14:textId="1E74910B" w:rsidR="00A63AB0" w:rsidRPr="00B746C8" w:rsidRDefault="00A63AB0" w:rsidP="00517D61">
      <w:pPr>
        <w:pStyle w:val="List"/>
        <w:tabs>
          <w:tab w:val="left" w:pos="360"/>
        </w:tabs>
        <w:spacing w:before="0"/>
        <w:ind w:left="720" w:firstLine="0"/>
        <w:jc w:val="both"/>
        <w:rPr>
          <w:rFonts w:ascii="Arial" w:hAnsi="Arial"/>
          <w:b/>
        </w:rPr>
      </w:pPr>
      <w:r>
        <w:rPr>
          <w:rFonts w:ascii="Arial" w:hAnsi="Arial"/>
          <w:b/>
        </w:rPr>
        <w:t>N/A</w:t>
      </w:r>
    </w:p>
    <w:p w14:paraId="6FD61467" w14:textId="77777777" w:rsidR="00FF3FD9" w:rsidRDefault="00FF3FD9" w:rsidP="00517D61">
      <w:pPr>
        <w:pStyle w:val="List"/>
        <w:tabs>
          <w:tab w:val="left" w:pos="360"/>
        </w:tabs>
        <w:spacing w:before="0"/>
        <w:ind w:left="1440" w:firstLine="0"/>
        <w:jc w:val="both"/>
        <w:rPr>
          <w:rFonts w:ascii="Arial" w:hAnsi="Arial"/>
          <w:i/>
        </w:rPr>
      </w:pPr>
    </w:p>
    <w:p w14:paraId="1C412BF7" w14:textId="391B1640"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038DE809" w14:textId="35BB6D0A" w:rsidR="00564E92" w:rsidRPr="00A63AB0" w:rsidRDefault="00517D61" w:rsidP="00517D61">
      <w:pPr>
        <w:pStyle w:val="MediumGrid21"/>
        <w:ind w:left="720"/>
        <w:rPr>
          <w:rFonts w:ascii="Arial" w:hAnsi="Arial" w:cs="Arial"/>
          <w:b/>
          <w:sz w:val="24"/>
        </w:rPr>
      </w:pPr>
      <w:r>
        <w:rPr>
          <w:rFonts w:ascii="Arial" w:hAnsi="Arial" w:cs="Arial"/>
          <w:b/>
          <w:sz w:val="24"/>
        </w:rPr>
        <w:t>N/A</w:t>
      </w:r>
    </w:p>
    <w:p w14:paraId="164B523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52DA3B5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9247159" w14:textId="77777777" w:rsidR="00640E94" w:rsidRDefault="00640E94">
      <w:pPr>
        <w:pStyle w:val="BodyText"/>
        <w:keepNext/>
        <w:rPr>
          <w:rFonts w:ascii="Arial" w:hAnsi="Arial"/>
        </w:rPr>
      </w:pPr>
      <w:r>
        <w:rPr>
          <w:rFonts w:ascii="Arial" w:hAnsi="Arial"/>
        </w:rPr>
        <w:t>The undersigned hereby certifies that:</w:t>
      </w:r>
    </w:p>
    <w:p w14:paraId="261D21E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AA41B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CA8803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74BC3A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09DB94D" w14:textId="3B88FBB6"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E17DA">
        <w:rPr>
          <w:rFonts w:ascii="Arial" w:hAnsi="Arial"/>
          <w:b/>
          <w:bCs/>
          <w:u w:val="single"/>
        </w:rPr>
        <w:t>April 4</w:t>
      </w:r>
      <w:r w:rsidR="00564E92" w:rsidRPr="00564E92">
        <w:rPr>
          <w:rFonts w:ascii="Arial" w:hAnsi="Arial"/>
          <w:b/>
          <w:bCs/>
          <w:u w:val="single"/>
        </w:rPr>
        <w:t>, 20</w:t>
      </w:r>
      <w:r w:rsidR="006F645C">
        <w:rPr>
          <w:rFonts w:ascii="Arial" w:hAnsi="Arial"/>
          <w:b/>
          <w:bCs/>
          <w:u w:val="single"/>
        </w:rPr>
        <w:t>20</w:t>
      </w:r>
      <w:r>
        <w:rPr>
          <w:rFonts w:ascii="Arial" w:hAnsi="Arial"/>
          <w:u w:val="single"/>
        </w:rPr>
        <w:tab/>
      </w:r>
      <w:r>
        <w:rPr>
          <w:rFonts w:ascii="Arial" w:hAnsi="Arial"/>
        </w:rPr>
        <w:t>.</w:t>
      </w:r>
    </w:p>
    <w:p w14:paraId="6DDAC4CB" w14:textId="02AE882F" w:rsidR="00640E94" w:rsidRDefault="00640E94">
      <w:pPr>
        <w:pStyle w:val="List"/>
        <w:tabs>
          <w:tab w:val="left" w:pos="9180"/>
        </w:tabs>
        <w:ind w:left="5760" w:hanging="5760"/>
        <w:rPr>
          <w:rFonts w:ascii="Arial" w:hAnsi="Arial"/>
        </w:rPr>
      </w:pPr>
      <w:r>
        <w:rPr>
          <w:rFonts w:ascii="Arial" w:hAnsi="Arial"/>
        </w:rPr>
        <w:tab/>
      </w:r>
      <w:r w:rsidR="00742ACB">
        <w:rPr>
          <w:rFonts w:ascii="Arial" w:hAnsi="Arial"/>
          <w:b/>
          <w:bCs/>
          <w:u w:val="single"/>
        </w:rPr>
        <w:t>Hani Zabaneh</w:t>
      </w:r>
      <w:r>
        <w:rPr>
          <w:rFonts w:ascii="Arial" w:hAnsi="Arial"/>
          <w:u w:val="single"/>
        </w:rPr>
        <w:tab/>
      </w:r>
      <w:r>
        <w:rPr>
          <w:rFonts w:ascii="Arial" w:hAnsi="Arial"/>
          <w:u w:val="single"/>
        </w:rPr>
        <w:br/>
      </w:r>
      <w:r>
        <w:rPr>
          <w:rFonts w:ascii="Arial" w:hAnsi="Arial"/>
        </w:rPr>
        <w:t>Name of Director or Senior Officer</w:t>
      </w:r>
    </w:p>
    <w:p w14:paraId="7CBC8977" w14:textId="52B1C699" w:rsidR="00640E94" w:rsidRDefault="00640E94">
      <w:pPr>
        <w:pStyle w:val="List"/>
        <w:tabs>
          <w:tab w:val="left" w:pos="9180"/>
          <w:tab w:val="left" w:pos="9360"/>
        </w:tabs>
        <w:ind w:left="5760" w:hanging="5760"/>
        <w:rPr>
          <w:rFonts w:ascii="Arial" w:hAnsi="Arial"/>
        </w:rPr>
      </w:pPr>
      <w:r>
        <w:rPr>
          <w:rFonts w:ascii="Arial" w:hAnsi="Arial"/>
        </w:rPr>
        <w:tab/>
      </w:r>
      <w:r w:rsidR="00564E92" w:rsidRPr="00DD1725">
        <w:rPr>
          <w:rFonts w:ascii="Arial" w:hAnsi="Arial"/>
          <w:b/>
          <w:bCs/>
          <w:i/>
          <w:u w:val="single"/>
        </w:rPr>
        <w:t>/s/ “</w:t>
      </w:r>
      <w:r w:rsidR="00742ACB">
        <w:rPr>
          <w:rFonts w:ascii="Arial" w:hAnsi="Arial"/>
          <w:b/>
          <w:bCs/>
          <w:i/>
          <w:iCs/>
          <w:u w:val="single"/>
        </w:rPr>
        <w:t>Hani Zabaneh</w:t>
      </w:r>
      <w:r w:rsidR="00564E92" w:rsidRPr="00DD1725">
        <w:rPr>
          <w:rFonts w:ascii="Arial" w:hAnsi="Arial"/>
          <w:b/>
          <w:bCs/>
          <w:i/>
          <w:u w:val="single"/>
        </w:rPr>
        <w:t>”</w:t>
      </w:r>
      <w:r>
        <w:rPr>
          <w:rFonts w:ascii="Arial" w:hAnsi="Arial"/>
          <w:u w:val="single"/>
        </w:rPr>
        <w:tab/>
      </w:r>
      <w:r>
        <w:rPr>
          <w:rFonts w:ascii="Arial" w:hAnsi="Arial"/>
        </w:rPr>
        <w:br/>
        <w:t>Signature</w:t>
      </w:r>
    </w:p>
    <w:p w14:paraId="67F2A5D2" w14:textId="77777777" w:rsidR="00564E92" w:rsidRDefault="00564E92">
      <w:pPr>
        <w:pStyle w:val="BodyText"/>
        <w:tabs>
          <w:tab w:val="left" w:pos="9180"/>
        </w:tabs>
        <w:spacing w:before="0"/>
        <w:ind w:left="5760"/>
        <w:rPr>
          <w:rFonts w:ascii="Arial" w:hAnsi="Arial"/>
          <w:u w:val="single"/>
        </w:rPr>
      </w:pPr>
    </w:p>
    <w:p w14:paraId="62D05269" w14:textId="3037E027" w:rsidR="00640E94" w:rsidRDefault="00836B68">
      <w:pPr>
        <w:pStyle w:val="BodyText"/>
        <w:tabs>
          <w:tab w:val="left" w:pos="9180"/>
        </w:tabs>
        <w:spacing w:before="0"/>
        <w:ind w:left="5760"/>
        <w:rPr>
          <w:rFonts w:ascii="Arial" w:hAnsi="Arial"/>
        </w:rPr>
      </w:pPr>
      <w:r>
        <w:rPr>
          <w:rFonts w:ascii="Arial" w:hAnsi="Arial"/>
          <w:b/>
          <w:bCs/>
          <w:u w:val="single"/>
        </w:rPr>
        <w:t>CEO</w:t>
      </w:r>
      <w:r w:rsidR="00640E94">
        <w:rPr>
          <w:rFonts w:ascii="Arial" w:hAnsi="Arial"/>
          <w:u w:val="single"/>
        </w:rPr>
        <w:tab/>
      </w:r>
      <w:r w:rsidR="00640E94">
        <w:rPr>
          <w:rFonts w:ascii="Arial" w:hAnsi="Arial"/>
        </w:rPr>
        <w:br/>
        <w:t>Official Capacity</w:t>
      </w:r>
      <w:bookmarkEnd w:id="4"/>
    </w:p>
    <w:p w14:paraId="6CF6804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640E94" w14:paraId="14FA97EB" w14:textId="77777777" w:rsidTr="00564E92">
        <w:tc>
          <w:tcPr>
            <w:tcW w:w="4878" w:type="dxa"/>
            <w:tcBorders>
              <w:top w:val="single" w:sz="18" w:space="0" w:color="auto"/>
              <w:bottom w:val="nil"/>
              <w:right w:val="single" w:sz="18" w:space="0" w:color="auto"/>
            </w:tcBorders>
          </w:tcPr>
          <w:p w14:paraId="47A4007B" w14:textId="77777777" w:rsidR="00640E94" w:rsidRDefault="00640E94">
            <w:pPr>
              <w:pStyle w:val="BodyText"/>
              <w:spacing w:before="0"/>
              <w:rPr>
                <w:rFonts w:ascii="Arial" w:hAnsi="Arial"/>
                <w:b/>
                <w:i/>
              </w:rPr>
            </w:pPr>
            <w:r>
              <w:rPr>
                <w:rFonts w:ascii="Arial" w:hAnsi="Arial"/>
                <w:b/>
                <w:i/>
              </w:rPr>
              <w:t>Issuer Details</w:t>
            </w:r>
          </w:p>
          <w:p w14:paraId="79B33CAE" w14:textId="77777777" w:rsidR="00640E94" w:rsidRDefault="00640E94">
            <w:pPr>
              <w:pStyle w:val="BodyText"/>
              <w:spacing w:before="0"/>
              <w:rPr>
                <w:rFonts w:ascii="Arial" w:hAnsi="Arial"/>
              </w:rPr>
            </w:pPr>
            <w:r>
              <w:rPr>
                <w:rFonts w:ascii="Arial" w:hAnsi="Arial"/>
              </w:rPr>
              <w:t>Name of Issuer</w:t>
            </w:r>
          </w:p>
          <w:p w14:paraId="6C2BE2C8" w14:textId="052105C9" w:rsidR="00640E94" w:rsidRDefault="00742ACB" w:rsidP="00564E92">
            <w:pPr>
              <w:pStyle w:val="BodyText"/>
              <w:spacing w:before="0"/>
              <w:rPr>
                <w:rFonts w:ascii="Arial" w:hAnsi="Arial"/>
              </w:rPr>
            </w:pPr>
            <w:r>
              <w:rPr>
                <w:rFonts w:ascii="Arial" w:hAnsi="Arial"/>
                <w:b/>
                <w:bCs/>
              </w:rPr>
              <w:t>Pinnacle North Gold Corp.</w:t>
            </w:r>
          </w:p>
        </w:tc>
        <w:tc>
          <w:tcPr>
            <w:tcW w:w="2176" w:type="dxa"/>
            <w:tcBorders>
              <w:top w:val="single" w:sz="18" w:space="0" w:color="auto"/>
              <w:left w:val="single" w:sz="18" w:space="0" w:color="auto"/>
              <w:bottom w:val="nil"/>
              <w:right w:val="single" w:sz="18" w:space="0" w:color="auto"/>
            </w:tcBorders>
          </w:tcPr>
          <w:p w14:paraId="6AA8115C" w14:textId="77777777" w:rsidR="00640E94" w:rsidRDefault="00640E94">
            <w:pPr>
              <w:pStyle w:val="BodyText"/>
              <w:spacing w:before="0"/>
              <w:rPr>
                <w:rFonts w:ascii="Arial" w:hAnsi="Arial"/>
              </w:rPr>
            </w:pPr>
            <w:r>
              <w:rPr>
                <w:rFonts w:ascii="Arial" w:hAnsi="Arial"/>
              </w:rPr>
              <w:t>For  Month End</w:t>
            </w:r>
          </w:p>
          <w:p w14:paraId="777530EF" w14:textId="77777777" w:rsidR="00742ACB" w:rsidRDefault="00742ACB">
            <w:pPr>
              <w:pStyle w:val="BodyText"/>
              <w:spacing w:before="0"/>
              <w:rPr>
                <w:rFonts w:ascii="Arial" w:hAnsi="Arial"/>
                <w:b/>
                <w:bCs/>
              </w:rPr>
            </w:pPr>
          </w:p>
          <w:p w14:paraId="4CAED641" w14:textId="30F4B05F" w:rsidR="00564E92" w:rsidRDefault="000E17DA">
            <w:pPr>
              <w:pStyle w:val="BodyText"/>
              <w:spacing w:before="0"/>
              <w:rPr>
                <w:rFonts w:ascii="Arial" w:hAnsi="Arial"/>
              </w:rPr>
            </w:pPr>
            <w:r>
              <w:rPr>
                <w:rFonts w:ascii="Arial" w:hAnsi="Arial"/>
                <w:b/>
                <w:bCs/>
              </w:rPr>
              <w:t>March</w:t>
            </w:r>
            <w:r w:rsidR="00FF3FD9">
              <w:rPr>
                <w:rFonts w:ascii="Arial" w:hAnsi="Arial"/>
                <w:b/>
                <w:bCs/>
              </w:rPr>
              <w:t xml:space="preserve"> 2020</w:t>
            </w:r>
          </w:p>
        </w:tc>
        <w:tc>
          <w:tcPr>
            <w:tcW w:w="2522" w:type="dxa"/>
            <w:tcBorders>
              <w:top w:val="single" w:sz="18" w:space="0" w:color="auto"/>
              <w:left w:val="single" w:sz="18" w:space="0" w:color="auto"/>
              <w:bottom w:val="nil"/>
            </w:tcBorders>
          </w:tcPr>
          <w:p w14:paraId="6A5E61AA" w14:textId="77777777" w:rsidR="00640E94" w:rsidRPr="00564E92" w:rsidRDefault="00640E94">
            <w:pPr>
              <w:pStyle w:val="BodyText"/>
              <w:spacing w:before="0"/>
              <w:rPr>
                <w:rFonts w:ascii="Arial" w:hAnsi="Arial"/>
              </w:rPr>
            </w:pPr>
            <w:r w:rsidRPr="00564E92">
              <w:rPr>
                <w:rFonts w:ascii="Arial" w:hAnsi="Arial"/>
              </w:rPr>
              <w:t>Date of Report</w:t>
            </w:r>
          </w:p>
          <w:p w14:paraId="41D59FBC" w14:textId="77777777" w:rsidR="00640E94" w:rsidRPr="00564E92" w:rsidRDefault="00640E94">
            <w:pPr>
              <w:pStyle w:val="BodyText"/>
              <w:spacing w:before="0"/>
              <w:rPr>
                <w:rFonts w:ascii="Arial" w:hAnsi="Arial"/>
              </w:rPr>
            </w:pPr>
            <w:r w:rsidRPr="00564E92">
              <w:rPr>
                <w:rFonts w:ascii="Arial" w:hAnsi="Arial"/>
              </w:rPr>
              <w:t>YY/MM/D</w:t>
            </w:r>
          </w:p>
          <w:p w14:paraId="3B5DB521" w14:textId="3C3BE8AC" w:rsidR="00564E92" w:rsidRPr="00564E92" w:rsidRDefault="00FF3FD9">
            <w:pPr>
              <w:pStyle w:val="BodyText"/>
              <w:spacing w:before="0"/>
              <w:rPr>
                <w:rFonts w:ascii="Arial" w:hAnsi="Arial"/>
                <w:b/>
                <w:bCs/>
              </w:rPr>
            </w:pPr>
            <w:r>
              <w:rPr>
                <w:rFonts w:ascii="Arial" w:hAnsi="Arial"/>
                <w:b/>
                <w:bCs/>
              </w:rPr>
              <w:t>20</w:t>
            </w:r>
            <w:r w:rsidR="00564E92" w:rsidRPr="00564E92">
              <w:rPr>
                <w:rFonts w:ascii="Arial" w:hAnsi="Arial"/>
                <w:b/>
                <w:bCs/>
              </w:rPr>
              <w:t>/</w:t>
            </w:r>
            <w:r>
              <w:rPr>
                <w:rFonts w:ascii="Arial" w:hAnsi="Arial"/>
                <w:b/>
                <w:bCs/>
              </w:rPr>
              <w:t>0</w:t>
            </w:r>
            <w:r w:rsidR="000E17DA">
              <w:rPr>
                <w:rFonts w:ascii="Arial" w:hAnsi="Arial"/>
                <w:b/>
                <w:bCs/>
              </w:rPr>
              <w:t>4</w:t>
            </w:r>
            <w:r w:rsidR="00564E92" w:rsidRPr="00564E92">
              <w:rPr>
                <w:rFonts w:ascii="Arial" w:hAnsi="Arial"/>
                <w:b/>
                <w:bCs/>
              </w:rPr>
              <w:t>/</w:t>
            </w:r>
            <w:r w:rsidR="000E17DA">
              <w:rPr>
                <w:rFonts w:ascii="Arial" w:hAnsi="Arial"/>
                <w:b/>
                <w:bCs/>
              </w:rPr>
              <w:t>4</w:t>
            </w:r>
          </w:p>
        </w:tc>
      </w:tr>
      <w:tr w:rsidR="00640E94" w14:paraId="67F1F9D3" w14:textId="77777777">
        <w:trPr>
          <w:cantSplit/>
        </w:trPr>
        <w:tc>
          <w:tcPr>
            <w:tcW w:w="9576" w:type="dxa"/>
            <w:gridSpan w:val="3"/>
            <w:tcBorders>
              <w:top w:val="single" w:sz="18" w:space="0" w:color="auto"/>
              <w:bottom w:val="single" w:sz="18" w:space="0" w:color="auto"/>
            </w:tcBorders>
          </w:tcPr>
          <w:p w14:paraId="6CA2DF8B" w14:textId="77777777" w:rsidR="00640E94" w:rsidRDefault="00640E94">
            <w:pPr>
              <w:pStyle w:val="BodyText"/>
              <w:spacing w:before="0"/>
              <w:rPr>
                <w:rFonts w:ascii="Arial" w:hAnsi="Arial"/>
              </w:rPr>
            </w:pPr>
            <w:r>
              <w:rPr>
                <w:rFonts w:ascii="Arial" w:hAnsi="Arial"/>
              </w:rPr>
              <w:t>Issuer Address</w:t>
            </w:r>
          </w:p>
          <w:p w14:paraId="3F66DB25" w14:textId="7047D783" w:rsidR="00640E94" w:rsidRDefault="00564E92" w:rsidP="00564E92">
            <w:pPr>
              <w:pStyle w:val="BodyText"/>
              <w:spacing w:before="0"/>
              <w:rPr>
                <w:rFonts w:ascii="Arial" w:hAnsi="Arial"/>
              </w:rPr>
            </w:pPr>
            <w:r w:rsidRPr="00564E92">
              <w:rPr>
                <w:rFonts w:ascii="Arial" w:hAnsi="Arial"/>
                <w:b/>
                <w:bCs/>
              </w:rPr>
              <w:t>918 - 1030 West Georgia Street</w:t>
            </w:r>
          </w:p>
        </w:tc>
      </w:tr>
      <w:tr w:rsidR="00640E94" w14:paraId="69B36B9F" w14:textId="77777777" w:rsidTr="00564E92">
        <w:tc>
          <w:tcPr>
            <w:tcW w:w="4878" w:type="dxa"/>
            <w:tcBorders>
              <w:top w:val="single" w:sz="18" w:space="0" w:color="auto"/>
              <w:bottom w:val="single" w:sz="18" w:space="0" w:color="auto"/>
              <w:right w:val="single" w:sz="18" w:space="0" w:color="auto"/>
            </w:tcBorders>
          </w:tcPr>
          <w:p w14:paraId="4909F642" w14:textId="77777777" w:rsidR="00640E94" w:rsidRDefault="00640E94">
            <w:pPr>
              <w:pStyle w:val="BodyText"/>
              <w:spacing w:before="0"/>
              <w:rPr>
                <w:rFonts w:ascii="Arial" w:hAnsi="Arial"/>
              </w:rPr>
            </w:pPr>
            <w:r>
              <w:rPr>
                <w:rFonts w:ascii="Arial" w:hAnsi="Arial"/>
              </w:rPr>
              <w:t>City/Province/Postal Code</w:t>
            </w:r>
          </w:p>
          <w:p w14:paraId="1E391D51" w14:textId="77777777" w:rsidR="00640E94" w:rsidRDefault="00564E92" w:rsidP="00564E92">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10267004" w14:textId="77777777" w:rsidR="00640E94" w:rsidRDefault="00640E94">
            <w:pPr>
              <w:pStyle w:val="BodyText"/>
              <w:spacing w:before="0"/>
              <w:rPr>
                <w:rFonts w:ascii="Arial" w:hAnsi="Arial"/>
              </w:rPr>
            </w:pPr>
            <w:r>
              <w:rPr>
                <w:rFonts w:ascii="Arial" w:hAnsi="Arial"/>
              </w:rPr>
              <w:t>Issuer Fax No.</w:t>
            </w:r>
          </w:p>
          <w:p w14:paraId="2DA3F6C9" w14:textId="77777777" w:rsidR="00640E94" w:rsidRDefault="00564E92">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063F52BE" w14:textId="77777777" w:rsidR="00640E94" w:rsidRDefault="00640E94">
            <w:pPr>
              <w:pStyle w:val="BodyText"/>
              <w:spacing w:before="0"/>
              <w:rPr>
                <w:rFonts w:ascii="Arial" w:hAnsi="Arial"/>
              </w:rPr>
            </w:pPr>
            <w:r>
              <w:rPr>
                <w:rFonts w:ascii="Arial" w:hAnsi="Arial"/>
              </w:rPr>
              <w:t>Issuer Telephone No.</w:t>
            </w:r>
          </w:p>
          <w:p w14:paraId="4655EEB5" w14:textId="5F0B8DEB" w:rsidR="00640E94" w:rsidRDefault="00564E92">
            <w:pPr>
              <w:pStyle w:val="BodyText"/>
              <w:spacing w:before="0"/>
              <w:rPr>
                <w:rFonts w:ascii="Arial" w:hAnsi="Arial"/>
              </w:rPr>
            </w:pPr>
            <w:r w:rsidRPr="00564E92">
              <w:rPr>
                <w:rFonts w:ascii="Arial" w:hAnsi="Arial"/>
                <w:b/>
                <w:bCs/>
              </w:rPr>
              <w:t xml:space="preserve">(604) </w:t>
            </w:r>
            <w:r w:rsidR="00742ACB">
              <w:rPr>
                <w:rFonts w:ascii="Arial" w:hAnsi="Arial"/>
                <w:b/>
                <w:bCs/>
              </w:rPr>
              <w:t>782</w:t>
            </w:r>
            <w:r w:rsidRPr="00564E92">
              <w:rPr>
                <w:rFonts w:ascii="Arial" w:hAnsi="Arial"/>
                <w:b/>
                <w:bCs/>
              </w:rPr>
              <w:t>-</w:t>
            </w:r>
            <w:r w:rsidR="00742ACB">
              <w:rPr>
                <w:rFonts w:ascii="Arial" w:hAnsi="Arial"/>
                <w:b/>
                <w:bCs/>
              </w:rPr>
              <w:t>4264</w:t>
            </w:r>
          </w:p>
        </w:tc>
      </w:tr>
      <w:tr w:rsidR="00640E94" w14:paraId="5EC0C8E0" w14:textId="77777777" w:rsidTr="00564E92">
        <w:tc>
          <w:tcPr>
            <w:tcW w:w="4878" w:type="dxa"/>
            <w:tcBorders>
              <w:top w:val="single" w:sz="18" w:space="0" w:color="auto"/>
              <w:bottom w:val="single" w:sz="18" w:space="0" w:color="auto"/>
              <w:right w:val="single" w:sz="18" w:space="0" w:color="auto"/>
            </w:tcBorders>
          </w:tcPr>
          <w:p w14:paraId="233492BF" w14:textId="77777777" w:rsidR="00640E94" w:rsidRDefault="00640E94">
            <w:pPr>
              <w:pStyle w:val="BodyText"/>
              <w:spacing w:before="0"/>
              <w:rPr>
                <w:rFonts w:ascii="Arial" w:hAnsi="Arial"/>
              </w:rPr>
            </w:pPr>
            <w:r>
              <w:rPr>
                <w:rFonts w:ascii="Arial" w:hAnsi="Arial"/>
              </w:rPr>
              <w:t>Contact Name</w:t>
            </w:r>
          </w:p>
          <w:p w14:paraId="01588ED4" w14:textId="5FE1378A" w:rsidR="00640E94" w:rsidRPr="00836B68" w:rsidRDefault="00742ACB">
            <w:pPr>
              <w:pStyle w:val="BodyText"/>
              <w:spacing w:before="0"/>
              <w:rPr>
                <w:rFonts w:ascii="Arial" w:hAnsi="Arial"/>
              </w:rPr>
            </w:pPr>
            <w:r>
              <w:rPr>
                <w:rFonts w:ascii="Arial" w:hAnsi="Arial"/>
                <w:b/>
                <w:bCs/>
              </w:rPr>
              <w:t>Hani Zabaneh</w:t>
            </w:r>
          </w:p>
        </w:tc>
        <w:tc>
          <w:tcPr>
            <w:tcW w:w="2176" w:type="dxa"/>
            <w:tcBorders>
              <w:top w:val="single" w:sz="18" w:space="0" w:color="auto"/>
              <w:left w:val="single" w:sz="18" w:space="0" w:color="auto"/>
              <w:bottom w:val="single" w:sz="18" w:space="0" w:color="auto"/>
              <w:right w:val="single" w:sz="18" w:space="0" w:color="auto"/>
            </w:tcBorders>
          </w:tcPr>
          <w:p w14:paraId="3D6BFB3C" w14:textId="77777777" w:rsidR="00640E94" w:rsidRPr="00564E92" w:rsidRDefault="00640E94">
            <w:pPr>
              <w:pStyle w:val="BodyText"/>
              <w:spacing w:before="0"/>
              <w:rPr>
                <w:rFonts w:ascii="Arial" w:hAnsi="Arial"/>
              </w:rPr>
            </w:pPr>
            <w:r w:rsidRPr="00564E92">
              <w:rPr>
                <w:rFonts w:ascii="Arial" w:hAnsi="Arial"/>
              </w:rPr>
              <w:t>Contact Position</w:t>
            </w:r>
          </w:p>
          <w:p w14:paraId="72920AAE" w14:textId="5CE9C90D" w:rsidR="00564E92" w:rsidRPr="00564E92" w:rsidRDefault="00836B68">
            <w:pPr>
              <w:pStyle w:val="BodyText"/>
              <w:spacing w:before="0"/>
              <w:rPr>
                <w:rFonts w:ascii="Arial" w:hAnsi="Arial"/>
                <w:b/>
                <w:bCs/>
              </w:rPr>
            </w:pPr>
            <w:r>
              <w:rPr>
                <w:rFonts w:ascii="Arial" w:hAnsi="Arial"/>
                <w:b/>
                <w:bCs/>
              </w:rPr>
              <w:t>CEO</w:t>
            </w:r>
          </w:p>
        </w:tc>
        <w:tc>
          <w:tcPr>
            <w:tcW w:w="2522" w:type="dxa"/>
            <w:tcBorders>
              <w:top w:val="single" w:sz="18" w:space="0" w:color="auto"/>
              <w:left w:val="single" w:sz="18" w:space="0" w:color="auto"/>
              <w:bottom w:val="single" w:sz="18" w:space="0" w:color="auto"/>
            </w:tcBorders>
          </w:tcPr>
          <w:p w14:paraId="67B0B15D" w14:textId="77777777" w:rsidR="00640E94" w:rsidRDefault="00640E94">
            <w:pPr>
              <w:pStyle w:val="BodyText"/>
              <w:spacing w:before="0"/>
              <w:rPr>
                <w:rFonts w:ascii="Arial" w:hAnsi="Arial"/>
              </w:rPr>
            </w:pPr>
            <w:r>
              <w:rPr>
                <w:rFonts w:ascii="Arial" w:hAnsi="Arial"/>
              </w:rPr>
              <w:t>Contact Telephone No.</w:t>
            </w:r>
          </w:p>
          <w:p w14:paraId="00913C3E" w14:textId="5790B40A" w:rsidR="00564E92" w:rsidRDefault="00564E92">
            <w:pPr>
              <w:pStyle w:val="BodyText"/>
              <w:spacing w:before="0"/>
              <w:rPr>
                <w:rFonts w:ascii="Arial" w:hAnsi="Arial"/>
              </w:rPr>
            </w:pPr>
            <w:r w:rsidRPr="00DF21B6">
              <w:rPr>
                <w:rFonts w:ascii="Arial" w:hAnsi="Arial"/>
                <w:b/>
                <w:bCs/>
              </w:rPr>
              <w:t xml:space="preserve">(604) </w:t>
            </w:r>
            <w:r w:rsidR="00742ACB">
              <w:rPr>
                <w:rFonts w:ascii="Arial" w:hAnsi="Arial"/>
                <w:b/>
                <w:bCs/>
              </w:rPr>
              <w:t>782-4264</w:t>
            </w:r>
          </w:p>
        </w:tc>
      </w:tr>
      <w:tr w:rsidR="00640E94" w14:paraId="30CCFA6F" w14:textId="77777777">
        <w:trPr>
          <w:cantSplit/>
        </w:trPr>
        <w:tc>
          <w:tcPr>
            <w:tcW w:w="4878" w:type="dxa"/>
            <w:tcBorders>
              <w:top w:val="single" w:sz="18" w:space="0" w:color="auto"/>
              <w:bottom w:val="single" w:sz="18" w:space="0" w:color="auto"/>
              <w:right w:val="single" w:sz="18" w:space="0" w:color="auto"/>
            </w:tcBorders>
          </w:tcPr>
          <w:p w14:paraId="24E7159D" w14:textId="77777777" w:rsidR="00640E94" w:rsidRDefault="00640E94">
            <w:pPr>
              <w:pStyle w:val="BodyText"/>
              <w:spacing w:before="0"/>
              <w:rPr>
                <w:rFonts w:ascii="Arial" w:hAnsi="Arial"/>
              </w:rPr>
            </w:pPr>
            <w:r>
              <w:rPr>
                <w:rFonts w:ascii="Arial" w:hAnsi="Arial"/>
              </w:rPr>
              <w:t>Contact Email Address</w:t>
            </w:r>
          </w:p>
          <w:p w14:paraId="5034FDFA" w14:textId="61F8F88F" w:rsidR="00640E94" w:rsidRDefault="00742ACB" w:rsidP="00564E92">
            <w:pPr>
              <w:pStyle w:val="BodyText"/>
              <w:spacing w:before="0"/>
              <w:rPr>
                <w:rFonts w:ascii="Arial" w:hAnsi="Arial"/>
              </w:rPr>
            </w:pPr>
            <w:r>
              <w:rPr>
                <w:rFonts w:ascii="Arial" w:hAnsi="Arial"/>
                <w:b/>
                <w:bCs/>
              </w:rPr>
              <w:t>hani@zabaneh.ca</w:t>
            </w:r>
          </w:p>
        </w:tc>
        <w:tc>
          <w:tcPr>
            <w:tcW w:w="4698" w:type="dxa"/>
            <w:gridSpan w:val="2"/>
            <w:tcBorders>
              <w:top w:val="single" w:sz="18" w:space="0" w:color="auto"/>
              <w:left w:val="single" w:sz="18" w:space="0" w:color="auto"/>
              <w:bottom w:val="single" w:sz="18" w:space="0" w:color="auto"/>
            </w:tcBorders>
          </w:tcPr>
          <w:p w14:paraId="1C0046C6" w14:textId="77777777" w:rsidR="00640E94" w:rsidRPr="00564E92" w:rsidRDefault="00640E94">
            <w:pPr>
              <w:pStyle w:val="BodyText"/>
              <w:spacing w:before="0"/>
              <w:rPr>
                <w:rFonts w:ascii="Arial" w:hAnsi="Arial"/>
              </w:rPr>
            </w:pPr>
            <w:r w:rsidRPr="00564E92">
              <w:rPr>
                <w:rFonts w:ascii="Arial" w:hAnsi="Arial"/>
              </w:rPr>
              <w:t>Web Site Address</w:t>
            </w:r>
          </w:p>
          <w:p w14:paraId="51A7E36F" w14:textId="77777777" w:rsidR="00640E94" w:rsidRPr="00564E92" w:rsidRDefault="00564E92">
            <w:pPr>
              <w:pStyle w:val="BodyText"/>
              <w:spacing w:before="0"/>
              <w:rPr>
                <w:rFonts w:ascii="Arial" w:hAnsi="Arial"/>
                <w:b/>
                <w:bCs/>
              </w:rPr>
            </w:pPr>
            <w:r w:rsidRPr="00564E92">
              <w:rPr>
                <w:rFonts w:ascii="Arial" w:hAnsi="Arial"/>
                <w:b/>
                <w:bCs/>
              </w:rPr>
              <w:t>N/A</w:t>
            </w:r>
          </w:p>
        </w:tc>
      </w:tr>
    </w:tbl>
    <w:p w14:paraId="42B03763"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545F" w14:textId="77777777" w:rsidR="00925D04" w:rsidRDefault="00925D04">
      <w:r>
        <w:separator/>
      </w:r>
    </w:p>
  </w:endnote>
  <w:endnote w:type="continuationSeparator" w:id="0">
    <w:p w14:paraId="30350EC8" w14:textId="77777777" w:rsidR="00925D04" w:rsidRDefault="009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B1A7" w14:textId="77777777" w:rsidR="00925D04" w:rsidRDefault="00925D04">
      <w:r>
        <w:separator/>
      </w:r>
    </w:p>
  </w:footnote>
  <w:footnote w:type="continuationSeparator" w:id="0">
    <w:p w14:paraId="066536F9" w14:textId="77777777" w:rsidR="00925D04" w:rsidRDefault="0092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A1AB1"/>
    <w:rsid w:val="000E17DA"/>
    <w:rsid w:val="001056F0"/>
    <w:rsid w:val="001A5DFD"/>
    <w:rsid w:val="001F2210"/>
    <w:rsid w:val="001F4A5F"/>
    <w:rsid w:val="002B582C"/>
    <w:rsid w:val="002C281E"/>
    <w:rsid w:val="002F00EB"/>
    <w:rsid w:val="003669A9"/>
    <w:rsid w:val="00371A64"/>
    <w:rsid w:val="00387FA8"/>
    <w:rsid w:val="00431103"/>
    <w:rsid w:val="00517D61"/>
    <w:rsid w:val="005453C8"/>
    <w:rsid w:val="00564E92"/>
    <w:rsid w:val="005927C5"/>
    <w:rsid w:val="005F095E"/>
    <w:rsid w:val="005F6D8F"/>
    <w:rsid w:val="00620E7F"/>
    <w:rsid w:val="00633ED3"/>
    <w:rsid w:val="00635E9A"/>
    <w:rsid w:val="00640E94"/>
    <w:rsid w:val="00695970"/>
    <w:rsid w:val="006D1A06"/>
    <w:rsid w:val="006F645C"/>
    <w:rsid w:val="00742ACB"/>
    <w:rsid w:val="00793415"/>
    <w:rsid w:val="007C7411"/>
    <w:rsid w:val="007F0866"/>
    <w:rsid w:val="00836B68"/>
    <w:rsid w:val="0085769A"/>
    <w:rsid w:val="008B7E92"/>
    <w:rsid w:val="00910F17"/>
    <w:rsid w:val="00922A46"/>
    <w:rsid w:val="00925D04"/>
    <w:rsid w:val="00961264"/>
    <w:rsid w:val="00A47914"/>
    <w:rsid w:val="00A63AB0"/>
    <w:rsid w:val="00B40665"/>
    <w:rsid w:val="00C27A18"/>
    <w:rsid w:val="00C6383E"/>
    <w:rsid w:val="00DD1725"/>
    <w:rsid w:val="00DF21B6"/>
    <w:rsid w:val="00E36141"/>
    <w:rsid w:val="00E83E58"/>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3</cp:revision>
  <cp:lastPrinted>2004-05-10T18:28:00Z</cp:lastPrinted>
  <dcterms:created xsi:type="dcterms:W3CDTF">2020-04-27T17:33:00Z</dcterms:created>
  <dcterms:modified xsi:type="dcterms:W3CDTF">2020-04-27T17:33:00Z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