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129BF" w14:textId="77777777" w:rsidR="006F4AF2" w:rsidRDefault="006F4AF2" w:rsidP="006E40BA">
      <w:pPr>
        <w:pStyle w:val="BodyText"/>
        <w:pBdr>
          <w:bottom w:val="single" w:sz="4" w:space="1" w:color="auto"/>
        </w:pBdr>
        <w:spacing w:before="0"/>
        <w:jc w:val="right"/>
        <w:rPr>
          <w:rFonts w:ascii="Calibri" w:hAnsi="Calibri" w:cs="Calibri"/>
          <w:b/>
          <w:sz w:val="28"/>
          <w:szCs w:val="28"/>
        </w:rPr>
      </w:pPr>
    </w:p>
    <w:p w14:paraId="397B8E41" w14:textId="77777777" w:rsidR="00261507" w:rsidRDefault="00261507" w:rsidP="006E40BA">
      <w:pPr>
        <w:pStyle w:val="BodyText"/>
        <w:pBdr>
          <w:bottom w:val="single" w:sz="4" w:space="1" w:color="auto"/>
        </w:pBdr>
        <w:spacing w:before="0"/>
        <w:jc w:val="center"/>
        <w:rPr>
          <w:rFonts w:ascii="Calibri" w:hAnsi="Calibri" w:cs="Calibri"/>
          <w:b/>
        </w:rPr>
      </w:pPr>
      <w:r w:rsidRPr="00261507">
        <w:rPr>
          <w:rFonts w:ascii="Calibri" w:hAnsi="Calibri" w:cs="Calibri"/>
          <w:b/>
        </w:rPr>
        <w:t xml:space="preserve">NOT FOR DISTRIBUTION TO </w:t>
      </w:r>
      <w:r>
        <w:rPr>
          <w:rFonts w:ascii="Calibri" w:hAnsi="Calibri" w:cs="Calibri"/>
          <w:b/>
        </w:rPr>
        <w:t>UNITED STATES</w:t>
      </w:r>
      <w:r w:rsidRPr="00261507">
        <w:rPr>
          <w:rFonts w:ascii="Calibri" w:hAnsi="Calibri" w:cs="Calibri"/>
          <w:b/>
        </w:rPr>
        <w:t xml:space="preserve"> NEWSWIRE SERVICES OR FOR DISSEMINATION IN THE UNITED STATES</w:t>
      </w:r>
    </w:p>
    <w:p w14:paraId="540D35D8" w14:textId="77777777" w:rsidR="00261507" w:rsidRDefault="00261507" w:rsidP="006E40BA">
      <w:pPr>
        <w:pStyle w:val="BodyText"/>
        <w:pBdr>
          <w:bottom w:val="single" w:sz="4" w:space="1" w:color="auto"/>
        </w:pBdr>
        <w:spacing w:before="0"/>
        <w:jc w:val="center"/>
        <w:rPr>
          <w:rFonts w:ascii="Calibri" w:hAnsi="Calibri" w:cs="Calibri"/>
          <w:b/>
        </w:rPr>
      </w:pPr>
    </w:p>
    <w:p w14:paraId="19D77E55" w14:textId="77777777" w:rsidR="00BF236D" w:rsidRDefault="006B199B" w:rsidP="00C20F6F">
      <w:pPr>
        <w:pStyle w:val="BodyText"/>
        <w:pBdr>
          <w:bottom w:val="single" w:sz="4" w:space="1" w:color="auto"/>
        </w:pBdr>
        <w:spacing w:before="0"/>
        <w:jc w:val="center"/>
        <w:rPr>
          <w:rFonts w:ascii="Calibri" w:hAnsi="Calibri" w:cs="Calibri"/>
          <w:b/>
        </w:rPr>
      </w:pPr>
      <w:r w:rsidRPr="006F4AF2">
        <w:rPr>
          <w:rFonts w:ascii="Calibri" w:hAnsi="Calibri" w:cs="Calibri"/>
          <w:b/>
        </w:rPr>
        <w:t>ONE WORLD MINERALS</w:t>
      </w:r>
      <w:r w:rsidR="00756C34">
        <w:rPr>
          <w:rFonts w:ascii="Calibri" w:hAnsi="Calibri" w:cs="Calibri"/>
          <w:b/>
        </w:rPr>
        <w:t xml:space="preserve"> </w:t>
      </w:r>
      <w:r w:rsidR="00C328A0">
        <w:rPr>
          <w:rFonts w:ascii="Calibri" w:hAnsi="Calibri" w:cs="Calibri"/>
          <w:b/>
        </w:rPr>
        <w:t>INC. ANNOUNC</w:t>
      </w:r>
      <w:r w:rsidR="00FF7E9B">
        <w:rPr>
          <w:rFonts w:ascii="Calibri" w:hAnsi="Calibri" w:cs="Calibri"/>
          <w:b/>
        </w:rPr>
        <w:t>ES</w:t>
      </w:r>
      <w:r w:rsidR="003F54F6">
        <w:rPr>
          <w:rFonts w:ascii="Calibri" w:hAnsi="Calibri" w:cs="Calibri"/>
          <w:b/>
        </w:rPr>
        <w:t xml:space="preserve"> </w:t>
      </w:r>
      <w:r w:rsidR="007A5562">
        <w:rPr>
          <w:rFonts w:ascii="Calibri" w:hAnsi="Calibri" w:cs="Calibri"/>
          <w:b/>
        </w:rPr>
        <w:t xml:space="preserve">PRIVATE PLACEMENT </w:t>
      </w:r>
    </w:p>
    <w:p w14:paraId="7B1634B4" w14:textId="77777777" w:rsidR="00C20F6F" w:rsidRPr="006F4AF2" w:rsidRDefault="00C20F6F" w:rsidP="00C20F6F">
      <w:pPr>
        <w:pStyle w:val="BodyText"/>
        <w:pBdr>
          <w:bottom w:val="single" w:sz="4" w:space="1" w:color="auto"/>
        </w:pBdr>
        <w:spacing w:before="0"/>
        <w:jc w:val="center"/>
        <w:rPr>
          <w:rFonts w:ascii="Calibri" w:hAnsi="Calibri" w:cs="Calibri"/>
          <w:b/>
          <w:sz w:val="22"/>
          <w:szCs w:val="22"/>
        </w:rPr>
      </w:pPr>
    </w:p>
    <w:p w14:paraId="1DF0D594" w14:textId="010833AF" w:rsidR="00C0538D" w:rsidRDefault="002E2664" w:rsidP="0000240D">
      <w:pPr>
        <w:pStyle w:val="NormalWeb"/>
        <w:shd w:val="clear" w:color="auto" w:fill="FFFFFF"/>
        <w:spacing w:before="0" w:beforeAutospacing="0" w:after="0" w:afterAutospacing="0"/>
        <w:jc w:val="both"/>
        <w:rPr>
          <w:rFonts w:ascii="Calibri" w:hAnsi="Calibri" w:cs="Helvetica"/>
          <w:color w:val="333333"/>
          <w:sz w:val="22"/>
          <w:szCs w:val="22"/>
        </w:rPr>
      </w:pPr>
      <w:r w:rsidRPr="00C94856">
        <w:rPr>
          <w:rFonts w:asciiTheme="minorHAnsi" w:hAnsiTheme="minorHAnsi" w:cstheme="minorHAnsi"/>
          <w:b/>
          <w:bCs/>
          <w:color w:val="000000"/>
          <w:sz w:val="22"/>
          <w:szCs w:val="22"/>
        </w:rPr>
        <w:t>Vanc</w:t>
      </w:r>
      <w:r w:rsidR="00DA110B" w:rsidRPr="00C94856">
        <w:rPr>
          <w:rFonts w:asciiTheme="minorHAnsi" w:hAnsiTheme="minorHAnsi" w:cstheme="minorHAnsi"/>
          <w:b/>
          <w:bCs/>
          <w:color w:val="000000"/>
          <w:sz w:val="22"/>
          <w:szCs w:val="22"/>
        </w:rPr>
        <w:t xml:space="preserve">ouver, BC, </w:t>
      </w:r>
      <w:r w:rsidR="00C0538D">
        <w:rPr>
          <w:rFonts w:asciiTheme="minorHAnsi" w:hAnsiTheme="minorHAnsi" w:cstheme="minorHAnsi"/>
          <w:b/>
          <w:bCs/>
          <w:color w:val="000000"/>
          <w:sz w:val="22"/>
          <w:szCs w:val="22"/>
        </w:rPr>
        <w:t>May</w:t>
      </w:r>
      <w:r w:rsidR="00C65187" w:rsidRPr="00C94856">
        <w:rPr>
          <w:rFonts w:asciiTheme="minorHAnsi" w:hAnsiTheme="minorHAnsi" w:cstheme="minorHAnsi"/>
          <w:b/>
          <w:bCs/>
          <w:color w:val="000000"/>
          <w:sz w:val="22"/>
          <w:szCs w:val="22"/>
        </w:rPr>
        <w:t xml:space="preserve"> </w:t>
      </w:r>
      <w:r w:rsidR="00453466">
        <w:rPr>
          <w:rFonts w:asciiTheme="minorHAnsi" w:hAnsiTheme="minorHAnsi" w:cstheme="minorHAnsi"/>
          <w:b/>
          <w:bCs/>
          <w:color w:val="000000"/>
          <w:sz w:val="22"/>
          <w:szCs w:val="22"/>
        </w:rPr>
        <w:t>12</w:t>
      </w:r>
      <w:r w:rsidRPr="00C94856">
        <w:rPr>
          <w:rFonts w:asciiTheme="minorHAnsi" w:hAnsiTheme="minorHAnsi" w:cstheme="minorHAnsi"/>
          <w:b/>
          <w:bCs/>
          <w:color w:val="000000"/>
          <w:sz w:val="22"/>
          <w:szCs w:val="22"/>
        </w:rPr>
        <w:t xml:space="preserve">, 2017 - </w:t>
      </w:r>
      <w:r w:rsidRPr="00C94856">
        <w:rPr>
          <w:rFonts w:asciiTheme="minorHAnsi" w:hAnsiTheme="minorHAnsi" w:cstheme="minorHAnsi"/>
          <w:color w:val="000000"/>
          <w:sz w:val="22"/>
          <w:szCs w:val="22"/>
        </w:rPr>
        <w:t>One World</w:t>
      </w:r>
      <w:r w:rsidRPr="00C94856">
        <w:rPr>
          <w:rFonts w:asciiTheme="minorHAnsi" w:hAnsiTheme="minorHAnsi" w:cstheme="minorHAnsi"/>
          <w:bCs/>
          <w:color w:val="000000"/>
          <w:sz w:val="22"/>
          <w:szCs w:val="22"/>
        </w:rPr>
        <w:t xml:space="preserve"> </w:t>
      </w:r>
      <w:r w:rsidRPr="00C94856">
        <w:rPr>
          <w:rFonts w:asciiTheme="minorHAnsi" w:hAnsiTheme="minorHAnsi" w:cstheme="minorHAnsi"/>
          <w:color w:val="000000"/>
          <w:sz w:val="22"/>
          <w:szCs w:val="22"/>
        </w:rPr>
        <w:t>Minerals</w:t>
      </w:r>
      <w:r w:rsidR="003F54F6" w:rsidRPr="00C94856">
        <w:rPr>
          <w:rFonts w:asciiTheme="minorHAnsi" w:hAnsiTheme="minorHAnsi" w:cstheme="minorHAnsi"/>
          <w:color w:val="000000"/>
          <w:sz w:val="22"/>
          <w:szCs w:val="22"/>
        </w:rPr>
        <w:t xml:space="preserve"> Inc. </w:t>
      </w:r>
      <w:r w:rsidRPr="00C94856">
        <w:rPr>
          <w:rFonts w:asciiTheme="minorHAnsi" w:hAnsiTheme="minorHAnsi" w:cstheme="minorHAnsi"/>
          <w:color w:val="000000"/>
          <w:sz w:val="22"/>
          <w:szCs w:val="22"/>
        </w:rPr>
        <w:t>(CSE:OWM</w:t>
      </w:r>
      <w:r w:rsidR="00E6748B" w:rsidRPr="00C94856">
        <w:rPr>
          <w:rFonts w:asciiTheme="minorHAnsi" w:hAnsiTheme="minorHAnsi" w:cstheme="minorHAnsi"/>
          <w:color w:val="000000"/>
          <w:sz w:val="22"/>
          <w:szCs w:val="22"/>
        </w:rPr>
        <w:t>)</w:t>
      </w:r>
      <w:r w:rsidR="003F54F6" w:rsidRPr="00C94856">
        <w:rPr>
          <w:rFonts w:asciiTheme="minorHAnsi" w:hAnsiTheme="minorHAnsi" w:cstheme="minorHAnsi"/>
          <w:color w:val="000000"/>
          <w:sz w:val="22"/>
          <w:szCs w:val="22"/>
        </w:rPr>
        <w:t xml:space="preserve"> (</w:t>
      </w:r>
      <w:r w:rsidR="00C94856" w:rsidRPr="00C94856">
        <w:rPr>
          <w:rFonts w:asciiTheme="minorHAnsi" w:hAnsiTheme="minorHAnsi" w:cstheme="minorHAnsi"/>
          <w:color w:val="000000"/>
          <w:sz w:val="22"/>
          <w:szCs w:val="22"/>
        </w:rPr>
        <w:t xml:space="preserve">the </w:t>
      </w:r>
      <w:r w:rsidR="007D0E63">
        <w:rPr>
          <w:rFonts w:asciiTheme="minorHAnsi" w:hAnsiTheme="minorHAnsi" w:cstheme="minorHAnsi"/>
          <w:color w:val="000000"/>
          <w:sz w:val="22"/>
          <w:szCs w:val="22"/>
        </w:rPr>
        <w:t>“</w:t>
      </w:r>
      <w:r w:rsidR="00C94856" w:rsidRPr="007D0E63">
        <w:rPr>
          <w:rFonts w:asciiTheme="minorHAnsi" w:hAnsiTheme="minorHAnsi" w:cstheme="minorHAnsi"/>
          <w:b/>
          <w:color w:val="000000"/>
          <w:sz w:val="22"/>
          <w:szCs w:val="22"/>
        </w:rPr>
        <w:t>Company</w:t>
      </w:r>
      <w:r w:rsidR="007D0E63">
        <w:rPr>
          <w:rFonts w:asciiTheme="minorHAnsi" w:hAnsiTheme="minorHAnsi" w:cstheme="minorHAnsi"/>
          <w:color w:val="000000"/>
          <w:sz w:val="22"/>
          <w:szCs w:val="22"/>
        </w:rPr>
        <w:t>”</w:t>
      </w:r>
      <w:r w:rsidR="003F54F6" w:rsidRPr="00C94856">
        <w:rPr>
          <w:rFonts w:asciiTheme="minorHAnsi" w:hAnsiTheme="minorHAnsi" w:cstheme="minorHAnsi"/>
          <w:color w:val="000000"/>
          <w:sz w:val="22"/>
          <w:szCs w:val="22"/>
        </w:rPr>
        <w:t>)</w:t>
      </w:r>
      <w:r w:rsidR="00E555B0" w:rsidRPr="00C94856">
        <w:rPr>
          <w:rFonts w:asciiTheme="minorHAnsi" w:hAnsiTheme="minorHAnsi" w:cstheme="minorHAnsi"/>
          <w:color w:val="000000"/>
          <w:sz w:val="22"/>
          <w:szCs w:val="22"/>
        </w:rPr>
        <w:t xml:space="preserve"> </w:t>
      </w:r>
      <w:r w:rsidR="002D2B0E">
        <w:rPr>
          <w:rFonts w:asciiTheme="minorHAnsi" w:hAnsiTheme="minorHAnsi" w:cstheme="minorHAnsi"/>
          <w:color w:val="000000"/>
          <w:sz w:val="22"/>
          <w:szCs w:val="22"/>
        </w:rPr>
        <w:t xml:space="preserve">today announces that the previous </w:t>
      </w:r>
      <w:r w:rsidR="007A5562" w:rsidRPr="00C94856">
        <w:rPr>
          <w:rFonts w:asciiTheme="minorHAnsi" w:hAnsiTheme="minorHAnsi" w:cstheme="minorHAnsi"/>
          <w:sz w:val="22"/>
          <w:szCs w:val="22"/>
        </w:rPr>
        <w:t xml:space="preserve">non-brokered private placement </w:t>
      </w:r>
      <w:r w:rsidR="002D2B0E">
        <w:rPr>
          <w:rFonts w:asciiTheme="minorHAnsi" w:hAnsiTheme="minorHAnsi" w:cstheme="minorHAnsi"/>
          <w:sz w:val="22"/>
          <w:szCs w:val="22"/>
        </w:rPr>
        <w:t xml:space="preserve">it announced on April 04, 2017 will be replaced with </w:t>
      </w:r>
      <w:r w:rsidR="002D2B0E" w:rsidRPr="002D2B0E">
        <w:rPr>
          <w:rFonts w:asciiTheme="minorHAnsi" w:hAnsiTheme="minorHAnsi" w:cstheme="minorHAnsi"/>
          <w:sz w:val="22"/>
          <w:szCs w:val="22"/>
        </w:rPr>
        <w:t xml:space="preserve">a </w:t>
      </w:r>
      <w:r w:rsidR="002D2B0E" w:rsidRPr="002D2B0E">
        <w:rPr>
          <w:rFonts w:ascii="Calibri" w:hAnsi="Calibri" w:cs="Helvetica"/>
          <w:color w:val="333333"/>
          <w:sz w:val="22"/>
          <w:szCs w:val="22"/>
        </w:rPr>
        <w:t>non-brokered private placement of unsecured convertible notes (the "Convertible Note") in the aggregate principal amount of up to $</w:t>
      </w:r>
      <w:r w:rsidR="002D2B0E">
        <w:rPr>
          <w:rFonts w:ascii="Calibri" w:hAnsi="Calibri" w:cs="Helvetica"/>
          <w:color w:val="333333"/>
          <w:sz w:val="22"/>
          <w:szCs w:val="22"/>
        </w:rPr>
        <w:t>1,500,000</w:t>
      </w:r>
      <w:r w:rsidR="00C0538D">
        <w:rPr>
          <w:rFonts w:ascii="Calibri" w:hAnsi="Calibri" w:cs="Helvetica"/>
          <w:color w:val="333333"/>
          <w:sz w:val="22"/>
          <w:szCs w:val="22"/>
        </w:rPr>
        <w:t xml:space="preserve"> (the “</w:t>
      </w:r>
      <w:r w:rsidR="00C0538D" w:rsidRPr="00C0538D">
        <w:rPr>
          <w:rFonts w:ascii="Calibri" w:hAnsi="Calibri" w:cs="Helvetica"/>
          <w:b/>
          <w:color w:val="333333"/>
          <w:sz w:val="22"/>
          <w:szCs w:val="22"/>
        </w:rPr>
        <w:t>Offering</w:t>
      </w:r>
      <w:r w:rsidR="00C0538D">
        <w:rPr>
          <w:rFonts w:ascii="Calibri" w:hAnsi="Calibri" w:cs="Helvetica"/>
          <w:color w:val="333333"/>
          <w:sz w:val="22"/>
          <w:szCs w:val="22"/>
        </w:rPr>
        <w:t>”)</w:t>
      </w:r>
      <w:r w:rsidR="002D2B0E">
        <w:rPr>
          <w:rFonts w:ascii="Calibri" w:hAnsi="Calibri" w:cs="Helvetica"/>
          <w:color w:val="333333"/>
          <w:sz w:val="22"/>
          <w:szCs w:val="22"/>
        </w:rPr>
        <w:t>.</w:t>
      </w:r>
    </w:p>
    <w:p w14:paraId="3B3E4FBB" w14:textId="77777777" w:rsidR="00FB5683" w:rsidRPr="00FB5683" w:rsidRDefault="002D2B0E" w:rsidP="00C0538D">
      <w:pPr>
        <w:pStyle w:val="NormalWeb"/>
        <w:shd w:val="clear" w:color="auto" w:fill="FFFFFF"/>
        <w:spacing w:before="120" w:beforeAutospacing="0" w:after="0" w:afterAutospacing="0"/>
        <w:jc w:val="both"/>
        <w:rPr>
          <w:rFonts w:asciiTheme="minorHAnsi" w:hAnsiTheme="minorHAnsi" w:cstheme="minorHAnsi"/>
          <w:sz w:val="22"/>
          <w:szCs w:val="22"/>
          <w:lang w:val="en-GB"/>
        </w:rPr>
      </w:pPr>
      <w:r w:rsidRPr="002D2B0E">
        <w:rPr>
          <w:rFonts w:asciiTheme="minorHAnsi" w:hAnsiTheme="minorHAnsi" w:cstheme="minorHAnsi"/>
          <w:sz w:val="22"/>
          <w:szCs w:val="22"/>
          <w:lang w:val="en-GB"/>
        </w:rPr>
        <w:t xml:space="preserve">The principal amount of the Note will accrue interest at 18% per annum, </w:t>
      </w:r>
      <w:r w:rsidR="00FB5683" w:rsidRPr="00FB5683">
        <w:rPr>
          <w:rFonts w:ascii="Calibri" w:hAnsi="Calibri" w:cs="Helvetica"/>
          <w:color w:val="333333"/>
          <w:sz w:val="22"/>
          <w:szCs w:val="22"/>
        </w:rPr>
        <w:t>and any accrued but unpaid interest, will mature on the date that is one (1) year following the Closing Date (the "</w:t>
      </w:r>
      <w:r w:rsidR="00FB5683" w:rsidRPr="00FB5683">
        <w:rPr>
          <w:rFonts w:ascii="Calibri" w:hAnsi="Calibri" w:cs="Helvetica"/>
          <w:b/>
          <w:color w:val="333333"/>
          <w:sz w:val="22"/>
          <w:szCs w:val="22"/>
        </w:rPr>
        <w:t>Maturity Date</w:t>
      </w:r>
      <w:r w:rsidR="00FB5683" w:rsidRPr="00FB5683">
        <w:rPr>
          <w:rFonts w:ascii="Calibri" w:hAnsi="Calibri" w:cs="Helvetica"/>
          <w:color w:val="333333"/>
          <w:sz w:val="22"/>
          <w:szCs w:val="22"/>
        </w:rPr>
        <w:t>").</w:t>
      </w:r>
      <w:r w:rsidR="00FB5683">
        <w:rPr>
          <w:rFonts w:ascii="Calibri" w:hAnsi="Calibri" w:cs="Helvetica"/>
          <w:color w:val="333333"/>
          <w:sz w:val="22"/>
          <w:szCs w:val="22"/>
        </w:rPr>
        <w:t xml:space="preserve"> </w:t>
      </w:r>
      <w:r w:rsidRPr="002D2B0E">
        <w:rPr>
          <w:rFonts w:asciiTheme="minorHAnsi" w:hAnsiTheme="minorHAnsi" w:cstheme="minorHAnsi"/>
          <w:sz w:val="22"/>
          <w:szCs w:val="22"/>
          <w:lang w:val="en-GB"/>
        </w:rPr>
        <w:t>The principal amount and any accrued but unpaid interest thereon may be convertible prior to the date of Maturity at the option of the Subscriber into units of the Issuer (each, a “</w:t>
      </w:r>
      <w:r w:rsidRPr="002D2B0E">
        <w:rPr>
          <w:rFonts w:asciiTheme="minorHAnsi" w:hAnsiTheme="minorHAnsi" w:cstheme="minorHAnsi"/>
          <w:b/>
          <w:sz w:val="22"/>
          <w:szCs w:val="22"/>
          <w:lang w:val="en-GB"/>
        </w:rPr>
        <w:t>Unit</w:t>
      </w:r>
      <w:r w:rsidRPr="002D2B0E">
        <w:rPr>
          <w:rFonts w:asciiTheme="minorHAnsi" w:hAnsiTheme="minorHAnsi" w:cstheme="minorHAnsi"/>
          <w:sz w:val="22"/>
          <w:szCs w:val="22"/>
          <w:lang w:val="en-GB"/>
        </w:rPr>
        <w:t xml:space="preserve">”) at a price of $0.40 per Unit. Each Unit is comprised of one common share in the capital of the </w:t>
      </w:r>
      <w:r w:rsidR="00FB5683">
        <w:rPr>
          <w:rFonts w:asciiTheme="minorHAnsi" w:hAnsiTheme="minorHAnsi" w:cstheme="minorHAnsi"/>
          <w:sz w:val="22"/>
          <w:szCs w:val="22"/>
          <w:lang w:val="en-GB"/>
        </w:rPr>
        <w:t xml:space="preserve">Company </w:t>
      </w:r>
      <w:r w:rsidRPr="002D2B0E">
        <w:rPr>
          <w:rFonts w:asciiTheme="minorHAnsi" w:hAnsiTheme="minorHAnsi" w:cstheme="minorHAnsi"/>
          <w:sz w:val="22"/>
          <w:szCs w:val="22"/>
          <w:lang w:val="en-GB"/>
        </w:rPr>
        <w:t>(each, a “</w:t>
      </w:r>
      <w:r w:rsidRPr="002D2B0E">
        <w:rPr>
          <w:rFonts w:asciiTheme="minorHAnsi" w:hAnsiTheme="minorHAnsi" w:cstheme="minorHAnsi"/>
          <w:b/>
          <w:sz w:val="22"/>
          <w:szCs w:val="22"/>
          <w:lang w:val="en-GB"/>
        </w:rPr>
        <w:t>Share</w:t>
      </w:r>
      <w:r w:rsidRPr="002D2B0E">
        <w:rPr>
          <w:rFonts w:asciiTheme="minorHAnsi" w:hAnsiTheme="minorHAnsi" w:cstheme="minorHAnsi"/>
          <w:sz w:val="22"/>
          <w:szCs w:val="22"/>
          <w:lang w:val="en-GB"/>
        </w:rPr>
        <w:t>”) and one non-transferable common share purchase warrant (each, a “</w:t>
      </w:r>
      <w:r w:rsidRPr="002D2B0E">
        <w:rPr>
          <w:rFonts w:asciiTheme="minorHAnsi" w:hAnsiTheme="minorHAnsi" w:cstheme="minorHAnsi"/>
          <w:b/>
          <w:sz w:val="22"/>
          <w:szCs w:val="22"/>
          <w:lang w:val="en-GB"/>
        </w:rPr>
        <w:t>Warrant</w:t>
      </w:r>
      <w:r w:rsidRPr="002D2B0E">
        <w:rPr>
          <w:rFonts w:asciiTheme="minorHAnsi" w:hAnsiTheme="minorHAnsi" w:cstheme="minorHAnsi"/>
          <w:sz w:val="22"/>
          <w:szCs w:val="22"/>
          <w:lang w:val="en-GB"/>
        </w:rPr>
        <w:t>”). Each Warrant will entitle the holder thereof to acquire one additional Share (each a “</w:t>
      </w:r>
      <w:r w:rsidRPr="002D2B0E">
        <w:rPr>
          <w:rFonts w:asciiTheme="minorHAnsi" w:hAnsiTheme="minorHAnsi" w:cstheme="minorHAnsi"/>
          <w:b/>
          <w:sz w:val="22"/>
          <w:szCs w:val="22"/>
          <w:lang w:val="en-GB"/>
        </w:rPr>
        <w:t>Warrant Share</w:t>
      </w:r>
      <w:r w:rsidRPr="002D2B0E">
        <w:rPr>
          <w:rFonts w:asciiTheme="minorHAnsi" w:hAnsiTheme="minorHAnsi" w:cstheme="minorHAnsi"/>
          <w:sz w:val="22"/>
          <w:szCs w:val="22"/>
          <w:lang w:val="en-GB"/>
        </w:rPr>
        <w:t>”), at a price of $0.60 per Warrant Share</w:t>
      </w:r>
      <w:r w:rsidR="00FB5683">
        <w:rPr>
          <w:rFonts w:asciiTheme="minorHAnsi" w:hAnsiTheme="minorHAnsi" w:cstheme="minorHAnsi"/>
          <w:sz w:val="22"/>
          <w:szCs w:val="22"/>
          <w:lang w:val="en-GB"/>
        </w:rPr>
        <w:t>.</w:t>
      </w:r>
      <w:r w:rsidRPr="002D2B0E">
        <w:rPr>
          <w:rFonts w:asciiTheme="minorHAnsi" w:hAnsiTheme="minorHAnsi" w:cstheme="minorHAnsi"/>
          <w:sz w:val="22"/>
          <w:szCs w:val="22"/>
          <w:lang w:val="en-GB"/>
        </w:rPr>
        <w:t xml:space="preserve"> </w:t>
      </w:r>
      <w:r w:rsidR="00FB5683" w:rsidRPr="00FB5683">
        <w:rPr>
          <w:rFonts w:asciiTheme="minorHAnsi" w:hAnsiTheme="minorHAnsi" w:cstheme="minorHAnsi"/>
          <w:sz w:val="22"/>
          <w:szCs w:val="22"/>
          <w:lang w:val="en-GB"/>
        </w:rPr>
        <w:t xml:space="preserve">The </w:t>
      </w:r>
      <w:r w:rsidR="00FB5683">
        <w:rPr>
          <w:rFonts w:asciiTheme="minorHAnsi" w:hAnsiTheme="minorHAnsi" w:cstheme="minorHAnsi"/>
          <w:sz w:val="22"/>
          <w:szCs w:val="22"/>
          <w:lang w:val="en-GB"/>
        </w:rPr>
        <w:t>Convertible Note</w:t>
      </w:r>
      <w:r w:rsidR="00FB5683" w:rsidRPr="00FB5683">
        <w:rPr>
          <w:rFonts w:asciiTheme="minorHAnsi" w:hAnsiTheme="minorHAnsi" w:cstheme="minorHAnsi"/>
          <w:sz w:val="22"/>
          <w:szCs w:val="22"/>
          <w:lang w:val="en-GB"/>
        </w:rPr>
        <w:t>, Units, Shares, Warrants and Warrant Shares are referred to herein as the “</w:t>
      </w:r>
      <w:r w:rsidR="00FB5683" w:rsidRPr="00FB5683">
        <w:rPr>
          <w:rFonts w:asciiTheme="minorHAnsi" w:hAnsiTheme="minorHAnsi" w:cstheme="minorHAnsi"/>
          <w:b/>
          <w:sz w:val="22"/>
          <w:szCs w:val="22"/>
          <w:lang w:val="en-GB"/>
        </w:rPr>
        <w:t>Securities</w:t>
      </w:r>
      <w:r w:rsidR="00FB5683" w:rsidRPr="00FB5683">
        <w:rPr>
          <w:rFonts w:asciiTheme="minorHAnsi" w:hAnsiTheme="minorHAnsi" w:cstheme="minorHAnsi"/>
          <w:sz w:val="22"/>
          <w:szCs w:val="22"/>
          <w:lang w:val="en-GB"/>
        </w:rPr>
        <w:t>”.</w:t>
      </w:r>
    </w:p>
    <w:p w14:paraId="60857EEA" w14:textId="76F456EA" w:rsidR="00637D31" w:rsidRDefault="00AD2A9F" w:rsidP="00C0538D">
      <w:pPr>
        <w:pStyle w:val="NormalWeb"/>
        <w:pBdr>
          <w:bottom w:val="single" w:sz="4" w:space="1" w:color="auto"/>
        </w:pBdr>
        <w:spacing w:before="12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There is no minimum number of </w:t>
      </w:r>
      <w:r w:rsidR="00FB5683">
        <w:rPr>
          <w:rFonts w:asciiTheme="minorHAnsi" w:hAnsiTheme="minorHAnsi" w:cstheme="minorHAnsi"/>
          <w:color w:val="000000" w:themeColor="text1"/>
          <w:sz w:val="22"/>
          <w:szCs w:val="22"/>
        </w:rPr>
        <w:t xml:space="preserve">Convertible Notes </w:t>
      </w:r>
      <w:r>
        <w:rPr>
          <w:rFonts w:asciiTheme="minorHAnsi" w:hAnsiTheme="minorHAnsi" w:cstheme="minorHAnsi"/>
          <w:color w:val="000000" w:themeColor="text1"/>
          <w:sz w:val="22"/>
          <w:szCs w:val="22"/>
        </w:rPr>
        <w:t>or</w:t>
      </w:r>
      <w:r w:rsidR="00261507" w:rsidRPr="00AD2A9F">
        <w:rPr>
          <w:rFonts w:asciiTheme="minorHAnsi" w:hAnsiTheme="minorHAnsi" w:cstheme="minorHAnsi"/>
          <w:color w:val="000000" w:themeColor="text1"/>
          <w:sz w:val="22"/>
          <w:szCs w:val="22"/>
        </w:rPr>
        <w:t xml:space="preserve"> minimum aggregate proceeds </w:t>
      </w:r>
      <w:r>
        <w:rPr>
          <w:rFonts w:asciiTheme="minorHAnsi" w:hAnsiTheme="minorHAnsi" w:cstheme="minorHAnsi"/>
          <w:color w:val="000000" w:themeColor="text1"/>
          <w:sz w:val="22"/>
          <w:szCs w:val="22"/>
        </w:rPr>
        <w:t xml:space="preserve">required to </w:t>
      </w:r>
      <w:r w:rsidR="00261507" w:rsidRPr="00AD2A9F">
        <w:rPr>
          <w:rFonts w:asciiTheme="minorHAnsi" w:hAnsiTheme="minorHAnsi" w:cstheme="minorHAnsi"/>
          <w:color w:val="000000" w:themeColor="text1"/>
          <w:sz w:val="22"/>
          <w:szCs w:val="22"/>
        </w:rPr>
        <w:t>close the Offering</w:t>
      </w:r>
      <w:r w:rsidR="000666D9">
        <w:rPr>
          <w:rFonts w:asciiTheme="minorHAnsi" w:hAnsiTheme="minorHAnsi" w:cstheme="minorHAnsi"/>
          <w:color w:val="000000" w:themeColor="text1"/>
          <w:sz w:val="22"/>
          <w:szCs w:val="22"/>
        </w:rPr>
        <w:t xml:space="preserve"> and the Company may, at its discretion, elect to close the Offering in one or more closings</w:t>
      </w:r>
      <w:r w:rsidR="00261507" w:rsidRPr="00AD2A9F">
        <w:rPr>
          <w:rFonts w:asciiTheme="minorHAnsi" w:hAnsiTheme="minorHAnsi" w:cstheme="minorHAnsi"/>
          <w:color w:val="000000" w:themeColor="text1"/>
          <w:sz w:val="22"/>
          <w:szCs w:val="22"/>
        </w:rPr>
        <w:t>.  Management anticipates that the Company will allocate the</w:t>
      </w:r>
      <w:r w:rsidR="0086679F" w:rsidRPr="00AD2A9F">
        <w:rPr>
          <w:rFonts w:asciiTheme="minorHAnsi" w:hAnsiTheme="minorHAnsi" w:cstheme="minorHAnsi"/>
          <w:color w:val="000000" w:themeColor="text1"/>
          <w:sz w:val="22"/>
          <w:szCs w:val="22"/>
        </w:rPr>
        <w:t xml:space="preserve"> net</w:t>
      </w:r>
      <w:r w:rsidR="00261507" w:rsidRPr="00AD2A9F">
        <w:rPr>
          <w:rFonts w:asciiTheme="minorHAnsi" w:hAnsiTheme="minorHAnsi" w:cstheme="minorHAnsi"/>
          <w:color w:val="000000" w:themeColor="text1"/>
          <w:sz w:val="22"/>
          <w:szCs w:val="22"/>
        </w:rPr>
        <w:t xml:space="preserve"> proceeds of the Offering as follows</w:t>
      </w:r>
      <w:r w:rsidR="00435120">
        <w:rPr>
          <w:rFonts w:asciiTheme="minorHAnsi" w:hAnsiTheme="minorHAnsi" w:cstheme="minorHAnsi"/>
          <w:color w:val="000000" w:themeColor="text1"/>
          <w:sz w:val="22"/>
          <w:szCs w:val="22"/>
        </w:rPr>
        <w:t>:</w:t>
      </w:r>
      <w:r w:rsidR="0012041E">
        <w:rPr>
          <w:rFonts w:asciiTheme="minorHAnsi" w:hAnsiTheme="minorHAnsi" w:cstheme="minorHAnsi"/>
          <w:color w:val="000000" w:themeColor="text1"/>
          <w:sz w:val="22"/>
          <w:szCs w:val="22"/>
        </w:rPr>
        <w:t xml:space="preserve"> Rico </w:t>
      </w:r>
      <w:r w:rsidR="00435120">
        <w:rPr>
          <w:rFonts w:asciiTheme="minorHAnsi" w:hAnsiTheme="minorHAnsi" w:cstheme="minorHAnsi"/>
          <w:color w:val="000000" w:themeColor="text1"/>
          <w:sz w:val="22"/>
          <w:szCs w:val="22"/>
        </w:rPr>
        <w:t>L</w:t>
      </w:r>
      <w:r w:rsidR="0012041E">
        <w:rPr>
          <w:rFonts w:asciiTheme="minorHAnsi" w:hAnsiTheme="minorHAnsi" w:cstheme="minorHAnsi"/>
          <w:color w:val="000000" w:themeColor="text1"/>
          <w:sz w:val="22"/>
          <w:szCs w:val="22"/>
        </w:rPr>
        <w:t>itio</w:t>
      </w:r>
      <w:r w:rsidR="00435120">
        <w:rPr>
          <w:rFonts w:asciiTheme="minorHAnsi" w:hAnsiTheme="minorHAnsi" w:cstheme="minorHAnsi"/>
          <w:color w:val="000000" w:themeColor="text1"/>
          <w:sz w:val="22"/>
          <w:szCs w:val="22"/>
        </w:rPr>
        <w:t xml:space="preserve"> Property</w:t>
      </w:r>
      <w:r w:rsidR="0012041E">
        <w:rPr>
          <w:rFonts w:asciiTheme="minorHAnsi" w:hAnsiTheme="minorHAnsi" w:cstheme="minorHAnsi"/>
          <w:color w:val="000000" w:themeColor="text1"/>
          <w:sz w:val="22"/>
          <w:szCs w:val="22"/>
        </w:rPr>
        <w:t xml:space="preserve"> </w:t>
      </w:r>
      <w:r w:rsidR="00797B82">
        <w:rPr>
          <w:rFonts w:asciiTheme="minorHAnsi" w:hAnsiTheme="minorHAnsi" w:cstheme="minorHAnsi"/>
          <w:color w:val="000000" w:themeColor="text1"/>
          <w:sz w:val="22"/>
          <w:szCs w:val="22"/>
        </w:rPr>
        <w:t>pre-drilling</w:t>
      </w:r>
      <w:r w:rsidR="0012041E">
        <w:rPr>
          <w:rFonts w:asciiTheme="minorHAnsi" w:hAnsiTheme="minorHAnsi" w:cstheme="minorHAnsi"/>
          <w:color w:val="000000" w:themeColor="text1"/>
          <w:sz w:val="22"/>
          <w:szCs w:val="22"/>
        </w:rPr>
        <w:t xml:space="preserve"> program $</w:t>
      </w:r>
      <w:bookmarkStart w:id="0" w:name="_GoBack"/>
      <w:bookmarkEnd w:id="0"/>
      <w:r w:rsidR="00435120">
        <w:rPr>
          <w:rFonts w:asciiTheme="minorHAnsi" w:hAnsiTheme="minorHAnsi" w:cstheme="minorHAnsi"/>
          <w:color w:val="000000" w:themeColor="text1"/>
          <w:sz w:val="22"/>
          <w:szCs w:val="22"/>
        </w:rPr>
        <w:t>465,000</w:t>
      </w:r>
      <w:r w:rsidR="00FB575F">
        <w:rPr>
          <w:rFonts w:asciiTheme="minorHAnsi" w:hAnsiTheme="minorHAnsi" w:cstheme="minorHAnsi"/>
          <w:color w:val="000000" w:themeColor="text1"/>
          <w:sz w:val="22"/>
          <w:szCs w:val="22"/>
        </w:rPr>
        <w:t xml:space="preserve">; Rico Litio </w:t>
      </w:r>
      <w:r w:rsidR="00435120">
        <w:rPr>
          <w:rFonts w:asciiTheme="minorHAnsi" w:hAnsiTheme="minorHAnsi" w:cstheme="minorHAnsi"/>
          <w:color w:val="000000" w:themeColor="text1"/>
          <w:sz w:val="22"/>
          <w:szCs w:val="22"/>
        </w:rPr>
        <w:t xml:space="preserve">Property </w:t>
      </w:r>
      <w:r w:rsidR="00FB575F">
        <w:rPr>
          <w:rFonts w:asciiTheme="minorHAnsi" w:hAnsiTheme="minorHAnsi" w:cstheme="minorHAnsi"/>
          <w:color w:val="000000" w:themeColor="text1"/>
          <w:sz w:val="22"/>
          <w:szCs w:val="22"/>
        </w:rPr>
        <w:t xml:space="preserve">drilling program </w:t>
      </w:r>
      <w:r w:rsidR="00435120">
        <w:rPr>
          <w:rFonts w:asciiTheme="minorHAnsi" w:hAnsiTheme="minorHAnsi" w:cstheme="minorHAnsi"/>
          <w:color w:val="000000" w:themeColor="text1"/>
          <w:sz w:val="22"/>
          <w:szCs w:val="22"/>
        </w:rPr>
        <w:t>$480</w:t>
      </w:r>
      <w:r w:rsidR="00FB575F">
        <w:rPr>
          <w:rFonts w:asciiTheme="minorHAnsi" w:hAnsiTheme="minorHAnsi" w:cstheme="minorHAnsi"/>
          <w:color w:val="000000" w:themeColor="text1"/>
          <w:sz w:val="22"/>
          <w:szCs w:val="22"/>
        </w:rPr>
        <w:t>,000; regional exploration $1</w:t>
      </w:r>
      <w:r w:rsidR="00435120">
        <w:rPr>
          <w:rFonts w:asciiTheme="minorHAnsi" w:hAnsiTheme="minorHAnsi" w:cstheme="minorHAnsi"/>
          <w:color w:val="000000" w:themeColor="text1"/>
          <w:sz w:val="22"/>
          <w:szCs w:val="22"/>
        </w:rPr>
        <w:t>50</w:t>
      </w:r>
      <w:r w:rsidR="00FB575F">
        <w:rPr>
          <w:rFonts w:asciiTheme="minorHAnsi" w:hAnsiTheme="minorHAnsi" w:cstheme="minorHAnsi"/>
          <w:color w:val="000000" w:themeColor="text1"/>
          <w:sz w:val="22"/>
          <w:szCs w:val="22"/>
        </w:rPr>
        <w:t>,000</w:t>
      </w:r>
      <w:r w:rsidR="00435120">
        <w:rPr>
          <w:rFonts w:asciiTheme="minorHAnsi" w:hAnsiTheme="minorHAnsi" w:cstheme="minorHAnsi"/>
          <w:color w:val="000000" w:themeColor="text1"/>
          <w:sz w:val="22"/>
          <w:szCs w:val="22"/>
        </w:rPr>
        <w:t xml:space="preserve"> and the balance for </w:t>
      </w:r>
      <w:r w:rsidR="00D40355">
        <w:rPr>
          <w:rFonts w:asciiTheme="minorHAnsi" w:hAnsiTheme="minorHAnsi" w:cstheme="minorHAnsi"/>
          <w:color w:val="000000" w:themeColor="text1"/>
          <w:sz w:val="22"/>
          <w:szCs w:val="22"/>
        </w:rPr>
        <w:t>working capital</w:t>
      </w:r>
      <w:r w:rsidR="00435120">
        <w:rPr>
          <w:rFonts w:asciiTheme="minorHAnsi" w:hAnsiTheme="minorHAnsi" w:cstheme="minorHAnsi"/>
          <w:color w:val="000000" w:themeColor="text1"/>
          <w:sz w:val="22"/>
          <w:szCs w:val="22"/>
        </w:rPr>
        <w:t>.</w:t>
      </w:r>
    </w:p>
    <w:p w14:paraId="7C62C9DF" w14:textId="77777777" w:rsidR="00B3107F" w:rsidRDefault="00B3107F" w:rsidP="0000240D">
      <w:pPr>
        <w:pStyle w:val="NormalWeb"/>
        <w:pBdr>
          <w:bottom w:val="single" w:sz="4" w:space="1" w:color="auto"/>
        </w:pBdr>
        <w:spacing w:before="120" w:beforeAutospacing="0" w:after="0" w:afterAutospacing="0"/>
        <w:jc w:val="both"/>
        <w:rPr>
          <w:rFonts w:asciiTheme="minorHAnsi" w:hAnsiTheme="minorHAnsi" w:cstheme="minorHAnsi"/>
          <w:color w:val="000000" w:themeColor="text1"/>
          <w:sz w:val="22"/>
          <w:szCs w:val="22"/>
        </w:rPr>
      </w:pPr>
      <w:r w:rsidRPr="00AD2A9F">
        <w:rPr>
          <w:rFonts w:asciiTheme="minorHAnsi" w:hAnsiTheme="minorHAnsi" w:cstheme="minorHAnsi"/>
          <w:color w:val="000000" w:themeColor="text1"/>
          <w:sz w:val="22"/>
          <w:szCs w:val="22"/>
        </w:rPr>
        <w:t>The Company may pay a finder</w:t>
      </w:r>
      <w:r w:rsidR="007D0E63">
        <w:rPr>
          <w:rFonts w:asciiTheme="minorHAnsi" w:hAnsiTheme="minorHAnsi" w:cstheme="minorHAnsi"/>
          <w:color w:val="000000" w:themeColor="text1"/>
          <w:sz w:val="22"/>
          <w:szCs w:val="22"/>
        </w:rPr>
        <w:t>’</w:t>
      </w:r>
      <w:r w:rsidRPr="00AD2A9F">
        <w:rPr>
          <w:rFonts w:asciiTheme="minorHAnsi" w:hAnsiTheme="minorHAnsi" w:cstheme="minorHAnsi"/>
          <w:color w:val="000000" w:themeColor="text1"/>
          <w:sz w:val="22"/>
          <w:szCs w:val="22"/>
        </w:rPr>
        <w:t>s fee on the Offering. Closing of the Offering is subject to a number of conditions, including receipt of all necessary cor</w:t>
      </w:r>
      <w:r w:rsidR="00A00F42" w:rsidRPr="00AD2A9F">
        <w:rPr>
          <w:rFonts w:asciiTheme="minorHAnsi" w:hAnsiTheme="minorHAnsi" w:cstheme="minorHAnsi"/>
          <w:color w:val="000000" w:themeColor="text1"/>
          <w:sz w:val="22"/>
          <w:szCs w:val="22"/>
        </w:rPr>
        <w:t>porate and regulatory approvals</w:t>
      </w:r>
      <w:r w:rsidRPr="00AD2A9F">
        <w:rPr>
          <w:rFonts w:asciiTheme="minorHAnsi" w:hAnsiTheme="minorHAnsi" w:cstheme="minorHAnsi"/>
          <w:color w:val="000000" w:themeColor="text1"/>
          <w:sz w:val="22"/>
          <w:szCs w:val="22"/>
        </w:rPr>
        <w:t xml:space="preserve">. All securities issued in connection with the Offering will be subject to a </w:t>
      </w:r>
      <w:r w:rsidR="00916FB3">
        <w:rPr>
          <w:rFonts w:asciiTheme="minorHAnsi" w:hAnsiTheme="minorHAnsi" w:cstheme="minorHAnsi"/>
          <w:color w:val="000000" w:themeColor="text1"/>
          <w:sz w:val="22"/>
          <w:szCs w:val="22"/>
        </w:rPr>
        <w:t xml:space="preserve">statutory hold period of four months plus a day from the closing of the Offering in accordance with applicable securities legislation. </w:t>
      </w:r>
    </w:p>
    <w:p w14:paraId="74E75B4E" w14:textId="77777777" w:rsidR="00700BB9" w:rsidRPr="00AD2A9F" w:rsidRDefault="007B5737" w:rsidP="00700BB9">
      <w:pPr>
        <w:pStyle w:val="NormalWeb"/>
        <w:pBdr>
          <w:bottom w:val="single" w:sz="4" w:space="1" w:color="auto"/>
        </w:pBdr>
        <w:spacing w:before="12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April 04, 2</w:t>
      </w:r>
      <w:r w:rsidR="00C20F6F">
        <w:rPr>
          <w:rFonts w:asciiTheme="minorHAnsi" w:hAnsiTheme="minorHAnsi" w:cstheme="minorHAnsi"/>
          <w:color w:val="000000" w:themeColor="text1"/>
          <w:sz w:val="22"/>
          <w:szCs w:val="22"/>
        </w:rPr>
        <w:t>017</w:t>
      </w:r>
      <w:r w:rsidR="00556BF9">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non-brokered private p</w:t>
      </w:r>
      <w:r w:rsidR="00A3126D">
        <w:rPr>
          <w:rFonts w:asciiTheme="minorHAnsi" w:hAnsiTheme="minorHAnsi" w:cstheme="minorHAnsi"/>
          <w:color w:val="000000" w:themeColor="text1"/>
          <w:sz w:val="22"/>
          <w:szCs w:val="22"/>
        </w:rPr>
        <w:t>l</w:t>
      </w:r>
      <w:r>
        <w:rPr>
          <w:rFonts w:asciiTheme="minorHAnsi" w:hAnsiTheme="minorHAnsi" w:cstheme="minorHAnsi"/>
          <w:color w:val="000000" w:themeColor="text1"/>
          <w:sz w:val="22"/>
          <w:szCs w:val="22"/>
        </w:rPr>
        <w:t xml:space="preserve">acement was </w:t>
      </w:r>
      <w:r w:rsidR="00700BB9">
        <w:rPr>
          <w:rFonts w:asciiTheme="minorHAnsi" w:hAnsiTheme="minorHAnsi" w:cstheme="minorHAnsi"/>
          <w:color w:val="000000" w:themeColor="text1"/>
          <w:sz w:val="22"/>
          <w:szCs w:val="22"/>
        </w:rPr>
        <w:t xml:space="preserve">an offering of </w:t>
      </w:r>
      <w:r>
        <w:rPr>
          <w:rFonts w:asciiTheme="minorHAnsi" w:hAnsiTheme="minorHAnsi" w:cstheme="minorHAnsi"/>
          <w:color w:val="000000" w:themeColor="text1"/>
          <w:sz w:val="22"/>
          <w:szCs w:val="22"/>
        </w:rPr>
        <w:t>up to 2,500,000 units</w:t>
      </w:r>
      <w:r w:rsidR="00700BB9">
        <w:rPr>
          <w:rFonts w:asciiTheme="minorHAnsi" w:hAnsiTheme="minorHAnsi" w:cstheme="minorHAnsi"/>
          <w:color w:val="000000" w:themeColor="text1"/>
          <w:sz w:val="22"/>
          <w:szCs w:val="22"/>
        </w:rPr>
        <w:t xml:space="preserve"> </w:t>
      </w:r>
      <w:r w:rsidR="00700BB9" w:rsidRPr="00C94856">
        <w:rPr>
          <w:rFonts w:asciiTheme="minorHAnsi" w:hAnsiTheme="minorHAnsi" w:cstheme="minorHAnsi"/>
          <w:sz w:val="22"/>
          <w:szCs w:val="22"/>
        </w:rPr>
        <w:t>at a price of $0.</w:t>
      </w:r>
      <w:r w:rsidR="00700BB9">
        <w:rPr>
          <w:rFonts w:asciiTheme="minorHAnsi" w:hAnsiTheme="minorHAnsi" w:cstheme="minorHAnsi"/>
          <w:sz w:val="22"/>
          <w:szCs w:val="22"/>
        </w:rPr>
        <w:t>40</w:t>
      </w:r>
      <w:r w:rsidR="00700BB9" w:rsidRPr="00C94856">
        <w:rPr>
          <w:rFonts w:asciiTheme="minorHAnsi" w:hAnsiTheme="minorHAnsi" w:cstheme="minorHAnsi"/>
          <w:sz w:val="22"/>
          <w:szCs w:val="22"/>
        </w:rPr>
        <w:t xml:space="preserve"> per </w:t>
      </w:r>
      <w:r w:rsidR="00700BB9">
        <w:rPr>
          <w:rFonts w:asciiTheme="minorHAnsi" w:hAnsiTheme="minorHAnsi" w:cstheme="minorHAnsi"/>
          <w:sz w:val="22"/>
          <w:szCs w:val="22"/>
        </w:rPr>
        <w:t>u</w:t>
      </w:r>
      <w:r w:rsidR="00700BB9" w:rsidRPr="00C94856">
        <w:rPr>
          <w:rFonts w:asciiTheme="minorHAnsi" w:hAnsiTheme="minorHAnsi" w:cstheme="minorHAnsi"/>
          <w:sz w:val="22"/>
          <w:szCs w:val="22"/>
        </w:rPr>
        <w:t>nit for gross proceeds of up to $</w:t>
      </w:r>
      <w:r w:rsidR="00700BB9">
        <w:rPr>
          <w:rFonts w:asciiTheme="minorHAnsi" w:hAnsiTheme="minorHAnsi" w:cstheme="minorHAnsi"/>
          <w:sz w:val="22"/>
          <w:szCs w:val="22"/>
        </w:rPr>
        <w:t>1,000,000</w:t>
      </w:r>
      <w:r w:rsidR="00700BB9" w:rsidRPr="00C94856">
        <w:rPr>
          <w:rFonts w:asciiTheme="minorHAnsi" w:hAnsiTheme="minorHAnsi" w:cstheme="minorHAnsi"/>
          <w:sz w:val="22"/>
          <w:szCs w:val="22"/>
        </w:rPr>
        <w:t xml:space="preserve">. </w:t>
      </w:r>
      <w:r w:rsidR="00700BB9" w:rsidRPr="00AD2A9F">
        <w:rPr>
          <w:rFonts w:asciiTheme="minorHAnsi" w:hAnsiTheme="minorHAnsi" w:cstheme="minorHAnsi"/>
          <w:color w:val="000000" w:themeColor="text1"/>
          <w:sz w:val="22"/>
          <w:szCs w:val="22"/>
        </w:rPr>
        <w:t xml:space="preserve">Each </w:t>
      </w:r>
      <w:r w:rsidR="00700BB9">
        <w:rPr>
          <w:rFonts w:asciiTheme="minorHAnsi" w:hAnsiTheme="minorHAnsi" w:cstheme="minorHAnsi"/>
          <w:color w:val="000000" w:themeColor="text1"/>
          <w:sz w:val="22"/>
          <w:szCs w:val="22"/>
        </w:rPr>
        <w:t>u</w:t>
      </w:r>
      <w:r w:rsidR="00700BB9" w:rsidRPr="00AD2A9F">
        <w:rPr>
          <w:rFonts w:asciiTheme="minorHAnsi" w:hAnsiTheme="minorHAnsi" w:cstheme="minorHAnsi"/>
          <w:color w:val="000000" w:themeColor="text1"/>
          <w:sz w:val="22"/>
          <w:szCs w:val="22"/>
        </w:rPr>
        <w:t xml:space="preserve">nit </w:t>
      </w:r>
      <w:r w:rsidR="00700BB9">
        <w:rPr>
          <w:rFonts w:asciiTheme="minorHAnsi" w:hAnsiTheme="minorHAnsi" w:cstheme="minorHAnsi"/>
          <w:color w:val="000000" w:themeColor="text1"/>
          <w:sz w:val="22"/>
          <w:szCs w:val="22"/>
        </w:rPr>
        <w:t xml:space="preserve">was to </w:t>
      </w:r>
      <w:r w:rsidR="00700BB9" w:rsidRPr="00AD2A9F">
        <w:rPr>
          <w:rFonts w:asciiTheme="minorHAnsi" w:hAnsiTheme="minorHAnsi" w:cstheme="minorHAnsi"/>
          <w:color w:val="000000" w:themeColor="text1"/>
          <w:sz w:val="22"/>
          <w:szCs w:val="22"/>
        </w:rPr>
        <w:t xml:space="preserve">consist of one common share of the Company and one-half of a </w:t>
      </w:r>
      <w:r w:rsidR="00700BB9">
        <w:rPr>
          <w:rFonts w:asciiTheme="minorHAnsi" w:hAnsiTheme="minorHAnsi" w:cstheme="minorHAnsi"/>
          <w:color w:val="000000" w:themeColor="text1"/>
          <w:sz w:val="22"/>
          <w:szCs w:val="22"/>
        </w:rPr>
        <w:t>non-transferable c</w:t>
      </w:r>
      <w:r w:rsidR="00700BB9" w:rsidRPr="00AD2A9F">
        <w:rPr>
          <w:rFonts w:asciiTheme="minorHAnsi" w:hAnsiTheme="minorHAnsi" w:cstheme="minorHAnsi"/>
          <w:color w:val="000000" w:themeColor="text1"/>
          <w:sz w:val="22"/>
          <w:szCs w:val="22"/>
        </w:rPr>
        <w:t xml:space="preserve">ommon </w:t>
      </w:r>
      <w:r w:rsidR="00700BB9">
        <w:rPr>
          <w:rFonts w:asciiTheme="minorHAnsi" w:hAnsiTheme="minorHAnsi" w:cstheme="minorHAnsi"/>
          <w:color w:val="000000" w:themeColor="text1"/>
          <w:sz w:val="22"/>
          <w:szCs w:val="22"/>
        </w:rPr>
        <w:t>s</w:t>
      </w:r>
      <w:r w:rsidR="00700BB9" w:rsidRPr="00AD2A9F">
        <w:rPr>
          <w:rFonts w:asciiTheme="minorHAnsi" w:hAnsiTheme="minorHAnsi" w:cstheme="minorHAnsi"/>
          <w:color w:val="000000" w:themeColor="text1"/>
          <w:sz w:val="22"/>
          <w:szCs w:val="22"/>
        </w:rPr>
        <w:t>hare purchase warrant</w:t>
      </w:r>
      <w:r w:rsidR="00700BB9">
        <w:rPr>
          <w:rFonts w:asciiTheme="minorHAnsi" w:hAnsiTheme="minorHAnsi" w:cstheme="minorHAnsi"/>
          <w:color w:val="000000" w:themeColor="text1"/>
          <w:sz w:val="22"/>
          <w:szCs w:val="22"/>
        </w:rPr>
        <w:t>.</w:t>
      </w:r>
      <w:r w:rsidR="00700BB9" w:rsidRPr="00AD2A9F">
        <w:rPr>
          <w:rFonts w:asciiTheme="minorHAnsi" w:hAnsiTheme="minorHAnsi" w:cstheme="minorHAnsi"/>
          <w:color w:val="000000" w:themeColor="text1"/>
          <w:sz w:val="22"/>
          <w:szCs w:val="22"/>
        </w:rPr>
        <w:t xml:space="preserve"> Each </w:t>
      </w:r>
      <w:r w:rsidR="00700BB9">
        <w:rPr>
          <w:rFonts w:asciiTheme="minorHAnsi" w:hAnsiTheme="minorHAnsi" w:cstheme="minorHAnsi"/>
          <w:color w:val="000000" w:themeColor="text1"/>
          <w:sz w:val="22"/>
          <w:szCs w:val="22"/>
        </w:rPr>
        <w:t>war</w:t>
      </w:r>
      <w:r w:rsidR="00700BB9" w:rsidRPr="00AD2A9F">
        <w:rPr>
          <w:rFonts w:asciiTheme="minorHAnsi" w:hAnsiTheme="minorHAnsi" w:cstheme="minorHAnsi"/>
          <w:color w:val="000000" w:themeColor="text1"/>
          <w:sz w:val="22"/>
          <w:szCs w:val="22"/>
        </w:rPr>
        <w:t>rant entitle</w:t>
      </w:r>
      <w:r w:rsidR="00700BB9">
        <w:rPr>
          <w:rFonts w:asciiTheme="minorHAnsi" w:hAnsiTheme="minorHAnsi" w:cstheme="minorHAnsi"/>
          <w:color w:val="000000" w:themeColor="text1"/>
          <w:sz w:val="22"/>
          <w:szCs w:val="22"/>
        </w:rPr>
        <w:t>d</w:t>
      </w:r>
      <w:r w:rsidR="00700BB9" w:rsidRPr="00AD2A9F">
        <w:rPr>
          <w:rFonts w:asciiTheme="minorHAnsi" w:hAnsiTheme="minorHAnsi" w:cstheme="minorHAnsi"/>
          <w:color w:val="000000" w:themeColor="text1"/>
          <w:sz w:val="22"/>
          <w:szCs w:val="22"/>
        </w:rPr>
        <w:t xml:space="preserve"> the holder thereof to purchase one </w:t>
      </w:r>
      <w:r w:rsidR="00700BB9">
        <w:rPr>
          <w:rFonts w:asciiTheme="minorHAnsi" w:hAnsiTheme="minorHAnsi" w:cstheme="minorHAnsi"/>
          <w:color w:val="000000" w:themeColor="text1"/>
          <w:sz w:val="22"/>
          <w:szCs w:val="22"/>
        </w:rPr>
        <w:t>c</w:t>
      </w:r>
      <w:r w:rsidR="00700BB9" w:rsidRPr="00AD2A9F">
        <w:rPr>
          <w:rFonts w:asciiTheme="minorHAnsi" w:hAnsiTheme="minorHAnsi" w:cstheme="minorHAnsi"/>
          <w:color w:val="000000" w:themeColor="text1"/>
          <w:sz w:val="22"/>
          <w:szCs w:val="22"/>
        </w:rPr>
        <w:t xml:space="preserve">ommon </w:t>
      </w:r>
      <w:r w:rsidR="00700BB9">
        <w:rPr>
          <w:rFonts w:asciiTheme="minorHAnsi" w:hAnsiTheme="minorHAnsi" w:cstheme="minorHAnsi"/>
          <w:color w:val="000000" w:themeColor="text1"/>
          <w:sz w:val="22"/>
          <w:szCs w:val="22"/>
        </w:rPr>
        <w:t>s</w:t>
      </w:r>
      <w:r w:rsidR="00700BB9" w:rsidRPr="00AD2A9F">
        <w:rPr>
          <w:rFonts w:asciiTheme="minorHAnsi" w:hAnsiTheme="minorHAnsi" w:cstheme="minorHAnsi"/>
          <w:color w:val="000000" w:themeColor="text1"/>
          <w:sz w:val="22"/>
          <w:szCs w:val="22"/>
        </w:rPr>
        <w:t>hare at a price of $0.</w:t>
      </w:r>
      <w:r w:rsidR="00700BB9">
        <w:rPr>
          <w:rFonts w:asciiTheme="minorHAnsi" w:hAnsiTheme="minorHAnsi" w:cstheme="minorHAnsi"/>
          <w:color w:val="000000" w:themeColor="text1"/>
          <w:sz w:val="22"/>
          <w:szCs w:val="22"/>
        </w:rPr>
        <w:t>6</w:t>
      </w:r>
      <w:r w:rsidR="00700BB9" w:rsidRPr="00AD2A9F">
        <w:rPr>
          <w:rFonts w:asciiTheme="minorHAnsi" w:hAnsiTheme="minorHAnsi" w:cstheme="minorHAnsi"/>
          <w:color w:val="000000" w:themeColor="text1"/>
          <w:sz w:val="22"/>
          <w:szCs w:val="22"/>
        </w:rPr>
        <w:t>0 for a period of 12 months from the closing of th</w:t>
      </w:r>
      <w:r w:rsidR="00700BB9">
        <w:rPr>
          <w:rFonts w:asciiTheme="minorHAnsi" w:hAnsiTheme="minorHAnsi" w:cstheme="minorHAnsi"/>
          <w:color w:val="000000" w:themeColor="text1"/>
          <w:sz w:val="22"/>
          <w:szCs w:val="22"/>
        </w:rPr>
        <w:t>at</w:t>
      </w:r>
      <w:r w:rsidR="00700BB9" w:rsidRPr="00AD2A9F">
        <w:rPr>
          <w:rFonts w:asciiTheme="minorHAnsi" w:hAnsiTheme="minorHAnsi" w:cstheme="minorHAnsi"/>
          <w:color w:val="000000" w:themeColor="text1"/>
          <w:sz w:val="22"/>
          <w:szCs w:val="22"/>
        </w:rPr>
        <w:t xml:space="preserve"> </w:t>
      </w:r>
      <w:r w:rsidR="00700BB9">
        <w:rPr>
          <w:rFonts w:asciiTheme="minorHAnsi" w:hAnsiTheme="minorHAnsi" w:cstheme="minorHAnsi"/>
          <w:color w:val="000000" w:themeColor="text1"/>
          <w:sz w:val="22"/>
          <w:szCs w:val="22"/>
        </w:rPr>
        <w:t>o</w:t>
      </w:r>
      <w:r w:rsidR="00700BB9" w:rsidRPr="00AD2A9F">
        <w:rPr>
          <w:rFonts w:asciiTheme="minorHAnsi" w:hAnsiTheme="minorHAnsi" w:cstheme="minorHAnsi"/>
          <w:color w:val="000000" w:themeColor="text1"/>
          <w:sz w:val="22"/>
          <w:szCs w:val="22"/>
        </w:rPr>
        <w:t>ffering.</w:t>
      </w:r>
    </w:p>
    <w:p w14:paraId="6AA6C3BB" w14:textId="77777777" w:rsidR="00261507" w:rsidRPr="00AD2A9F" w:rsidRDefault="007D0E63" w:rsidP="0000240D">
      <w:pPr>
        <w:pStyle w:val="NormalWeb"/>
        <w:pBdr>
          <w:bottom w:val="single" w:sz="4" w:space="1" w:color="auto"/>
        </w:pBdr>
        <w:spacing w:before="12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261507" w:rsidRPr="00AD2A9F">
        <w:rPr>
          <w:rFonts w:asciiTheme="minorHAnsi" w:hAnsiTheme="minorHAnsi" w:cstheme="minorHAnsi"/>
          <w:color w:val="000000" w:themeColor="text1"/>
          <w:sz w:val="22"/>
          <w:szCs w:val="22"/>
        </w:rPr>
        <w:t xml:space="preserve"> portion or all of the Offering may be completed pursuant to Multilateral CSA Notice 45-313 – Prospectus Exemption for Distributions to Existing Security Holders (</w:t>
      </w:r>
      <w:r>
        <w:rPr>
          <w:rFonts w:asciiTheme="minorHAnsi" w:hAnsiTheme="minorHAnsi" w:cstheme="minorHAnsi"/>
          <w:color w:val="000000" w:themeColor="text1"/>
          <w:sz w:val="22"/>
          <w:szCs w:val="22"/>
        </w:rPr>
        <w:t>“</w:t>
      </w:r>
      <w:r w:rsidR="00261507" w:rsidRPr="007D0E63">
        <w:rPr>
          <w:rFonts w:asciiTheme="minorHAnsi" w:hAnsiTheme="minorHAnsi" w:cstheme="minorHAnsi"/>
          <w:b/>
          <w:color w:val="000000" w:themeColor="text1"/>
          <w:sz w:val="22"/>
          <w:szCs w:val="22"/>
        </w:rPr>
        <w:t>CSA 45-313</w:t>
      </w:r>
      <w:r>
        <w:rPr>
          <w:rFonts w:asciiTheme="minorHAnsi" w:hAnsiTheme="minorHAnsi" w:cstheme="minorHAnsi"/>
          <w:color w:val="000000" w:themeColor="text1"/>
          <w:sz w:val="22"/>
          <w:szCs w:val="22"/>
        </w:rPr>
        <w:t>”</w:t>
      </w:r>
      <w:r w:rsidR="00261507" w:rsidRPr="00AD2A9F">
        <w:rPr>
          <w:rFonts w:asciiTheme="minorHAnsi" w:hAnsiTheme="minorHAnsi" w:cstheme="minorHAnsi"/>
          <w:color w:val="000000" w:themeColor="text1"/>
          <w:sz w:val="22"/>
          <w:szCs w:val="22"/>
        </w:rPr>
        <w:t xml:space="preserve">) and the corresponding blanket orders and rules implementing CSA 45-313 in the participating jurisdictions in respect thereof (collectively with CSA 45-313, the </w:t>
      </w:r>
      <w:r>
        <w:rPr>
          <w:rFonts w:asciiTheme="minorHAnsi" w:hAnsiTheme="minorHAnsi" w:cstheme="minorHAnsi"/>
          <w:color w:val="000000" w:themeColor="text1"/>
          <w:sz w:val="22"/>
          <w:szCs w:val="22"/>
        </w:rPr>
        <w:t>“</w:t>
      </w:r>
      <w:r w:rsidR="00261507" w:rsidRPr="007D0E63">
        <w:rPr>
          <w:rFonts w:asciiTheme="minorHAnsi" w:hAnsiTheme="minorHAnsi" w:cstheme="minorHAnsi"/>
          <w:b/>
          <w:color w:val="000000" w:themeColor="text1"/>
          <w:sz w:val="22"/>
          <w:szCs w:val="22"/>
        </w:rPr>
        <w:t>Existing Security Holder Exemption</w:t>
      </w:r>
      <w:r>
        <w:rPr>
          <w:rFonts w:asciiTheme="minorHAnsi" w:hAnsiTheme="minorHAnsi" w:cstheme="minorHAnsi"/>
          <w:color w:val="000000" w:themeColor="text1"/>
          <w:sz w:val="22"/>
          <w:szCs w:val="22"/>
        </w:rPr>
        <w:t>”</w:t>
      </w:r>
      <w:r w:rsidR="00261507" w:rsidRPr="00AD2A9F">
        <w:rPr>
          <w:rFonts w:asciiTheme="minorHAnsi" w:hAnsiTheme="minorHAnsi" w:cstheme="minorHAnsi"/>
          <w:color w:val="000000" w:themeColor="text1"/>
          <w:sz w:val="22"/>
          <w:szCs w:val="22"/>
        </w:rPr>
        <w:t>). As at the date hereof, the Existing Security Holder Exemption is available in each of the provinces of Canada, with the exception of Newfoundland and Labrador.</w:t>
      </w:r>
    </w:p>
    <w:p w14:paraId="1AAFDBA4" w14:textId="77777777" w:rsidR="007D0E63" w:rsidRDefault="00261507" w:rsidP="0000240D">
      <w:pPr>
        <w:pStyle w:val="NormalWeb"/>
        <w:pBdr>
          <w:bottom w:val="single" w:sz="4" w:space="1" w:color="auto"/>
        </w:pBdr>
        <w:spacing w:before="120" w:beforeAutospacing="0" w:after="0" w:afterAutospacing="0"/>
        <w:jc w:val="both"/>
        <w:rPr>
          <w:rFonts w:asciiTheme="minorHAnsi" w:hAnsiTheme="minorHAnsi" w:cstheme="minorHAnsi"/>
          <w:color w:val="000000" w:themeColor="text1"/>
          <w:sz w:val="22"/>
          <w:szCs w:val="22"/>
        </w:rPr>
      </w:pPr>
      <w:r w:rsidRPr="00AD2A9F">
        <w:rPr>
          <w:rFonts w:asciiTheme="minorHAnsi" w:hAnsiTheme="minorHAnsi" w:cstheme="minorHAnsi"/>
          <w:color w:val="000000" w:themeColor="text1"/>
          <w:sz w:val="22"/>
          <w:szCs w:val="22"/>
        </w:rPr>
        <w:t xml:space="preserve">Subject to applicable securities laws, the </w:t>
      </w:r>
      <w:r w:rsidR="00A86D92" w:rsidRPr="00AD2A9F">
        <w:rPr>
          <w:rFonts w:asciiTheme="minorHAnsi" w:hAnsiTheme="minorHAnsi" w:cstheme="minorHAnsi"/>
          <w:color w:val="000000" w:themeColor="text1"/>
          <w:sz w:val="22"/>
          <w:szCs w:val="22"/>
        </w:rPr>
        <w:t>Company</w:t>
      </w:r>
      <w:r w:rsidRPr="00AD2A9F">
        <w:rPr>
          <w:rFonts w:asciiTheme="minorHAnsi" w:hAnsiTheme="minorHAnsi" w:cstheme="minorHAnsi"/>
          <w:color w:val="000000" w:themeColor="text1"/>
          <w:sz w:val="22"/>
          <w:szCs w:val="22"/>
        </w:rPr>
        <w:t xml:space="preserve"> will permit each person or company who, as of </w:t>
      </w:r>
      <w:r w:rsidR="00C0538D" w:rsidRPr="00797B82">
        <w:rPr>
          <w:rFonts w:asciiTheme="minorHAnsi" w:hAnsiTheme="minorHAnsi" w:cstheme="minorHAnsi"/>
          <w:color w:val="000000" w:themeColor="text1"/>
          <w:sz w:val="22"/>
          <w:szCs w:val="22"/>
        </w:rPr>
        <w:t>May 1</w:t>
      </w:r>
      <w:r w:rsidR="000666D9" w:rsidRPr="00797B82">
        <w:rPr>
          <w:rFonts w:asciiTheme="minorHAnsi" w:hAnsiTheme="minorHAnsi" w:cstheme="minorHAnsi"/>
          <w:color w:val="000000" w:themeColor="text1"/>
          <w:sz w:val="22"/>
          <w:szCs w:val="22"/>
        </w:rPr>
        <w:t>2</w:t>
      </w:r>
      <w:r w:rsidR="00C0538D" w:rsidRPr="00797B82">
        <w:rPr>
          <w:rFonts w:asciiTheme="minorHAnsi" w:hAnsiTheme="minorHAnsi" w:cstheme="minorHAnsi"/>
          <w:color w:val="000000" w:themeColor="text1"/>
          <w:sz w:val="22"/>
          <w:szCs w:val="22"/>
        </w:rPr>
        <w:t>, 2017</w:t>
      </w:r>
      <w:r w:rsidRPr="00435120">
        <w:rPr>
          <w:rFonts w:asciiTheme="minorHAnsi" w:hAnsiTheme="minorHAnsi" w:cstheme="minorHAnsi"/>
          <w:color w:val="000000" w:themeColor="text1"/>
          <w:sz w:val="22"/>
          <w:szCs w:val="22"/>
        </w:rPr>
        <w:t xml:space="preserve"> (being the record date set by the </w:t>
      </w:r>
      <w:r w:rsidR="00A86D92" w:rsidRPr="00435120">
        <w:rPr>
          <w:rFonts w:asciiTheme="minorHAnsi" w:hAnsiTheme="minorHAnsi" w:cstheme="minorHAnsi"/>
          <w:color w:val="000000" w:themeColor="text1"/>
          <w:sz w:val="22"/>
          <w:szCs w:val="22"/>
        </w:rPr>
        <w:t>Company</w:t>
      </w:r>
      <w:r w:rsidRPr="00435120">
        <w:rPr>
          <w:rFonts w:asciiTheme="minorHAnsi" w:hAnsiTheme="minorHAnsi" w:cstheme="minorHAnsi"/>
          <w:color w:val="000000" w:themeColor="text1"/>
          <w:sz w:val="22"/>
          <w:szCs w:val="22"/>
        </w:rPr>
        <w:t xml:space="preserve"> pursuant to CSA 45-313), who holds Common Shares as of</w:t>
      </w:r>
      <w:r w:rsidRPr="00AD2A9F">
        <w:rPr>
          <w:rFonts w:asciiTheme="minorHAnsi" w:hAnsiTheme="minorHAnsi" w:cstheme="minorHAnsi"/>
          <w:color w:val="000000" w:themeColor="text1"/>
          <w:sz w:val="22"/>
          <w:szCs w:val="22"/>
        </w:rPr>
        <w:t xml:space="preserve"> that date</w:t>
      </w:r>
      <w:r w:rsidR="006A56E0">
        <w:rPr>
          <w:rFonts w:asciiTheme="minorHAnsi" w:hAnsiTheme="minorHAnsi" w:cstheme="minorHAnsi"/>
          <w:color w:val="000000" w:themeColor="text1"/>
          <w:sz w:val="22"/>
          <w:szCs w:val="22"/>
        </w:rPr>
        <w:t xml:space="preserve"> </w:t>
      </w:r>
      <w:r w:rsidRPr="00AD2A9F">
        <w:rPr>
          <w:rFonts w:asciiTheme="minorHAnsi" w:hAnsiTheme="minorHAnsi" w:cstheme="minorHAnsi"/>
          <w:color w:val="000000" w:themeColor="text1"/>
          <w:sz w:val="22"/>
          <w:szCs w:val="22"/>
        </w:rPr>
        <w:t>to subscribe for the Units that will be distributed pursuant to the Offering, provided that the Existing Security Holder Exemption is available to such person or company.</w:t>
      </w:r>
      <w:r w:rsidR="007D0E63">
        <w:rPr>
          <w:rFonts w:asciiTheme="minorHAnsi" w:hAnsiTheme="minorHAnsi" w:cstheme="minorHAnsi"/>
          <w:color w:val="000000" w:themeColor="text1"/>
          <w:sz w:val="22"/>
          <w:szCs w:val="22"/>
        </w:rPr>
        <w:t xml:space="preserve"> Qualifying shareholders who wish to participate in the Offering should contact the Company at the contact information set forth below. </w:t>
      </w:r>
      <w:r w:rsidRPr="00AD2A9F">
        <w:rPr>
          <w:rFonts w:asciiTheme="minorHAnsi" w:hAnsiTheme="minorHAnsi" w:cstheme="minorHAnsi"/>
          <w:color w:val="000000" w:themeColor="text1"/>
          <w:sz w:val="22"/>
          <w:szCs w:val="22"/>
        </w:rPr>
        <w:t xml:space="preserve">In the event that aggregate subscriptions for Units under the Offering exceed the maximum number of securities to be distributed, </w:t>
      </w:r>
      <w:r w:rsidRPr="007D0E63">
        <w:rPr>
          <w:rFonts w:asciiTheme="minorHAnsi" w:hAnsiTheme="minorHAnsi" w:cstheme="minorHAnsi"/>
          <w:color w:val="000000" w:themeColor="text1"/>
          <w:sz w:val="22"/>
          <w:szCs w:val="22"/>
        </w:rPr>
        <w:t xml:space="preserve">then </w:t>
      </w:r>
      <w:r w:rsidRPr="007D0E63">
        <w:rPr>
          <w:rFonts w:asciiTheme="minorHAnsi" w:hAnsiTheme="minorHAnsi" w:cstheme="minorHAnsi"/>
          <w:color w:val="000000" w:themeColor="text1"/>
          <w:sz w:val="22"/>
          <w:szCs w:val="22"/>
        </w:rPr>
        <w:lastRenderedPageBreak/>
        <w:t xml:space="preserve">Units will be sold to qualifying subscribers on a pro rata basis based on the number of Units subscribed for. </w:t>
      </w:r>
      <w:r w:rsidR="007D0E63" w:rsidRPr="007D0E63">
        <w:rPr>
          <w:rFonts w:asciiTheme="minorHAnsi" w:hAnsiTheme="minorHAnsi" w:cstheme="minorHAnsi"/>
          <w:color w:val="000000" w:themeColor="text1"/>
          <w:sz w:val="22"/>
          <w:szCs w:val="22"/>
        </w:rPr>
        <w:t xml:space="preserve">Insiders may participate in the Offering. </w:t>
      </w:r>
    </w:p>
    <w:p w14:paraId="6789DBF9" w14:textId="77777777" w:rsidR="007D0E63" w:rsidRDefault="00261507" w:rsidP="0000240D">
      <w:pPr>
        <w:pStyle w:val="NormalWeb"/>
        <w:pBdr>
          <w:bottom w:val="single" w:sz="4" w:space="1" w:color="auto"/>
        </w:pBdr>
        <w:spacing w:before="120" w:beforeAutospacing="0" w:after="0" w:afterAutospacing="0"/>
        <w:jc w:val="both"/>
        <w:rPr>
          <w:rFonts w:asciiTheme="minorHAnsi" w:hAnsiTheme="minorHAnsi" w:cstheme="minorHAnsi"/>
          <w:color w:val="000000" w:themeColor="text1"/>
          <w:sz w:val="22"/>
          <w:szCs w:val="22"/>
        </w:rPr>
      </w:pPr>
      <w:r w:rsidRPr="00AD2A9F">
        <w:rPr>
          <w:rFonts w:asciiTheme="minorHAnsi" w:hAnsiTheme="minorHAnsi" w:cstheme="minorHAnsi"/>
          <w:color w:val="000000" w:themeColor="text1"/>
          <w:sz w:val="22"/>
          <w:szCs w:val="22"/>
        </w:rPr>
        <w:t>In addition to the Existing Security Holder Exemption, a portion or all of the Offering may be completed pursuant to Multilateral CSA Notice 45-318 – Prospectus Exemption for Certain Distributions through an Investment Dealer (</w:t>
      </w:r>
      <w:r w:rsidR="007D0E63">
        <w:rPr>
          <w:rFonts w:asciiTheme="minorHAnsi" w:hAnsiTheme="minorHAnsi" w:cstheme="minorHAnsi"/>
          <w:color w:val="000000" w:themeColor="text1"/>
          <w:sz w:val="22"/>
          <w:szCs w:val="22"/>
        </w:rPr>
        <w:t>“</w:t>
      </w:r>
      <w:r w:rsidRPr="007D0E63">
        <w:rPr>
          <w:rFonts w:asciiTheme="minorHAnsi" w:hAnsiTheme="minorHAnsi" w:cstheme="minorHAnsi"/>
          <w:b/>
          <w:color w:val="000000" w:themeColor="text1"/>
          <w:sz w:val="22"/>
          <w:szCs w:val="22"/>
        </w:rPr>
        <w:t>CSA 45-318</w:t>
      </w:r>
      <w:r w:rsidR="007D0E63">
        <w:rPr>
          <w:rFonts w:asciiTheme="minorHAnsi" w:hAnsiTheme="minorHAnsi" w:cstheme="minorHAnsi"/>
          <w:color w:val="000000" w:themeColor="text1"/>
          <w:sz w:val="22"/>
          <w:szCs w:val="22"/>
        </w:rPr>
        <w:t>”</w:t>
      </w:r>
      <w:r w:rsidRPr="00AD2A9F">
        <w:rPr>
          <w:rFonts w:asciiTheme="minorHAnsi" w:hAnsiTheme="minorHAnsi" w:cstheme="minorHAnsi"/>
          <w:color w:val="000000" w:themeColor="text1"/>
          <w:sz w:val="22"/>
          <w:szCs w:val="22"/>
        </w:rPr>
        <w:t>) and the corresponding</w:t>
      </w:r>
      <w:r w:rsidR="00051AC1" w:rsidRPr="00AD2A9F">
        <w:rPr>
          <w:rFonts w:asciiTheme="minorHAnsi" w:hAnsiTheme="minorHAnsi" w:cstheme="minorHAnsi"/>
          <w:color w:val="000000" w:themeColor="text1"/>
          <w:sz w:val="22"/>
          <w:szCs w:val="22"/>
        </w:rPr>
        <w:t xml:space="preserve"> </w:t>
      </w:r>
      <w:r w:rsidR="009631D3" w:rsidRPr="00AD2A9F">
        <w:rPr>
          <w:rFonts w:asciiTheme="minorHAnsi" w:hAnsiTheme="minorHAnsi" w:cstheme="minorHAnsi"/>
          <w:color w:val="000000" w:themeColor="text1"/>
          <w:sz w:val="22"/>
          <w:szCs w:val="22"/>
        </w:rPr>
        <w:t>blanket</w:t>
      </w:r>
      <w:r w:rsidRPr="00AD2A9F">
        <w:rPr>
          <w:rFonts w:asciiTheme="minorHAnsi" w:hAnsiTheme="minorHAnsi" w:cstheme="minorHAnsi"/>
          <w:color w:val="000000" w:themeColor="text1"/>
          <w:sz w:val="22"/>
          <w:szCs w:val="22"/>
        </w:rPr>
        <w:t xml:space="preserve"> orders and rule implementing CSA 45- 318 in the participating jurisdictions in respect thereof (collectively with CSA 45-318, the </w:t>
      </w:r>
      <w:r w:rsidR="007D0E63">
        <w:rPr>
          <w:rFonts w:asciiTheme="minorHAnsi" w:hAnsiTheme="minorHAnsi" w:cstheme="minorHAnsi"/>
          <w:color w:val="000000" w:themeColor="text1"/>
          <w:sz w:val="22"/>
          <w:szCs w:val="22"/>
        </w:rPr>
        <w:t>“</w:t>
      </w:r>
      <w:r w:rsidRPr="007D0E63">
        <w:rPr>
          <w:rFonts w:asciiTheme="minorHAnsi" w:hAnsiTheme="minorHAnsi" w:cstheme="minorHAnsi"/>
          <w:b/>
          <w:color w:val="000000" w:themeColor="text1"/>
          <w:sz w:val="22"/>
          <w:szCs w:val="22"/>
        </w:rPr>
        <w:t>Investment Dealer Exemption</w:t>
      </w:r>
      <w:r w:rsidR="007D0E63">
        <w:rPr>
          <w:rFonts w:asciiTheme="minorHAnsi" w:hAnsiTheme="minorHAnsi" w:cstheme="minorHAnsi"/>
          <w:color w:val="000000" w:themeColor="text1"/>
          <w:sz w:val="22"/>
          <w:szCs w:val="22"/>
        </w:rPr>
        <w:t>”</w:t>
      </w:r>
      <w:r w:rsidRPr="00AD2A9F">
        <w:rPr>
          <w:rFonts w:asciiTheme="minorHAnsi" w:hAnsiTheme="minorHAnsi" w:cstheme="minorHAnsi"/>
          <w:color w:val="000000" w:themeColor="text1"/>
          <w:sz w:val="22"/>
          <w:szCs w:val="22"/>
        </w:rPr>
        <w:t xml:space="preserve">). As at the date hereof, the Investment Dealer Exemption is available in each of Alberta, British Columbia, Saskatchewan, Manitoba and New Brunswick. Pursuant to CSA 45-318, each subscriber relying on the Investment Dealer Exemption must obtain advice regarding the suitability of the investment from a registered investment dealer. </w:t>
      </w:r>
    </w:p>
    <w:p w14:paraId="2EC8BE8B" w14:textId="77777777" w:rsidR="00261507" w:rsidRPr="00AD2A9F" w:rsidRDefault="00261507" w:rsidP="0000240D">
      <w:pPr>
        <w:pStyle w:val="NormalWeb"/>
        <w:pBdr>
          <w:bottom w:val="single" w:sz="4" w:space="1" w:color="auto"/>
        </w:pBdr>
        <w:spacing w:before="120" w:beforeAutospacing="0" w:after="0" w:afterAutospacing="0"/>
        <w:jc w:val="both"/>
        <w:rPr>
          <w:rFonts w:asciiTheme="minorHAnsi" w:hAnsiTheme="minorHAnsi" w:cstheme="minorHAnsi"/>
          <w:color w:val="000000" w:themeColor="text1"/>
          <w:sz w:val="22"/>
          <w:szCs w:val="22"/>
        </w:rPr>
      </w:pPr>
      <w:r w:rsidRPr="002D57C1">
        <w:rPr>
          <w:rFonts w:asciiTheme="minorHAnsi" w:hAnsiTheme="minorHAnsi" w:cstheme="minorHAnsi"/>
          <w:color w:val="000000" w:themeColor="text1"/>
          <w:sz w:val="22"/>
          <w:szCs w:val="22"/>
        </w:rPr>
        <w:t xml:space="preserve">There is no material fact or material change of the </w:t>
      </w:r>
      <w:r w:rsidR="00A86D92" w:rsidRPr="002D57C1">
        <w:rPr>
          <w:rFonts w:asciiTheme="minorHAnsi" w:hAnsiTheme="minorHAnsi" w:cstheme="minorHAnsi"/>
          <w:color w:val="000000" w:themeColor="text1"/>
          <w:sz w:val="22"/>
          <w:szCs w:val="22"/>
        </w:rPr>
        <w:t>Company</w:t>
      </w:r>
      <w:r w:rsidRPr="002D57C1">
        <w:rPr>
          <w:rFonts w:asciiTheme="minorHAnsi" w:hAnsiTheme="minorHAnsi" w:cstheme="minorHAnsi"/>
          <w:color w:val="000000" w:themeColor="text1"/>
          <w:sz w:val="22"/>
          <w:szCs w:val="22"/>
        </w:rPr>
        <w:t xml:space="preserve"> that has not been generally disclosed.</w:t>
      </w:r>
    </w:p>
    <w:p w14:paraId="6642A13A" w14:textId="77777777" w:rsidR="009631D3" w:rsidRDefault="009631D3" w:rsidP="0000240D">
      <w:pPr>
        <w:pStyle w:val="NormalWeb"/>
        <w:pBdr>
          <w:bottom w:val="single" w:sz="4" w:space="1" w:color="auto"/>
        </w:pBdr>
        <w:spacing w:before="120" w:beforeAutospacing="0" w:after="0" w:afterAutospacing="0"/>
        <w:jc w:val="both"/>
        <w:rPr>
          <w:rFonts w:asciiTheme="minorHAnsi" w:hAnsiTheme="minorHAnsi" w:cstheme="minorHAnsi"/>
          <w:color w:val="000000" w:themeColor="text1"/>
          <w:sz w:val="22"/>
          <w:szCs w:val="22"/>
        </w:rPr>
      </w:pPr>
      <w:r w:rsidRPr="00AD2A9F">
        <w:rPr>
          <w:rFonts w:asciiTheme="minorHAnsi" w:hAnsiTheme="minorHAnsi" w:cstheme="minorHAnsi"/>
          <w:color w:val="000000" w:themeColor="text1"/>
          <w:sz w:val="22"/>
          <w:szCs w:val="22"/>
        </w:rPr>
        <w:t xml:space="preserve">In addition to conducting the Offering pursuant to the Existing Security Holder Exemption and the Investment Dealer Exemption, the Offering will also be conducted pursuant to other available prospectus exemptions.  </w:t>
      </w:r>
    </w:p>
    <w:p w14:paraId="253019E5" w14:textId="77777777" w:rsidR="00261507" w:rsidRPr="002D57C1" w:rsidRDefault="00261507" w:rsidP="0000240D">
      <w:pPr>
        <w:pStyle w:val="NormalWeb"/>
        <w:pBdr>
          <w:bottom w:val="single" w:sz="4" w:space="1" w:color="auto"/>
        </w:pBdr>
        <w:spacing w:before="120" w:beforeAutospacing="0" w:after="0" w:afterAutospacing="0"/>
        <w:jc w:val="both"/>
        <w:rPr>
          <w:rFonts w:asciiTheme="minorHAnsi" w:hAnsiTheme="minorHAnsi" w:cstheme="minorHAnsi"/>
          <w:b/>
          <w:color w:val="000000" w:themeColor="text1"/>
          <w:sz w:val="22"/>
          <w:szCs w:val="22"/>
        </w:rPr>
      </w:pPr>
      <w:r w:rsidRPr="006A56E0">
        <w:rPr>
          <w:rFonts w:asciiTheme="minorHAnsi" w:hAnsiTheme="minorHAnsi" w:cstheme="minorHAnsi"/>
          <w:color w:val="000000" w:themeColor="text1"/>
          <w:sz w:val="22"/>
          <w:szCs w:val="22"/>
        </w:rPr>
        <w:t xml:space="preserve">None of the securities issued in connection with the </w:t>
      </w:r>
      <w:r w:rsidR="0086679F" w:rsidRPr="006A56E0">
        <w:rPr>
          <w:rFonts w:asciiTheme="minorHAnsi" w:hAnsiTheme="minorHAnsi" w:cstheme="minorHAnsi"/>
          <w:color w:val="000000" w:themeColor="text1"/>
          <w:sz w:val="22"/>
          <w:szCs w:val="22"/>
        </w:rPr>
        <w:t>Offering</w:t>
      </w:r>
      <w:r w:rsidRPr="006A56E0">
        <w:rPr>
          <w:rFonts w:asciiTheme="minorHAnsi" w:hAnsiTheme="minorHAnsi" w:cstheme="minorHAnsi"/>
          <w:color w:val="000000" w:themeColor="text1"/>
          <w:sz w:val="22"/>
          <w:szCs w:val="22"/>
        </w:rPr>
        <w:t xml:space="preserve"> will be registered under the United States Securities Act of 1933, as amended (the </w:t>
      </w:r>
      <w:r w:rsidR="007D0E63" w:rsidRPr="00316235">
        <w:rPr>
          <w:rFonts w:asciiTheme="minorHAnsi" w:hAnsiTheme="minorHAnsi" w:cstheme="minorHAnsi"/>
          <w:color w:val="000000" w:themeColor="text1"/>
          <w:sz w:val="22"/>
          <w:szCs w:val="22"/>
        </w:rPr>
        <w:t>“</w:t>
      </w:r>
      <w:r w:rsidRPr="00316235">
        <w:rPr>
          <w:rFonts w:asciiTheme="minorHAnsi" w:hAnsiTheme="minorHAnsi" w:cstheme="minorHAnsi"/>
          <w:b/>
          <w:color w:val="000000" w:themeColor="text1"/>
          <w:sz w:val="22"/>
          <w:szCs w:val="22"/>
        </w:rPr>
        <w:t>1933 Act</w:t>
      </w:r>
      <w:r w:rsidR="007D0E63" w:rsidRPr="00316235">
        <w:rPr>
          <w:rFonts w:asciiTheme="minorHAnsi" w:hAnsiTheme="minorHAnsi" w:cstheme="minorHAnsi"/>
          <w:color w:val="000000" w:themeColor="text1"/>
          <w:sz w:val="22"/>
          <w:szCs w:val="22"/>
        </w:rPr>
        <w:t>”</w:t>
      </w:r>
      <w:r w:rsidRPr="00316235">
        <w:rPr>
          <w:rFonts w:asciiTheme="minorHAnsi" w:hAnsiTheme="minorHAnsi" w:cstheme="minorHAnsi"/>
          <w:color w:val="000000" w:themeColor="text1"/>
          <w:sz w:val="22"/>
          <w:szCs w:val="22"/>
        </w:rPr>
        <w:t>), and none of them may be offered or sold in the United States absent registration or an applicable exemption from the registration requirem</w:t>
      </w:r>
      <w:r w:rsidRPr="00F06077">
        <w:rPr>
          <w:rFonts w:asciiTheme="minorHAnsi" w:hAnsiTheme="minorHAnsi" w:cstheme="minorHAnsi"/>
          <w:color w:val="000000" w:themeColor="text1"/>
          <w:sz w:val="22"/>
          <w:szCs w:val="22"/>
        </w:rPr>
        <w:t>ents of the 1933 Act. This news release shall not constitute an offer to sell or a solicitation of an offer to buy nor shall there by any sale of the securities in any state where such offer, solicitation, or sale would be unlawful.</w:t>
      </w:r>
      <w:r w:rsidR="00EC79C3" w:rsidRPr="00F06077">
        <w:rPr>
          <w:rFonts w:asciiTheme="minorHAnsi" w:hAnsiTheme="minorHAnsi" w:cstheme="minorHAnsi"/>
          <w:color w:val="000000" w:themeColor="text1"/>
          <w:sz w:val="22"/>
          <w:szCs w:val="22"/>
        </w:rPr>
        <w:t xml:space="preserve"> </w:t>
      </w:r>
    </w:p>
    <w:p w14:paraId="415E2847" w14:textId="77777777" w:rsidR="00B3107F" w:rsidRDefault="00B3107F" w:rsidP="00331B6B">
      <w:pPr>
        <w:pStyle w:val="NormalWeb"/>
        <w:pBdr>
          <w:bottom w:val="single" w:sz="4" w:space="1" w:color="auto"/>
        </w:pBdr>
        <w:spacing w:before="120" w:beforeAutospacing="0" w:after="0" w:afterAutospacing="0"/>
        <w:jc w:val="both"/>
        <w:rPr>
          <w:rFonts w:asciiTheme="minorHAnsi" w:hAnsiTheme="minorHAnsi" w:cstheme="minorHAnsi"/>
          <w:b/>
          <w:bCs/>
          <w:sz w:val="22"/>
          <w:szCs w:val="22"/>
        </w:rPr>
      </w:pPr>
      <w:r w:rsidRPr="00C94856">
        <w:rPr>
          <w:rFonts w:asciiTheme="minorHAnsi" w:hAnsiTheme="minorHAnsi" w:cstheme="minorHAnsi"/>
          <w:b/>
          <w:bCs/>
          <w:sz w:val="22"/>
          <w:szCs w:val="22"/>
        </w:rPr>
        <w:t>About One World Minerals Inc.</w:t>
      </w:r>
    </w:p>
    <w:p w14:paraId="543C0D93" w14:textId="77777777" w:rsidR="006A56E0" w:rsidRPr="002D57C1" w:rsidRDefault="006A56E0" w:rsidP="00331B6B">
      <w:pPr>
        <w:pStyle w:val="NormalWeb"/>
        <w:pBdr>
          <w:bottom w:val="single" w:sz="4" w:space="1" w:color="auto"/>
        </w:pBdr>
        <w:spacing w:before="120" w:beforeAutospacing="0" w:after="0" w:afterAutospacing="0"/>
        <w:jc w:val="both"/>
        <w:rPr>
          <w:rFonts w:asciiTheme="minorHAnsi" w:hAnsiTheme="minorHAnsi" w:cstheme="minorHAnsi"/>
          <w:bCs/>
          <w:sz w:val="22"/>
          <w:szCs w:val="22"/>
        </w:rPr>
      </w:pPr>
      <w:r w:rsidRPr="002D57C1">
        <w:rPr>
          <w:rFonts w:asciiTheme="minorHAnsi" w:hAnsiTheme="minorHAnsi" w:cstheme="minorHAnsi"/>
          <w:bCs/>
          <w:sz w:val="22"/>
          <w:szCs w:val="22"/>
        </w:rPr>
        <w:t>One World Minerals</w:t>
      </w:r>
      <w:r>
        <w:rPr>
          <w:rFonts w:asciiTheme="minorHAnsi" w:hAnsiTheme="minorHAnsi" w:cstheme="minorHAnsi"/>
          <w:bCs/>
          <w:sz w:val="22"/>
          <w:szCs w:val="22"/>
        </w:rPr>
        <w:t xml:space="preserve"> Inc.</w:t>
      </w:r>
      <w:r w:rsidRPr="002D57C1">
        <w:rPr>
          <w:rFonts w:asciiTheme="minorHAnsi" w:hAnsiTheme="minorHAnsi" w:cstheme="minorHAnsi"/>
          <w:bCs/>
          <w:sz w:val="22"/>
          <w:szCs w:val="22"/>
        </w:rPr>
        <w:t xml:space="preserve"> is an exploration and development Company which trades on the Canadian Securities </w:t>
      </w:r>
      <w:r>
        <w:rPr>
          <w:rFonts w:asciiTheme="minorHAnsi" w:hAnsiTheme="minorHAnsi" w:cstheme="minorHAnsi"/>
          <w:bCs/>
          <w:sz w:val="22"/>
          <w:szCs w:val="22"/>
        </w:rPr>
        <w:t>E</w:t>
      </w:r>
      <w:r w:rsidRPr="002D57C1">
        <w:rPr>
          <w:rFonts w:asciiTheme="minorHAnsi" w:hAnsiTheme="minorHAnsi" w:cstheme="minorHAnsi"/>
          <w:bCs/>
          <w:sz w:val="22"/>
          <w:szCs w:val="22"/>
        </w:rPr>
        <w:t xml:space="preserve">xchange with the symbol “OWM”. The Company has a senior exploration team of geologists and engineers that each have over 40 years experience in precious and base metals as well as </w:t>
      </w:r>
      <w:r w:rsidR="00D47289" w:rsidRPr="00D47289">
        <w:rPr>
          <w:rFonts w:asciiTheme="minorHAnsi" w:hAnsiTheme="minorHAnsi" w:cstheme="minorHAnsi"/>
          <w:bCs/>
          <w:sz w:val="22"/>
          <w:szCs w:val="22"/>
        </w:rPr>
        <w:t>lithium in</w:t>
      </w:r>
      <w:r w:rsidRPr="002D57C1">
        <w:rPr>
          <w:rFonts w:asciiTheme="minorHAnsi" w:hAnsiTheme="minorHAnsi" w:cstheme="minorHAnsi"/>
          <w:bCs/>
          <w:sz w:val="22"/>
          <w:szCs w:val="22"/>
        </w:rPr>
        <w:t xml:space="preserve"> </w:t>
      </w:r>
      <w:r w:rsidR="00D47289" w:rsidRPr="00D47289">
        <w:rPr>
          <w:rFonts w:asciiTheme="minorHAnsi" w:hAnsiTheme="minorHAnsi" w:cstheme="minorHAnsi"/>
          <w:bCs/>
          <w:sz w:val="22"/>
          <w:szCs w:val="22"/>
        </w:rPr>
        <w:t>both North</w:t>
      </w:r>
      <w:r w:rsidRPr="002D57C1">
        <w:rPr>
          <w:rFonts w:asciiTheme="minorHAnsi" w:hAnsiTheme="minorHAnsi" w:cstheme="minorHAnsi"/>
          <w:bCs/>
          <w:sz w:val="22"/>
          <w:szCs w:val="22"/>
        </w:rPr>
        <w:t xml:space="preserve"> and South America.   </w:t>
      </w:r>
    </w:p>
    <w:p w14:paraId="1EE19BD1" w14:textId="77777777" w:rsidR="006A56E0" w:rsidRPr="002D57C1" w:rsidRDefault="006A56E0" w:rsidP="00331B6B">
      <w:pPr>
        <w:pStyle w:val="NormalWeb"/>
        <w:pBdr>
          <w:bottom w:val="single" w:sz="4" w:space="1" w:color="auto"/>
        </w:pBdr>
        <w:spacing w:before="120" w:beforeAutospacing="0" w:after="0" w:afterAutospacing="0"/>
        <w:jc w:val="both"/>
        <w:rPr>
          <w:rFonts w:asciiTheme="minorHAnsi" w:hAnsiTheme="minorHAnsi" w:cstheme="minorHAnsi"/>
          <w:bCs/>
          <w:sz w:val="22"/>
          <w:szCs w:val="22"/>
        </w:rPr>
      </w:pPr>
      <w:r w:rsidRPr="002D57C1">
        <w:rPr>
          <w:rFonts w:asciiTheme="minorHAnsi" w:hAnsiTheme="minorHAnsi" w:cstheme="minorHAnsi"/>
          <w:bCs/>
          <w:sz w:val="22"/>
          <w:szCs w:val="22"/>
        </w:rPr>
        <w:t>O</w:t>
      </w:r>
      <w:r>
        <w:rPr>
          <w:rFonts w:asciiTheme="minorHAnsi" w:hAnsiTheme="minorHAnsi" w:cstheme="minorHAnsi"/>
          <w:bCs/>
          <w:sz w:val="22"/>
          <w:szCs w:val="22"/>
        </w:rPr>
        <w:t xml:space="preserve">n </w:t>
      </w:r>
      <w:r w:rsidR="00D47289">
        <w:rPr>
          <w:rFonts w:asciiTheme="minorHAnsi" w:hAnsiTheme="minorHAnsi" w:cstheme="minorHAnsi"/>
          <w:bCs/>
          <w:sz w:val="22"/>
          <w:szCs w:val="22"/>
        </w:rPr>
        <w:t>March 10, 2017,</w:t>
      </w:r>
      <w:r>
        <w:rPr>
          <w:rFonts w:asciiTheme="minorHAnsi" w:hAnsiTheme="minorHAnsi" w:cstheme="minorHAnsi"/>
          <w:bCs/>
          <w:sz w:val="22"/>
          <w:szCs w:val="22"/>
        </w:rPr>
        <w:t xml:space="preserve"> the Company entered into a binding letter agreement to </w:t>
      </w:r>
      <w:r w:rsidRPr="002D57C1">
        <w:rPr>
          <w:rFonts w:asciiTheme="minorHAnsi" w:hAnsiTheme="minorHAnsi" w:cstheme="minorHAnsi"/>
          <w:bCs/>
          <w:sz w:val="22"/>
          <w:szCs w:val="22"/>
        </w:rPr>
        <w:t>acquire up to a 90% interest in the Rico Litio Property located in the State of California Baja North, Mexico. The property covers a salar with 75,000 hectares (290 square miles)</w:t>
      </w:r>
      <w:r w:rsidR="00D47289">
        <w:rPr>
          <w:rFonts w:asciiTheme="minorHAnsi" w:hAnsiTheme="minorHAnsi" w:cstheme="minorHAnsi"/>
          <w:bCs/>
          <w:sz w:val="22"/>
          <w:szCs w:val="22"/>
        </w:rPr>
        <w:t xml:space="preserve">. </w:t>
      </w:r>
      <w:r w:rsidR="00D47289" w:rsidRPr="00500B00">
        <w:rPr>
          <w:rFonts w:asciiTheme="minorHAnsi" w:hAnsiTheme="minorHAnsi" w:cstheme="minorHAnsi"/>
          <w:bCs/>
          <w:sz w:val="22"/>
          <w:szCs w:val="22"/>
        </w:rPr>
        <w:t>Twenty-four</w:t>
      </w:r>
      <w:r w:rsidRPr="00500B00">
        <w:rPr>
          <w:rFonts w:asciiTheme="minorHAnsi" w:hAnsiTheme="minorHAnsi" w:cstheme="minorHAnsi"/>
          <w:bCs/>
          <w:sz w:val="22"/>
          <w:szCs w:val="22"/>
        </w:rPr>
        <w:t xml:space="preserve"> surface samples assayed an average of 74 parts per million over 74 miles. The samples were taken from surface salts and not brines which may occur at depth.</w:t>
      </w:r>
      <w:r w:rsidRPr="002D57C1">
        <w:rPr>
          <w:rFonts w:asciiTheme="minorHAnsi" w:hAnsiTheme="minorHAnsi" w:cstheme="minorHAnsi"/>
          <w:bCs/>
          <w:sz w:val="22"/>
          <w:szCs w:val="22"/>
        </w:rPr>
        <w:t xml:space="preserve">  </w:t>
      </w:r>
    </w:p>
    <w:p w14:paraId="50236B7B" w14:textId="77777777" w:rsidR="006A56E0" w:rsidRPr="002D57C1" w:rsidRDefault="006A56E0" w:rsidP="00331B6B">
      <w:pPr>
        <w:pStyle w:val="NormalWeb"/>
        <w:pBdr>
          <w:bottom w:val="single" w:sz="4" w:space="1" w:color="auto"/>
        </w:pBdr>
        <w:spacing w:before="12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 xml:space="preserve">The Company </w:t>
      </w:r>
      <w:r w:rsidRPr="002D57C1">
        <w:rPr>
          <w:rFonts w:asciiTheme="minorHAnsi" w:hAnsiTheme="minorHAnsi" w:cstheme="minorHAnsi"/>
          <w:bCs/>
          <w:sz w:val="22"/>
          <w:szCs w:val="22"/>
        </w:rPr>
        <w:t xml:space="preserve">also has an option to purchase a 100% interest in the Mogollon Property that is a high grade </w:t>
      </w:r>
      <w:r w:rsidR="00D47289" w:rsidRPr="00D47289">
        <w:rPr>
          <w:rFonts w:asciiTheme="minorHAnsi" w:hAnsiTheme="minorHAnsi" w:cstheme="minorHAnsi"/>
          <w:bCs/>
          <w:sz w:val="22"/>
          <w:szCs w:val="22"/>
        </w:rPr>
        <w:t>underground silver</w:t>
      </w:r>
      <w:r w:rsidRPr="002D57C1">
        <w:rPr>
          <w:rFonts w:asciiTheme="minorHAnsi" w:hAnsiTheme="minorHAnsi" w:cstheme="minorHAnsi"/>
          <w:bCs/>
          <w:sz w:val="22"/>
          <w:szCs w:val="22"/>
        </w:rPr>
        <w:t xml:space="preserve"> and gold property in New Mexico.  The Mogollon formerly produced 17 million ounces silver and 305,000 ounces </w:t>
      </w:r>
      <w:r w:rsidRPr="00916FB3">
        <w:rPr>
          <w:rFonts w:asciiTheme="minorHAnsi" w:hAnsiTheme="minorHAnsi" w:cstheme="minorHAnsi"/>
          <w:bCs/>
          <w:sz w:val="22"/>
          <w:szCs w:val="22"/>
        </w:rPr>
        <w:t xml:space="preserve">gold </w:t>
      </w:r>
      <w:r w:rsidRPr="00500B00">
        <w:rPr>
          <w:rFonts w:asciiTheme="minorHAnsi" w:hAnsiTheme="minorHAnsi" w:cstheme="minorHAnsi"/>
          <w:bCs/>
          <w:sz w:val="22"/>
          <w:szCs w:val="22"/>
        </w:rPr>
        <w:t xml:space="preserve">with a potential of several million tons of similar </w:t>
      </w:r>
      <w:r w:rsidR="00916FB3" w:rsidRPr="00500B00">
        <w:rPr>
          <w:rFonts w:asciiTheme="minorHAnsi" w:hAnsiTheme="minorHAnsi" w:cstheme="minorHAnsi"/>
          <w:bCs/>
          <w:sz w:val="22"/>
          <w:szCs w:val="22"/>
        </w:rPr>
        <w:t>mineralization</w:t>
      </w:r>
      <w:r w:rsidRPr="00500B00">
        <w:rPr>
          <w:rFonts w:asciiTheme="minorHAnsi" w:hAnsiTheme="minorHAnsi" w:cstheme="minorHAnsi"/>
          <w:bCs/>
          <w:sz w:val="22"/>
          <w:szCs w:val="22"/>
        </w:rPr>
        <w:t>.</w:t>
      </w:r>
      <w:r w:rsidRPr="002D57C1">
        <w:rPr>
          <w:rFonts w:asciiTheme="minorHAnsi" w:hAnsiTheme="minorHAnsi" w:cstheme="minorHAnsi"/>
          <w:bCs/>
          <w:sz w:val="22"/>
          <w:szCs w:val="22"/>
        </w:rPr>
        <w:t xml:space="preserve"> </w:t>
      </w:r>
    </w:p>
    <w:p w14:paraId="79DF1D41" w14:textId="77777777" w:rsidR="006A56E0" w:rsidRPr="002D57C1" w:rsidRDefault="006A56E0" w:rsidP="00331B6B">
      <w:pPr>
        <w:pStyle w:val="NormalWeb"/>
        <w:pBdr>
          <w:bottom w:val="single" w:sz="4" w:space="1" w:color="auto"/>
        </w:pBdr>
        <w:spacing w:before="120" w:beforeAutospacing="0" w:after="0" w:afterAutospacing="0"/>
        <w:jc w:val="both"/>
        <w:rPr>
          <w:rFonts w:asciiTheme="minorHAnsi" w:hAnsiTheme="minorHAnsi" w:cstheme="minorHAnsi"/>
          <w:bCs/>
          <w:sz w:val="22"/>
          <w:szCs w:val="22"/>
        </w:rPr>
      </w:pPr>
      <w:r w:rsidRPr="002D57C1">
        <w:rPr>
          <w:rFonts w:asciiTheme="minorHAnsi" w:hAnsiTheme="minorHAnsi" w:cstheme="minorHAnsi"/>
          <w:bCs/>
          <w:sz w:val="22"/>
          <w:szCs w:val="22"/>
        </w:rPr>
        <w:t xml:space="preserve">For further information, one can visit the Company’s web site at </w:t>
      </w:r>
      <w:hyperlink r:id="rId7" w:history="1">
        <w:r w:rsidRPr="002D57C1">
          <w:rPr>
            <w:rStyle w:val="Hyperlink"/>
            <w:rFonts w:asciiTheme="minorHAnsi" w:hAnsiTheme="minorHAnsi" w:cstheme="minorHAnsi"/>
            <w:bCs/>
            <w:sz w:val="22"/>
            <w:szCs w:val="22"/>
          </w:rPr>
          <w:t>www.oneworldminerals.ca</w:t>
        </w:r>
      </w:hyperlink>
      <w:r w:rsidRPr="002D57C1">
        <w:rPr>
          <w:rFonts w:asciiTheme="minorHAnsi" w:hAnsiTheme="minorHAnsi" w:cstheme="minorHAnsi"/>
          <w:bCs/>
          <w:sz w:val="22"/>
          <w:szCs w:val="22"/>
        </w:rPr>
        <w:t xml:space="preserve"> or</w:t>
      </w:r>
      <w:r w:rsidR="00916FB3">
        <w:rPr>
          <w:rFonts w:asciiTheme="minorHAnsi" w:hAnsiTheme="minorHAnsi" w:cstheme="minorHAnsi"/>
          <w:bCs/>
          <w:sz w:val="22"/>
          <w:szCs w:val="22"/>
        </w:rPr>
        <w:t xml:space="preserve"> </w:t>
      </w:r>
      <w:r w:rsidRPr="002D57C1">
        <w:rPr>
          <w:rFonts w:asciiTheme="minorHAnsi" w:hAnsiTheme="minorHAnsi" w:cstheme="minorHAnsi"/>
          <w:bCs/>
          <w:sz w:val="22"/>
          <w:szCs w:val="22"/>
        </w:rPr>
        <w:t xml:space="preserve">email </w:t>
      </w:r>
      <w:hyperlink r:id="rId8" w:history="1">
        <w:r w:rsidRPr="002D57C1">
          <w:rPr>
            <w:rStyle w:val="Hyperlink"/>
            <w:rFonts w:asciiTheme="minorHAnsi" w:hAnsiTheme="minorHAnsi" w:cstheme="minorHAnsi"/>
            <w:bCs/>
            <w:sz w:val="22"/>
            <w:szCs w:val="22"/>
          </w:rPr>
          <w:t>info@oneworldminerals.ca</w:t>
        </w:r>
      </w:hyperlink>
      <w:r w:rsidRPr="002D57C1">
        <w:rPr>
          <w:rFonts w:asciiTheme="minorHAnsi" w:hAnsiTheme="minorHAnsi" w:cstheme="minorHAnsi"/>
          <w:bCs/>
          <w:sz w:val="22"/>
          <w:szCs w:val="22"/>
        </w:rPr>
        <w:t xml:space="preserve">    </w:t>
      </w:r>
    </w:p>
    <w:p w14:paraId="7F724311" w14:textId="77777777" w:rsidR="003579D4" w:rsidRPr="00C94856" w:rsidRDefault="003579D4" w:rsidP="00331B6B">
      <w:pPr>
        <w:pStyle w:val="NormalWeb"/>
        <w:pBdr>
          <w:bottom w:val="single" w:sz="4" w:space="1" w:color="auto"/>
        </w:pBdr>
        <w:spacing w:before="120" w:beforeAutospacing="0" w:after="120" w:afterAutospacing="0"/>
        <w:jc w:val="both"/>
        <w:rPr>
          <w:rFonts w:asciiTheme="minorHAnsi" w:hAnsiTheme="minorHAnsi" w:cstheme="minorHAnsi"/>
          <w:sz w:val="22"/>
          <w:szCs w:val="22"/>
        </w:rPr>
      </w:pPr>
      <w:r w:rsidRPr="00C94856">
        <w:rPr>
          <w:rFonts w:asciiTheme="minorHAnsi" w:hAnsiTheme="minorHAnsi" w:cstheme="minorHAnsi"/>
          <w:sz w:val="22"/>
          <w:szCs w:val="22"/>
        </w:rPr>
        <w:t>On behalf of the Board of Directors</w:t>
      </w:r>
      <w:r w:rsidR="004B52BE" w:rsidRPr="00C94856">
        <w:rPr>
          <w:rFonts w:asciiTheme="minorHAnsi" w:hAnsiTheme="minorHAnsi" w:cstheme="minorHAnsi"/>
          <w:sz w:val="22"/>
          <w:szCs w:val="22"/>
        </w:rPr>
        <w:t xml:space="preserve"> of One World Minerals I</w:t>
      </w:r>
      <w:r w:rsidR="009C54F3" w:rsidRPr="00C94856">
        <w:rPr>
          <w:rFonts w:asciiTheme="minorHAnsi" w:hAnsiTheme="minorHAnsi" w:cstheme="minorHAnsi"/>
          <w:sz w:val="22"/>
          <w:szCs w:val="22"/>
        </w:rPr>
        <w:t>nc.</w:t>
      </w:r>
    </w:p>
    <w:p w14:paraId="5D83D823" w14:textId="77777777" w:rsidR="003579D4" w:rsidRPr="00C94856" w:rsidRDefault="007D0E63" w:rsidP="006E40BA">
      <w:pPr>
        <w:pBdr>
          <w:bottom w:val="single" w:sz="4" w:space="1" w:color="auto"/>
        </w:pBdr>
        <w:spacing w:after="120"/>
        <w:textAlignment w:val="baseline"/>
        <w:rPr>
          <w:rFonts w:asciiTheme="minorHAnsi" w:hAnsiTheme="minorHAnsi" w:cstheme="minorHAnsi"/>
          <w:i/>
          <w:sz w:val="22"/>
          <w:szCs w:val="22"/>
          <w:u w:val="single"/>
          <w:lang w:eastAsia="en-CA"/>
        </w:rPr>
      </w:pPr>
      <w:r>
        <w:rPr>
          <w:rFonts w:asciiTheme="minorHAnsi" w:hAnsiTheme="minorHAnsi" w:cstheme="minorHAnsi"/>
          <w:i/>
          <w:sz w:val="22"/>
          <w:szCs w:val="22"/>
          <w:u w:val="single"/>
          <w:lang w:eastAsia="en-CA"/>
        </w:rPr>
        <w:t>“</w:t>
      </w:r>
      <w:r w:rsidR="002E2664" w:rsidRPr="00C94856">
        <w:rPr>
          <w:rFonts w:asciiTheme="minorHAnsi" w:hAnsiTheme="minorHAnsi" w:cstheme="minorHAnsi"/>
          <w:i/>
          <w:sz w:val="22"/>
          <w:szCs w:val="22"/>
          <w:u w:val="single"/>
          <w:lang w:eastAsia="en-CA"/>
        </w:rPr>
        <w:t>Doug Fulcher</w:t>
      </w:r>
      <w:r>
        <w:rPr>
          <w:rFonts w:asciiTheme="minorHAnsi" w:hAnsiTheme="minorHAnsi" w:cstheme="minorHAnsi"/>
          <w:i/>
          <w:sz w:val="22"/>
          <w:szCs w:val="22"/>
          <w:u w:val="single"/>
          <w:lang w:eastAsia="en-CA"/>
        </w:rPr>
        <w:t>”</w:t>
      </w:r>
    </w:p>
    <w:p w14:paraId="2607A563" w14:textId="77777777" w:rsidR="003579D4" w:rsidRPr="00C94856" w:rsidRDefault="003579D4" w:rsidP="006E40BA">
      <w:pPr>
        <w:pBdr>
          <w:bottom w:val="single" w:sz="4" w:space="1" w:color="auto"/>
        </w:pBdr>
        <w:spacing w:after="120"/>
        <w:textAlignment w:val="baseline"/>
        <w:rPr>
          <w:rFonts w:asciiTheme="minorHAnsi" w:hAnsiTheme="minorHAnsi" w:cstheme="minorHAnsi"/>
          <w:sz w:val="22"/>
          <w:szCs w:val="22"/>
          <w:lang w:eastAsia="en-CA"/>
        </w:rPr>
      </w:pPr>
      <w:r w:rsidRPr="00C94856">
        <w:rPr>
          <w:rFonts w:asciiTheme="minorHAnsi" w:eastAsia="Calibri" w:hAnsiTheme="minorHAnsi" w:cstheme="minorHAnsi"/>
          <w:sz w:val="22"/>
          <w:szCs w:val="22"/>
        </w:rPr>
        <w:t>Doug Fulcher, CEO and President</w:t>
      </w:r>
    </w:p>
    <w:p w14:paraId="0E60854F" w14:textId="1E15F4B2" w:rsidR="00916FB3" w:rsidRDefault="00143FA2" w:rsidP="006E40BA">
      <w:pPr>
        <w:pBdr>
          <w:bottom w:val="single" w:sz="4" w:space="1" w:color="auto"/>
        </w:pBdr>
        <w:spacing w:after="120"/>
        <w:rPr>
          <w:rFonts w:asciiTheme="minorHAnsi" w:hAnsiTheme="minorHAnsi" w:cstheme="minorHAnsi"/>
          <w:sz w:val="22"/>
          <w:szCs w:val="22"/>
        </w:rPr>
      </w:pPr>
      <w:bookmarkStart w:id="1" w:name="_DV_M57"/>
      <w:bookmarkEnd w:id="1"/>
      <w:r w:rsidRPr="00C94856">
        <w:rPr>
          <w:rFonts w:asciiTheme="minorHAnsi" w:hAnsiTheme="minorHAnsi" w:cstheme="minorHAnsi"/>
          <w:b/>
          <w:sz w:val="22"/>
          <w:szCs w:val="22"/>
        </w:rPr>
        <w:t>For additional information contact:</w:t>
      </w:r>
      <w:r w:rsidRPr="00C94856">
        <w:rPr>
          <w:rFonts w:asciiTheme="minorHAnsi" w:hAnsiTheme="minorHAnsi" w:cstheme="minorHAnsi"/>
          <w:sz w:val="22"/>
          <w:szCs w:val="22"/>
        </w:rPr>
        <w:br/>
      </w:r>
    </w:p>
    <w:p w14:paraId="27E6DFF9" w14:textId="0CC35C36" w:rsidR="00C94856" w:rsidRDefault="005270ED" w:rsidP="006E40BA">
      <w:pPr>
        <w:pBdr>
          <w:bottom w:val="single" w:sz="4" w:space="1" w:color="auto"/>
        </w:pBdr>
        <w:spacing w:after="120"/>
        <w:rPr>
          <w:rFonts w:asciiTheme="minorHAnsi" w:hAnsiTheme="minorHAnsi" w:cstheme="minorHAnsi"/>
          <w:sz w:val="22"/>
          <w:szCs w:val="22"/>
        </w:rPr>
      </w:pPr>
      <w:hyperlink r:id="rId9" w:history="1">
        <w:r w:rsidR="0012041E" w:rsidRPr="004B2ED4">
          <w:rPr>
            <w:rStyle w:val="Hyperlink"/>
            <w:rFonts w:asciiTheme="minorHAnsi" w:hAnsiTheme="minorHAnsi" w:cstheme="minorHAnsi"/>
            <w:sz w:val="22"/>
            <w:szCs w:val="22"/>
          </w:rPr>
          <w:t>steve@oneworldmnerals.com</w:t>
        </w:r>
      </w:hyperlink>
      <w:r w:rsidR="0012041E">
        <w:rPr>
          <w:rFonts w:asciiTheme="minorHAnsi" w:hAnsiTheme="minorHAnsi" w:cstheme="minorHAnsi"/>
          <w:sz w:val="22"/>
          <w:szCs w:val="22"/>
        </w:rPr>
        <w:t xml:space="preserve"> </w:t>
      </w:r>
    </w:p>
    <w:p w14:paraId="5F2B16BE" w14:textId="77777777" w:rsidR="00316235" w:rsidRDefault="00316235" w:rsidP="006E40BA">
      <w:pPr>
        <w:pBdr>
          <w:bottom w:val="single" w:sz="4" w:space="1" w:color="auto"/>
        </w:pBdr>
        <w:spacing w:after="120"/>
        <w:rPr>
          <w:rFonts w:asciiTheme="minorHAnsi" w:hAnsiTheme="minorHAnsi" w:cstheme="minorHAnsi"/>
          <w:sz w:val="22"/>
          <w:szCs w:val="22"/>
        </w:rPr>
      </w:pPr>
    </w:p>
    <w:p w14:paraId="13145536" w14:textId="77777777" w:rsidR="00CB41D2" w:rsidRDefault="00CB41D2" w:rsidP="006E40BA">
      <w:pPr>
        <w:pBdr>
          <w:bottom w:val="single" w:sz="4" w:space="1" w:color="auto"/>
        </w:pBdr>
        <w:spacing w:after="120"/>
        <w:jc w:val="both"/>
        <w:rPr>
          <w:rFonts w:asciiTheme="minorHAnsi" w:hAnsiTheme="minorHAnsi" w:cstheme="minorHAnsi"/>
          <w:i/>
          <w:color w:val="002C40"/>
          <w:sz w:val="22"/>
          <w:szCs w:val="22"/>
        </w:rPr>
      </w:pPr>
    </w:p>
    <w:p w14:paraId="0E15B876" w14:textId="77777777" w:rsidR="00CB41D2" w:rsidRDefault="00CB41D2" w:rsidP="006E40BA">
      <w:pPr>
        <w:pBdr>
          <w:bottom w:val="single" w:sz="4" w:space="1" w:color="auto"/>
        </w:pBdr>
        <w:spacing w:after="120"/>
        <w:jc w:val="both"/>
        <w:rPr>
          <w:rFonts w:asciiTheme="minorHAnsi" w:hAnsiTheme="minorHAnsi" w:cstheme="minorHAnsi"/>
          <w:i/>
          <w:color w:val="002C40"/>
          <w:sz w:val="22"/>
          <w:szCs w:val="22"/>
        </w:rPr>
      </w:pPr>
    </w:p>
    <w:p w14:paraId="7252310D" w14:textId="77777777" w:rsidR="00426774" w:rsidRDefault="00426774" w:rsidP="006E40BA">
      <w:pPr>
        <w:pBdr>
          <w:bottom w:val="single" w:sz="4" w:space="1" w:color="auto"/>
        </w:pBdr>
        <w:spacing w:after="120"/>
        <w:jc w:val="both"/>
        <w:rPr>
          <w:rFonts w:asciiTheme="minorHAnsi" w:hAnsiTheme="minorHAnsi" w:cstheme="minorHAnsi"/>
          <w:i/>
          <w:color w:val="002C40"/>
          <w:sz w:val="22"/>
          <w:szCs w:val="22"/>
        </w:rPr>
      </w:pPr>
      <w:r w:rsidRPr="00426774">
        <w:rPr>
          <w:rFonts w:asciiTheme="minorHAnsi" w:hAnsiTheme="minorHAnsi" w:cstheme="minorHAnsi"/>
          <w:i/>
          <w:color w:val="002C40"/>
          <w:sz w:val="22"/>
          <w:szCs w:val="22"/>
        </w:rPr>
        <w:t xml:space="preserve">This </w:t>
      </w:r>
      <w:r>
        <w:rPr>
          <w:rFonts w:asciiTheme="minorHAnsi" w:hAnsiTheme="minorHAnsi" w:cstheme="minorHAnsi"/>
          <w:i/>
          <w:color w:val="002C40"/>
          <w:sz w:val="22"/>
          <w:szCs w:val="22"/>
        </w:rPr>
        <w:t>press</w:t>
      </w:r>
      <w:r w:rsidRPr="00426774">
        <w:rPr>
          <w:rFonts w:asciiTheme="minorHAnsi" w:hAnsiTheme="minorHAnsi" w:cstheme="minorHAnsi"/>
          <w:i/>
          <w:color w:val="002C40"/>
          <w:sz w:val="22"/>
          <w:szCs w:val="22"/>
        </w:rPr>
        <w:t xml:space="preserve"> re</w:t>
      </w:r>
      <w:r w:rsidR="007D0E63">
        <w:rPr>
          <w:rFonts w:asciiTheme="minorHAnsi" w:hAnsiTheme="minorHAnsi" w:cstheme="minorHAnsi"/>
          <w:i/>
          <w:color w:val="002C40"/>
          <w:sz w:val="22"/>
          <w:szCs w:val="22"/>
        </w:rPr>
        <w:t>lease contains forward-looking statements</w:t>
      </w:r>
      <w:r w:rsidRPr="00426774">
        <w:rPr>
          <w:rFonts w:asciiTheme="minorHAnsi" w:hAnsiTheme="minorHAnsi" w:cstheme="minorHAnsi"/>
          <w:i/>
          <w:color w:val="002C40"/>
          <w:sz w:val="22"/>
          <w:szCs w:val="22"/>
        </w:rPr>
        <w:t xml:space="preserve"> that involve various risks and uncertainties regarding future events. Such forward-looking </w:t>
      </w:r>
      <w:r w:rsidR="007D0E63">
        <w:rPr>
          <w:rFonts w:asciiTheme="minorHAnsi" w:hAnsiTheme="minorHAnsi" w:cstheme="minorHAnsi"/>
          <w:i/>
          <w:color w:val="002C40"/>
          <w:sz w:val="22"/>
          <w:szCs w:val="22"/>
        </w:rPr>
        <w:t>statements</w:t>
      </w:r>
      <w:r w:rsidRPr="00426774">
        <w:rPr>
          <w:rFonts w:asciiTheme="minorHAnsi" w:hAnsiTheme="minorHAnsi" w:cstheme="minorHAnsi"/>
          <w:i/>
          <w:color w:val="002C40"/>
          <w:sz w:val="22"/>
          <w:szCs w:val="22"/>
        </w:rPr>
        <w:t xml:space="preserve"> can include without limitation statements based on current expectations involving a number of risks and uncertainties and are not guarantees of future performance of </w:t>
      </w:r>
      <w:r>
        <w:rPr>
          <w:rFonts w:asciiTheme="minorHAnsi" w:hAnsiTheme="minorHAnsi" w:cstheme="minorHAnsi"/>
          <w:i/>
          <w:color w:val="002C40"/>
          <w:sz w:val="22"/>
          <w:szCs w:val="22"/>
        </w:rPr>
        <w:t>the Company</w:t>
      </w:r>
      <w:r w:rsidRPr="00426774">
        <w:rPr>
          <w:rFonts w:asciiTheme="minorHAnsi" w:hAnsiTheme="minorHAnsi" w:cstheme="minorHAnsi"/>
          <w:i/>
          <w:color w:val="002C40"/>
          <w:sz w:val="22"/>
          <w:szCs w:val="22"/>
        </w:rPr>
        <w:t xml:space="preserve">, such as statements </w:t>
      </w:r>
      <w:r w:rsidR="0086679F">
        <w:rPr>
          <w:rFonts w:asciiTheme="minorHAnsi" w:hAnsiTheme="minorHAnsi" w:cstheme="minorHAnsi"/>
          <w:i/>
          <w:color w:val="002C40"/>
          <w:sz w:val="22"/>
          <w:szCs w:val="22"/>
        </w:rPr>
        <w:t>about the Offering, including the anticipated allocation of the net proceeds of the Offering and the anticipated payment of the finder</w:t>
      </w:r>
      <w:r w:rsidR="007D0E63">
        <w:rPr>
          <w:rFonts w:asciiTheme="minorHAnsi" w:hAnsiTheme="minorHAnsi" w:cstheme="minorHAnsi"/>
          <w:i/>
          <w:color w:val="002C40"/>
          <w:sz w:val="22"/>
          <w:szCs w:val="22"/>
        </w:rPr>
        <w:t>’</w:t>
      </w:r>
      <w:r w:rsidR="0086679F">
        <w:rPr>
          <w:rFonts w:asciiTheme="minorHAnsi" w:hAnsiTheme="minorHAnsi" w:cstheme="minorHAnsi"/>
          <w:i/>
          <w:color w:val="002C40"/>
          <w:sz w:val="22"/>
          <w:szCs w:val="22"/>
        </w:rPr>
        <w:t>s fee</w:t>
      </w:r>
      <w:r w:rsidRPr="00426774">
        <w:rPr>
          <w:rFonts w:asciiTheme="minorHAnsi" w:hAnsiTheme="minorHAnsi" w:cstheme="minorHAnsi"/>
          <w:i/>
          <w:color w:val="002C40"/>
          <w:sz w:val="22"/>
          <w:szCs w:val="22"/>
        </w:rPr>
        <w:t xml:space="preserve">. There are numerous risks and uncertainties that could cause actual results and </w:t>
      </w:r>
      <w:r w:rsidR="0086679F">
        <w:rPr>
          <w:rFonts w:asciiTheme="minorHAnsi" w:hAnsiTheme="minorHAnsi" w:cstheme="minorHAnsi"/>
          <w:i/>
          <w:color w:val="002C40"/>
          <w:sz w:val="22"/>
          <w:szCs w:val="22"/>
        </w:rPr>
        <w:t>the Company</w:t>
      </w:r>
      <w:r w:rsidR="007D0E63">
        <w:rPr>
          <w:rFonts w:asciiTheme="minorHAnsi" w:hAnsiTheme="minorHAnsi" w:cstheme="minorHAnsi"/>
          <w:i/>
          <w:color w:val="002C40"/>
          <w:sz w:val="22"/>
          <w:szCs w:val="22"/>
        </w:rPr>
        <w:t>’</w:t>
      </w:r>
      <w:r w:rsidRPr="00426774">
        <w:rPr>
          <w:rFonts w:asciiTheme="minorHAnsi" w:hAnsiTheme="minorHAnsi" w:cstheme="minorHAnsi"/>
          <w:i/>
          <w:color w:val="002C40"/>
          <w:sz w:val="22"/>
          <w:szCs w:val="22"/>
        </w:rPr>
        <w:t xml:space="preserve">s plans and objectives to differ materially from those expressed in the forward-looking </w:t>
      </w:r>
      <w:r w:rsidR="007D0E63">
        <w:rPr>
          <w:rFonts w:asciiTheme="minorHAnsi" w:hAnsiTheme="minorHAnsi" w:cstheme="minorHAnsi"/>
          <w:i/>
          <w:color w:val="002C40"/>
          <w:sz w:val="22"/>
          <w:szCs w:val="22"/>
        </w:rPr>
        <w:t>statements</w:t>
      </w:r>
      <w:r w:rsidRPr="00426774">
        <w:rPr>
          <w:rFonts w:asciiTheme="minorHAnsi" w:hAnsiTheme="minorHAnsi" w:cstheme="minorHAnsi"/>
          <w:i/>
          <w:color w:val="002C40"/>
          <w:sz w:val="22"/>
          <w:szCs w:val="22"/>
        </w:rPr>
        <w:t xml:space="preserve">, including: (i) adverse market conditions; </w:t>
      </w:r>
      <w:r>
        <w:rPr>
          <w:rFonts w:asciiTheme="minorHAnsi" w:hAnsiTheme="minorHAnsi" w:cstheme="minorHAnsi"/>
          <w:i/>
          <w:color w:val="002C40"/>
          <w:sz w:val="22"/>
          <w:szCs w:val="22"/>
        </w:rPr>
        <w:t xml:space="preserve">or </w:t>
      </w:r>
      <w:r w:rsidRPr="00426774">
        <w:rPr>
          <w:rFonts w:asciiTheme="minorHAnsi" w:hAnsiTheme="minorHAnsi" w:cstheme="minorHAnsi"/>
          <w:i/>
          <w:color w:val="002C40"/>
          <w:sz w:val="22"/>
          <w:szCs w:val="22"/>
        </w:rPr>
        <w:t xml:space="preserve">(ii) the inability of </w:t>
      </w:r>
      <w:r>
        <w:rPr>
          <w:rFonts w:asciiTheme="minorHAnsi" w:hAnsiTheme="minorHAnsi" w:cstheme="minorHAnsi"/>
          <w:i/>
          <w:color w:val="002C40"/>
          <w:sz w:val="22"/>
          <w:szCs w:val="22"/>
        </w:rPr>
        <w:t>the Company</w:t>
      </w:r>
      <w:r w:rsidRPr="00426774">
        <w:rPr>
          <w:rFonts w:asciiTheme="minorHAnsi" w:hAnsiTheme="minorHAnsi" w:cstheme="minorHAnsi"/>
          <w:i/>
          <w:color w:val="002C40"/>
          <w:sz w:val="22"/>
          <w:szCs w:val="22"/>
        </w:rPr>
        <w:t xml:space="preserve"> to complete the </w:t>
      </w:r>
      <w:r>
        <w:rPr>
          <w:rFonts w:asciiTheme="minorHAnsi" w:hAnsiTheme="minorHAnsi" w:cstheme="minorHAnsi"/>
          <w:i/>
          <w:color w:val="002C40"/>
          <w:sz w:val="22"/>
          <w:szCs w:val="22"/>
        </w:rPr>
        <w:t>Offering</w:t>
      </w:r>
      <w:r w:rsidRPr="00426774">
        <w:rPr>
          <w:rFonts w:asciiTheme="minorHAnsi" w:hAnsiTheme="minorHAnsi" w:cstheme="minorHAnsi"/>
          <w:i/>
          <w:color w:val="002C40"/>
          <w:sz w:val="22"/>
          <w:szCs w:val="22"/>
        </w:rPr>
        <w:t xml:space="preserve"> at all or o</w:t>
      </w:r>
      <w:r>
        <w:rPr>
          <w:rFonts w:asciiTheme="minorHAnsi" w:hAnsiTheme="minorHAnsi" w:cstheme="minorHAnsi"/>
          <w:i/>
          <w:color w:val="002C40"/>
          <w:sz w:val="22"/>
          <w:szCs w:val="22"/>
        </w:rPr>
        <w:t>n the terms announced</w:t>
      </w:r>
      <w:r w:rsidRPr="00426774">
        <w:rPr>
          <w:rFonts w:asciiTheme="minorHAnsi" w:hAnsiTheme="minorHAnsi" w:cstheme="minorHAnsi"/>
          <w:i/>
          <w:color w:val="002C40"/>
          <w:sz w:val="22"/>
          <w:szCs w:val="22"/>
        </w:rPr>
        <w:t>. Actual results and future events could differ materially from those anticipated in such information.</w:t>
      </w:r>
      <w:r w:rsidR="00D47289">
        <w:rPr>
          <w:rFonts w:asciiTheme="minorHAnsi" w:hAnsiTheme="minorHAnsi" w:cstheme="minorHAnsi"/>
          <w:i/>
          <w:color w:val="002C40"/>
          <w:sz w:val="22"/>
          <w:szCs w:val="22"/>
        </w:rPr>
        <w:t xml:space="preserve"> </w:t>
      </w:r>
      <w:r w:rsidRPr="00426774">
        <w:rPr>
          <w:rFonts w:asciiTheme="minorHAnsi" w:hAnsiTheme="minorHAnsi" w:cstheme="minorHAnsi"/>
          <w:i/>
          <w:color w:val="002C40"/>
          <w:sz w:val="22"/>
          <w:szCs w:val="22"/>
        </w:rPr>
        <w:t xml:space="preserve">These and all subsequent written and oral forward-looking </w:t>
      </w:r>
      <w:r w:rsidR="007D0E63">
        <w:rPr>
          <w:rFonts w:asciiTheme="minorHAnsi" w:hAnsiTheme="minorHAnsi" w:cstheme="minorHAnsi"/>
          <w:i/>
          <w:color w:val="002C40"/>
          <w:sz w:val="22"/>
          <w:szCs w:val="22"/>
        </w:rPr>
        <w:t>statements</w:t>
      </w:r>
      <w:r w:rsidRPr="00426774">
        <w:rPr>
          <w:rFonts w:asciiTheme="minorHAnsi" w:hAnsiTheme="minorHAnsi" w:cstheme="minorHAnsi"/>
          <w:i/>
          <w:color w:val="002C40"/>
          <w:sz w:val="22"/>
          <w:szCs w:val="22"/>
        </w:rPr>
        <w:t xml:space="preserve"> are based on estimates and opinions of management on the dates they are made and are expressly qualified in their entirety by this notice. Except as required by law, </w:t>
      </w:r>
      <w:r>
        <w:rPr>
          <w:rFonts w:asciiTheme="minorHAnsi" w:hAnsiTheme="minorHAnsi" w:cstheme="minorHAnsi"/>
          <w:i/>
          <w:color w:val="002C40"/>
          <w:sz w:val="22"/>
          <w:szCs w:val="22"/>
        </w:rPr>
        <w:t xml:space="preserve">the Company </w:t>
      </w:r>
      <w:r w:rsidRPr="00426774">
        <w:rPr>
          <w:rFonts w:asciiTheme="minorHAnsi" w:hAnsiTheme="minorHAnsi" w:cstheme="minorHAnsi"/>
          <w:i/>
          <w:color w:val="002C40"/>
          <w:sz w:val="22"/>
          <w:szCs w:val="22"/>
        </w:rPr>
        <w:t>does not intend to update these forward-looking statements.</w:t>
      </w:r>
    </w:p>
    <w:p w14:paraId="5630A3AD" w14:textId="77777777" w:rsidR="004D7BCD" w:rsidRPr="00C94856" w:rsidRDefault="00A00F42" w:rsidP="006E40BA">
      <w:pPr>
        <w:pBdr>
          <w:bottom w:val="single" w:sz="4" w:space="1" w:color="auto"/>
        </w:pBdr>
        <w:spacing w:after="120"/>
        <w:jc w:val="both"/>
        <w:rPr>
          <w:rFonts w:asciiTheme="minorHAnsi" w:hAnsiTheme="minorHAnsi" w:cstheme="minorHAnsi"/>
          <w:i/>
          <w:sz w:val="22"/>
          <w:szCs w:val="22"/>
          <w:lang w:val="en-US"/>
        </w:rPr>
      </w:pPr>
      <w:r>
        <w:rPr>
          <w:rFonts w:asciiTheme="minorHAnsi" w:hAnsiTheme="minorHAnsi" w:cstheme="minorHAnsi"/>
          <w:i/>
          <w:color w:val="002C40"/>
          <w:sz w:val="22"/>
          <w:szCs w:val="22"/>
        </w:rPr>
        <w:t>The Canadian Securities Exchange (operated by CNSX Markets Inc.) has neither approved nor disapproved of the contents of this press release.</w:t>
      </w:r>
      <w:r w:rsidR="00B3107F" w:rsidRPr="00C94856">
        <w:rPr>
          <w:rFonts w:asciiTheme="minorHAnsi" w:hAnsiTheme="minorHAnsi" w:cstheme="minorHAnsi"/>
          <w:i/>
          <w:color w:val="002C40"/>
          <w:sz w:val="22"/>
          <w:szCs w:val="22"/>
        </w:rPr>
        <w:t xml:space="preserve"> </w:t>
      </w:r>
    </w:p>
    <w:sectPr w:rsidR="004D7BCD" w:rsidRPr="00C94856" w:rsidSect="00BF236D">
      <w:headerReference w:type="even" r:id="rId10"/>
      <w:headerReference w:type="default" r:id="rId11"/>
      <w:footerReference w:type="even" r:id="rId12"/>
      <w:footerReference w:type="default" r:id="rId13"/>
      <w:headerReference w:type="first" r:id="rId14"/>
      <w:footerReference w:type="first" r:id="rId15"/>
      <w:pgSz w:w="12240" w:h="15840" w:code="1"/>
      <w:pgMar w:top="1440" w:right="1152" w:bottom="1440" w:left="1152" w:header="432"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AEA8A" w14:textId="77777777" w:rsidR="005270ED" w:rsidRDefault="005270ED">
      <w:pPr>
        <w:pStyle w:val="BodyText"/>
      </w:pPr>
      <w:r>
        <w:separator/>
      </w:r>
    </w:p>
  </w:endnote>
  <w:endnote w:type="continuationSeparator" w:id="0">
    <w:p w14:paraId="27786DDB" w14:textId="77777777" w:rsidR="005270ED" w:rsidRDefault="005270ED">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6A34" w14:textId="77777777" w:rsidR="00A950D4" w:rsidRDefault="00A95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35E2A" w14:textId="238034FE" w:rsidR="002E2664" w:rsidRDefault="00A457BD">
    <w:pPr>
      <w:pStyle w:val="Footer"/>
      <w:jc w:val="right"/>
    </w:pPr>
    <w:r>
      <w:fldChar w:fldCharType="begin"/>
    </w:r>
    <w:r w:rsidR="002E2664">
      <w:instrText xml:space="preserve"> PAGE   \* MERGEFORMAT </w:instrText>
    </w:r>
    <w:r>
      <w:fldChar w:fldCharType="separate"/>
    </w:r>
    <w:r w:rsidR="0078048D">
      <w:rPr>
        <w:noProof/>
      </w:rPr>
      <w:t>3</w:t>
    </w:r>
    <w:r>
      <w:rPr>
        <w:noProof/>
      </w:rPr>
      <w:fldChar w:fldCharType="end"/>
    </w:r>
  </w:p>
  <w:p w14:paraId="0A202D5B" w14:textId="77777777" w:rsidR="002E2664" w:rsidRDefault="002E2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AF9D" w14:textId="77777777" w:rsidR="00250DC7" w:rsidRDefault="00250DC7">
    <w:pPr>
      <w:pStyle w:val="Footer"/>
    </w:pPr>
  </w:p>
  <w:p w14:paraId="11D0154C" w14:textId="77777777" w:rsidR="001B1890" w:rsidRDefault="001B1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B37BF" w14:textId="77777777" w:rsidR="005270ED" w:rsidRDefault="005270ED">
      <w:pPr>
        <w:pStyle w:val="BodyText"/>
      </w:pPr>
      <w:r>
        <w:separator/>
      </w:r>
    </w:p>
  </w:footnote>
  <w:footnote w:type="continuationSeparator" w:id="0">
    <w:p w14:paraId="54ACE7EC" w14:textId="77777777" w:rsidR="005270ED" w:rsidRDefault="005270ED">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9DE7E" w14:textId="77777777" w:rsidR="001B1890" w:rsidRDefault="001B1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8D52" w14:textId="77777777" w:rsidR="00624649" w:rsidRDefault="000B58F9" w:rsidP="002E2664">
    <w:pPr>
      <w:pStyle w:val="Header"/>
      <w:jc w:val="right"/>
      <w:rPr>
        <w:rStyle w:val="PageNumber"/>
        <w:sz w:val="22"/>
        <w:szCs w:val="22"/>
      </w:rPr>
    </w:pPr>
    <w:r>
      <w:rPr>
        <w:rStyle w:val="PageNumber"/>
        <w:noProof/>
        <w:sz w:val="22"/>
        <w:szCs w:val="22"/>
        <w:lang w:eastAsia="en-CA"/>
      </w:rPr>
      <w:drawing>
        <wp:inline distT="0" distB="0" distL="0" distR="0" wp14:anchorId="6657B97B" wp14:editId="4E739F04">
          <wp:extent cx="1733550" cy="571500"/>
          <wp:effectExtent l="0" t="0" r="0" b="0"/>
          <wp:docPr id="1" name="Picture 1" descr="owm 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m logo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inline>
      </w:drawing>
    </w:r>
  </w:p>
  <w:p w14:paraId="48C03D28" w14:textId="77777777" w:rsidR="002E2664" w:rsidRPr="00BF236D" w:rsidRDefault="002E2664" w:rsidP="002E2664">
    <w:pPr>
      <w:pStyle w:val="Header"/>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5C1E9" w14:textId="77777777" w:rsidR="005D0A98" w:rsidRDefault="000B58F9" w:rsidP="00513D72">
    <w:pPr>
      <w:pStyle w:val="Header"/>
      <w:jc w:val="center"/>
    </w:pPr>
    <w:r>
      <w:rPr>
        <w:rStyle w:val="PageNumber"/>
        <w:noProof/>
        <w:sz w:val="22"/>
        <w:szCs w:val="22"/>
        <w:lang w:eastAsia="en-CA"/>
      </w:rPr>
      <w:drawing>
        <wp:inline distT="0" distB="0" distL="0" distR="0" wp14:anchorId="44A8358B" wp14:editId="041AEE37">
          <wp:extent cx="2457450" cy="800100"/>
          <wp:effectExtent l="0" t="0" r="0" b="0"/>
          <wp:docPr id="2" name="Picture 2" descr="owm 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m logo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30E2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DBAC0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0CED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56DA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72D9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722C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C28F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E6FA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18D0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520C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A27BBC"/>
    <w:multiLevelType w:val="hybridMultilevel"/>
    <w:tmpl w:val="12DCD524"/>
    <w:lvl w:ilvl="0" w:tplc="599E9694">
      <w:start w:val="1"/>
      <w:numFmt w:val="decimal"/>
      <w:pStyle w:val="NumList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6C3B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5862FF0"/>
    <w:multiLevelType w:val="hybridMultilevel"/>
    <w:tmpl w:val="A824F61E"/>
    <w:lvl w:ilvl="0" w:tplc="5F84A584">
      <w:start w:val="1"/>
      <w:numFmt w:val="lowerLetter"/>
      <w:pStyle w:val="NumListA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C81EDA"/>
    <w:multiLevelType w:val="multilevel"/>
    <w:tmpl w:val="47F057BC"/>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FF9738C"/>
    <w:multiLevelType w:val="multilevel"/>
    <w:tmpl w:val="1E642D30"/>
    <w:lvl w:ilvl="0">
      <w:start w:val="1"/>
      <w:numFmt w:val="upperLetter"/>
      <w:pStyle w:val="HeadAltA"/>
      <w:lvlText w:val="%1."/>
      <w:lvlJc w:val="left"/>
      <w:pPr>
        <w:tabs>
          <w:tab w:val="num" w:pos="0"/>
        </w:tabs>
        <w:ind w:left="0" w:firstLine="0"/>
      </w:pPr>
      <w:rPr>
        <w:rFonts w:hint="default"/>
      </w:rPr>
    </w:lvl>
    <w:lvl w:ilvl="1">
      <w:start w:val="1"/>
      <w:numFmt w:val="lowerLetter"/>
      <w:pStyle w:val="HeadAltB"/>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0327DC9"/>
    <w:multiLevelType w:val="hybridMultilevel"/>
    <w:tmpl w:val="983238E4"/>
    <w:lvl w:ilvl="0" w:tplc="E81AD79E">
      <w:start w:val="1"/>
      <w:numFmt w:val="lowerLetter"/>
      <w:pStyle w:val="NumListA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DD00BE"/>
    <w:multiLevelType w:val="multilevel"/>
    <w:tmpl w:val="1E32EB38"/>
    <w:lvl w:ilvl="0">
      <w:start w:val="1"/>
      <w:numFmt w:val="decimal"/>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upperRoman"/>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upperLetter"/>
      <w:suff w:val="nothing"/>
      <w:lvlText w:val="Schedule %8"/>
      <w:lvlJc w:val="left"/>
      <w:pPr>
        <w:ind w:left="0" w:firstLine="0"/>
      </w:pPr>
      <w:rPr>
        <w:rFonts w:hint="default"/>
        <w:u w:val="none"/>
      </w:rPr>
    </w:lvl>
    <w:lvl w:ilvl="8">
      <w:start w:val="1"/>
      <w:numFmt w:val="decimal"/>
      <w:lvlText w:val="%9."/>
      <w:lvlJc w:val="left"/>
      <w:pPr>
        <w:tabs>
          <w:tab w:val="num" w:pos="1440"/>
        </w:tabs>
        <w:ind w:left="1440" w:hanging="1440"/>
      </w:pPr>
      <w:rPr>
        <w:rFonts w:hint="default"/>
        <w:u w:val="none"/>
      </w:rPr>
    </w:lvl>
  </w:abstractNum>
  <w:abstractNum w:abstractNumId="17" w15:restartNumberingAfterBreak="0">
    <w:nsid w:val="46F97573"/>
    <w:multiLevelType w:val="multilevel"/>
    <w:tmpl w:val="98520C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EC2E12"/>
    <w:multiLevelType w:val="singleLevel"/>
    <w:tmpl w:val="D3CA8746"/>
    <w:name w:val="DefaultListTemplate2"/>
    <w:lvl w:ilvl="0">
      <w:start w:val="1"/>
      <w:numFmt w:val="lowerLetter"/>
      <w:lvlText w:val="(%1)"/>
      <w:lvlJc w:val="left"/>
      <w:pPr>
        <w:tabs>
          <w:tab w:val="num" w:pos="720"/>
        </w:tabs>
        <w:ind w:left="720" w:hanging="720"/>
      </w:pPr>
    </w:lvl>
  </w:abstractNum>
  <w:abstractNum w:abstractNumId="19" w15:restartNumberingAfterBreak="0">
    <w:nsid w:val="4E4203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5840ED4"/>
    <w:multiLevelType w:val="multilevel"/>
    <w:tmpl w:val="7804BB8A"/>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7F27EF"/>
    <w:multiLevelType w:val="multilevel"/>
    <w:tmpl w:val="50D2FA7A"/>
    <w:lvl w:ilvl="0">
      <w:start w:val="1"/>
      <w:numFmt w:val="upperLetter"/>
      <w:lvlText w:val="%1."/>
      <w:lvlJc w:val="left"/>
      <w:pPr>
        <w:tabs>
          <w:tab w:val="num" w:pos="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D957FD4"/>
    <w:multiLevelType w:val="multilevel"/>
    <w:tmpl w:val="41722A98"/>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upperRoman"/>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suff w:val="nothing"/>
      <w:lvlText w:val="Schedule %8"/>
      <w:lvlJc w:val="left"/>
      <w:pPr>
        <w:ind w:left="0" w:firstLine="0"/>
      </w:pPr>
      <w:rPr>
        <w:rFonts w:hint="default"/>
        <w:u w:val="none"/>
      </w:rPr>
    </w:lvl>
    <w:lvl w:ilvl="8">
      <w:start w:val="1"/>
      <w:numFmt w:val="decimal"/>
      <w:pStyle w:val="Heading9"/>
      <w:lvlText w:val="%9."/>
      <w:lvlJc w:val="left"/>
      <w:pPr>
        <w:tabs>
          <w:tab w:val="num" w:pos="720"/>
        </w:tabs>
        <w:ind w:left="720" w:hanging="720"/>
      </w:pPr>
      <w:rPr>
        <w:rFonts w:hint="default"/>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2"/>
  </w:num>
  <w:num w:numId="14">
    <w:abstractNumId w:val="13"/>
  </w:num>
  <w:num w:numId="15">
    <w:abstractNumId w:val="20"/>
  </w:num>
  <w:num w:numId="16">
    <w:abstractNumId w:val="23"/>
  </w:num>
  <w:num w:numId="17">
    <w:abstractNumId w:val="11"/>
  </w:num>
  <w:num w:numId="18">
    <w:abstractNumId w:val="16"/>
  </w:num>
  <w:num w:numId="19">
    <w:abstractNumId w:val="21"/>
  </w:num>
  <w:num w:numId="20">
    <w:abstractNumId w:val="17"/>
  </w:num>
  <w:num w:numId="21">
    <w:abstractNumId w:val="10"/>
  </w:num>
  <w:num w:numId="22">
    <w:abstractNumId w:val="12"/>
  </w:num>
  <w:num w:numId="23">
    <w:abstractNumId w:val="15"/>
  </w:num>
  <w:num w:numId="24">
    <w:abstractNumId w:val="18"/>
  </w:num>
  <w:num w:numId="25">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en-GB" w:vendorID="64" w:dllVersion="4096" w:nlCheck="1" w:checkStyle="0"/>
  <w:activeWritingStyle w:appName="MSWord" w:lang="en-GB" w:vendorID="64" w:dllVersion="6"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A2"/>
    <w:rsid w:val="0000240D"/>
    <w:rsid w:val="00007BC0"/>
    <w:rsid w:val="000158CF"/>
    <w:rsid w:val="00041BDE"/>
    <w:rsid w:val="00042A16"/>
    <w:rsid w:val="0004535E"/>
    <w:rsid w:val="00051680"/>
    <w:rsid w:val="00051AC1"/>
    <w:rsid w:val="000666D9"/>
    <w:rsid w:val="0007751E"/>
    <w:rsid w:val="00081D87"/>
    <w:rsid w:val="00082629"/>
    <w:rsid w:val="0008602D"/>
    <w:rsid w:val="00086EA3"/>
    <w:rsid w:val="000B58F9"/>
    <w:rsid w:val="000B613A"/>
    <w:rsid w:val="000D1DBC"/>
    <w:rsid w:val="000D310F"/>
    <w:rsid w:val="000D6412"/>
    <w:rsid w:val="000E735E"/>
    <w:rsid w:val="00102E12"/>
    <w:rsid w:val="0010569C"/>
    <w:rsid w:val="001125BF"/>
    <w:rsid w:val="00112B61"/>
    <w:rsid w:val="0012041E"/>
    <w:rsid w:val="00122ED8"/>
    <w:rsid w:val="00125EE5"/>
    <w:rsid w:val="00132063"/>
    <w:rsid w:val="00134E5F"/>
    <w:rsid w:val="001352E4"/>
    <w:rsid w:val="00143FA2"/>
    <w:rsid w:val="001534B2"/>
    <w:rsid w:val="00155CE3"/>
    <w:rsid w:val="0016305D"/>
    <w:rsid w:val="00177BA6"/>
    <w:rsid w:val="00190A3A"/>
    <w:rsid w:val="00191599"/>
    <w:rsid w:val="001975A4"/>
    <w:rsid w:val="001A4B0D"/>
    <w:rsid w:val="001A65DA"/>
    <w:rsid w:val="001B1890"/>
    <w:rsid w:val="001C0267"/>
    <w:rsid w:val="001C58F6"/>
    <w:rsid w:val="001C5F01"/>
    <w:rsid w:val="001D17F5"/>
    <w:rsid w:val="001D251A"/>
    <w:rsid w:val="001D43AC"/>
    <w:rsid w:val="001D6AD9"/>
    <w:rsid w:val="001E1404"/>
    <w:rsid w:val="001F0498"/>
    <w:rsid w:val="001F2F95"/>
    <w:rsid w:val="001F7269"/>
    <w:rsid w:val="001F72DE"/>
    <w:rsid w:val="002123FD"/>
    <w:rsid w:val="002129E2"/>
    <w:rsid w:val="002423CC"/>
    <w:rsid w:val="00250AF9"/>
    <w:rsid w:val="00250DC7"/>
    <w:rsid w:val="00261507"/>
    <w:rsid w:val="00265823"/>
    <w:rsid w:val="00265AF9"/>
    <w:rsid w:val="002731E6"/>
    <w:rsid w:val="00275D26"/>
    <w:rsid w:val="00281F71"/>
    <w:rsid w:val="00294C58"/>
    <w:rsid w:val="002955F6"/>
    <w:rsid w:val="00296072"/>
    <w:rsid w:val="00296D17"/>
    <w:rsid w:val="002A5592"/>
    <w:rsid w:val="002A5F57"/>
    <w:rsid w:val="002A7608"/>
    <w:rsid w:val="002C0CD6"/>
    <w:rsid w:val="002C11AE"/>
    <w:rsid w:val="002D2B0E"/>
    <w:rsid w:val="002D4550"/>
    <w:rsid w:val="002D57C1"/>
    <w:rsid w:val="002D6F90"/>
    <w:rsid w:val="002E2664"/>
    <w:rsid w:val="002F26F7"/>
    <w:rsid w:val="002F4957"/>
    <w:rsid w:val="002F5305"/>
    <w:rsid w:val="002F741D"/>
    <w:rsid w:val="003013B2"/>
    <w:rsid w:val="0030312A"/>
    <w:rsid w:val="00303BD8"/>
    <w:rsid w:val="00316235"/>
    <w:rsid w:val="00316A64"/>
    <w:rsid w:val="003170F3"/>
    <w:rsid w:val="00323557"/>
    <w:rsid w:val="00327473"/>
    <w:rsid w:val="00331B6B"/>
    <w:rsid w:val="00332133"/>
    <w:rsid w:val="003352D7"/>
    <w:rsid w:val="003403E3"/>
    <w:rsid w:val="00344AB6"/>
    <w:rsid w:val="00352BB7"/>
    <w:rsid w:val="003579D4"/>
    <w:rsid w:val="00364D8E"/>
    <w:rsid w:val="0036527D"/>
    <w:rsid w:val="003672A7"/>
    <w:rsid w:val="00373A96"/>
    <w:rsid w:val="00373BB7"/>
    <w:rsid w:val="00375C67"/>
    <w:rsid w:val="003814CF"/>
    <w:rsid w:val="0038268F"/>
    <w:rsid w:val="00386837"/>
    <w:rsid w:val="00394018"/>
    <w:rsid w:val="003B07D6"/>
    <w:rsid w:val="003B3226"/>
    <w:rsid w:val="003B5D46"/>
    <w:rsid w:val="003E277D"/>
    <w:rsid w:val="003E28B5"/>
    <w:rsid w:val="003E6B01"/>
    <w:rsid w:val="003F54F6"/>
    <w:rsid w:val="003F56D9"/>
    <w:rsid w:val="00410186"/>
    <w:rsid w:val="00412120"/>
    <w:rsid w:val="00413C68"/>
    <w:rsid w:val="00426774"/>
    <w:rsid w:val="00434CA1"/>
    <w:rsid w:val="00435120"/>
    <w:rsid w:val="00450CBE"/>
    <w:rsid w:val="00453466"/>
    <w:rsid w:val="00453F74"/>
    <w:rsid w:val="00454574"/>
    <w:rsid w:val="00461556"/>
    <w:rsid w:val="00471AD9"/>
    <w:rsid w:val="0048273C"/>
    <w:rsid w:val="004832D7"/>
    <w:rsid w:val="004929A2"/>
    <w:rsid w:val="00493B13"/>
    <w:rsid w:val="004975DF"/>
    <w:rsid w:val="004977D6"/>
    <w:rsid w:val="004B52BE"/>
    <w:rsid w:val="004B5511"/>
    <w:rsid w:val="004C4AFE"/>
    <w:rsid w:val="004D3438"/>
    <w:rsid w:val="004D64E7"/>
    <w:rsid w:val="004D6674"/>
    <w:rsid w:val="004D7BCD"/>
    <w:rsid w:val="004D7F1E"/>
    <w:rsid w:val="004F6A91"/>
    <w:rsid w:val="00500B00"/>
    <w:rsid w:val="00513D72"/>
    <w:rsid w:val="005173B9"/>
    <w:rsid w:val="0051744C"/>
    <w:rsid w:val="00521658"/>
    <w:rsid w:val="00523994"/>
    <w:rsid w:val="005270ED"/>
    <w:rsid w:val="00531661"/>
    <w:rsid w:val="005504F2"/>
    <w:rsid w:val="0055401A"/>
    <w:rsid w:val="00554E6C"/>
    <w:rsid w:val="00556BF9"/>
    <w:rsid w:val="005574CA"/>
    <w:rsid w:val="005754CE"/>
    <w:rsid w:val="0059280B"/>
    <w:rsid w:val="00596F51"/>
    <w:rsid w:val="005B2094"/>
    <w:rsid w:val="005D02A1"/>
    <w:rsid w:val="005D0A98"/>
    <w:rsid w:val="005D6E37"/>
    <w:rsid w:val="005F530D"/>
    <w:rsid w:val="005F5B3D"/>
    <w:rsid w:val="00605771"/>
    <w:rsid w:val="00613FCC"/>
    <w:rsid w:val="006234A9"/>
    <w:rsid w:val="00624649"/>
    <w:rsid w:val="00637D31"/>
    <w:rsid w:val="006406CA"/>
    <w:rsid w:val="006478A6"/>
    <w:rsid w:val="006618B9"/>
    <w:rsid w:val="00665A2B"/>
    <w:rsid w:val="0066632D"/>
    <w:rsid w:val="006854C2"/>
    <w:rsid w:val="0068574B"/>
    <w:rsid w:val="006A10DE"/>
    <w:rsid w:val="006A2BF7"/>
    <w:rsid w:val="006A56E0"/>
    <w:rsid w:val="006B199B"/>
    <w:rsid w:val="006B6FBB"/>
    <w:rsid w:val="006D004F"/>
    <w:rsid w:val="006D2147"/>
    <w:rsid w:val="006D3386"/>
    <w:rsid w:val="006E40BA"/>
    <w:rsid w:val="006E73D7"/>
    <w:rsid w:val="006F03FF"/>
    <w:rsid w:val="006F11B9"/>
    <w:rsid w:val="006F1DBB"/>
    <w:rsid w:val="006F3BDE"/>
    <w:rsid w:val="006F47EC"/>
    <w:rsid w:val="006F4AF2"/>
    <w:rsid w:val="006F69B1"/>
    <w:rsid w:val="00700BB9"/>
    <w:rsid w:val="00703A10"/>
    <w:rsid w:val="00711CFD"/>
    <w:rsid w:val="00734E31"/>
    <w:rsid w:val="00737393"/>
    <w:rsid w:val="00756C34"/>
    <w:rsid w:val="00766935"/>
    <w:rsid w:val="007700A7"/>
    <w:rsid w:val="00770665"/>
    <w:rsid w:val="00770B04"/>
    <w:rsid w:val="007726EB"/>
    <w:rsid w:val="00772F2A"/>
    <w:rsid w:val="00773515"/>
    <w:rsid w:val="0078048D"/>
    <w:rsid w:val="00782EAE"/>
    <w:rsid w:val="00797B82"/>
    <w:rsid w:val="007A5508"/>
    <w:rsid w:val="007A5562"/>
    <w:rsid w:val="007B4212"/>
    <w:rsid w:val="007B5737"/>
    <w:rsid w:val="007B66C8"/>
    <w:rsid w:val="007C4D7A"/>
    <w:rsid w:val="007D0E63"/>
    <w:rsid w:val="007D1179"/>
    <w:rsid w:val="007D58BA"/>
    <w:rsid w:val="007D7D9C"/>
    <w:rsid w:val="007E10E1"/>
    <w:rsid w:val="007E59DC"/>
    <w:rsid w:val="007F19E1"/>
    <w:rsid w:val="007F1B30"/>
    <w:rsid w:val="007F3902"/>
    <w:rsid w:val="007F457D"/>
    <w:rsid w:val="007F578E"/>
    <w:rsid w:val="0081636F"/>
    <w:rsid w:val="00823016"/>
    <w:rsid w:val="00830DF5"/>
    <w:rsid w:val="00831A68"/>
    <w:rsid w:val="008323E0"/>
    <w:rsid w:val="00836940"/>
    <w:rsid w:val="0084664D"/>
    <w:rsid w:val="0085499A"/>
    <w:rsid w:val="008567CF"/>
    <w:rsid w:val="00861DC8"/>
    <w:rsid w:val="00863469"/>
    <w:rsid w:val="00865CD2"/>
    <w:rsid w:val="0086679F"/>
    <w:rsid w:val="008678C7"/>
    <w:rsid w:val="00870043"/>
    <w:rsid w:val="00876708"/>
    <w:rsid w:val="00876E47"/>
    <w:rsid w:val="00882623"/>
    <w:rsid w:val="00887C58"/>
    <w:rsid w:val="008A13DE"/>
    <w:rsid w:val="008A7121"/>
    <w:rsid w:val="008B08BE"/>
    <w:rsid w:val="008E7FF3"/>
    <w:rsid w:val="00916FB3"/>
    <w:rsid w:val="0091740F"/>
    <w:rsid w:val="00920FAB"/>
    <w:rsid w:val="00930734"/>
    <w:rsid w:val="009340D9"/>
    <w:rsid w:val="009373F3"/>
    <w:rsid w:val="009417EE"/>
    <w:rsid w:val="00942759"/>
    <w:rsid w:val="00962A52"/>
    <w:rsid w:val="009631D3"/>
    <w:rsid w:val="00965899"/>
    <w:rsid w:val="00967EFE"/>
    <w:rsid w:val="00982C5D"/>
    <w:rsid w:val="00983115"/>
    <w:rsid w:val="00995EED"/>
    <w:rsid w:val="009A450E"/>
    <w:rsid w:val="009A7C6D"/>
    <w:rsid w:val="009B3C6A"/>
    <w:rsid w:val="009C398A"/>
    <w:rsid w:val="009C54F3"/>
    <w:rsid w:val="009D625B"/>
    <w:rsid w:val="009D747B"/>
    <w:rsid w:val="009F1066"/>
    <w:rsid w:val="00A00F42"/>
    <w:rsid w:val="00A03200"/>
    <w:rsid w:val="00A04AD3"/>
    <w:rsid w:val="00A14350"/>
    <w:rsid w:val="00A14672"/>
    <w:rsid w:val="00A21E2F"/>
    <w:rsid w:val="00A26183"/>
    <w:rsid w:val="00A3126D"/>
    <w:rsid w:val="00A3631D"/>
    <w:rsid w:val="00A450DD"/>
    <w:rsid w:val="00A457BD"/>
    <w:rsid w:val="00A568F3"/>
    <w:rsid w:val="00A6569D"/>
    <w:rsid w:val="00A66DA5"/>
    <w:rsid w:val="00A7740E"/>
    <w:rsid w:val="00A8229C"/>
    <w:rsid w:val="00A82368"/>
    <w:rsid w:val="00A834C8"/>
    <w:rsid w:val="00A86D92"/>
    <w:rsid w:val="00A87CF4"/>
    <w:rsid w:val="00A87E48"/>
    <w:rsid w:val="00A950D4"/>
    <w:rsid w:val="00A97D2C"/>
    <w:rsid w:val="00AA1E62"/>
    <w:rsid w:val="00AA4C36"/>
    <w:rsid w:val="00AB32AB"/>
    <w:rsid w:val="00AB4121"/>
    <w:rsid w:val="00AC77E6"/>
    <w:rsid w:val="00AD1806"/>
    <w:rsid w:val="00AD2A9F"/>
    <w:rsid w:val="00AE10EC"/>
    <w:rsid w:val="00AE3360"/>
    <w:rsid w:val="00AE40D9"/>
    <w:rsid w:val="00AE4AD5"/>
    <w:rsid w:val="00AF1CB0"/>
    <w:rsid w:val="00AF39B6"/>
    <w:rsid w:val="00AF4B88"/>
    <w:rsid w:val="00AF5BDA"/>
    <w:rsid w:val="00B03A07"/>
    <w:rsid w:val="00B04F32"/>
    <w:rsid w:val="00B05EF7"/>
    <w:rsid w:val="00B14A2F"/>
    <w:rsid w:val="00B2482E"/>
    <w:rsid w:val="00B24AD3"/>
    <w:rsid w:val="00B260BF"/>
    <w:rsid w:val="00B26F7D"/>
    <w:rsid w:val="00B3107F"/>
    <w:rsid w:val="00B33DB8"/>
    <w:rsid w:val="00B36999"/>
    <w:rsid w:val="00B579BB"/>
    <w:rsid w:val="00B6038C"/>
    <w:rsid w:val="00B62B44"/>
    <w:rsid w:val="00B62E69"/>
    <w:rsid w:val="00B67C64"/>
    <w:rsid w:val="00B71413"/>
    <w:rsid w:val="00B735AE"/>
    <w:rsid w:val="00B76FF9"/>
    <w:rsid w:val="00B84B77"/>
    <w:rsid w:val="00B858B4"/>
    <w:rsid w:val="00B96FF3"/>
    <w:rsid w:val="00B97378"/>
    <w:rsid w:val="00BA1949"/>
    <w:rsid w:val="00BB4A54"/>
    <w:rsid w:val="00BB5494"/>
    <w:rsid w:val="00BC7B8E"/>
    <w:rsid w:val="00BE0D65"/>
    <w:rsid w:val="00BF236D"/>
    <w:rsid w:val="00BF33AE"/>
    <w:rsid w:val="00BF600A"/>
    <w:rsid w:val="00C00FE3"/>
    <w:rsid w:val="00C045B1"/>
    <w:rsid w:val="00C0538D"/>
    <w:rsid w:val="00C10006"/>
    <w:rsid w:val="00C121A2"/>
    <w:rsid w:val="00C20F6F"/>
    <w:rsid w:val="00C248D5"/>
    <w:rsid w:val="00C25E29"/>
    <w:rsid w:val="00C27F3D"/>
    <w:rsid w:val="00C328A0"/>
    <w:rsid w:val="00C34C8F"/>
    <w:rsid w:val="00C4430C"/>
    <w:rsid w:val="00C5022E"/>
    <w:rsid w:val="00C61076"/>
    <w:rsid w:val="00C65187"/>
    <w:rsid w:val="00C7708F"/>
    <w:rsid w:val="00C8241F"/>
    <w:rsid w:val="00C94856"/>
    <w:rsid w:val="00CB33CA"/>
    <w:rsid w:val="00CB41D2"/>
    <w:rsid w:val="00CC2831"/>
    <w:rsid w:val="00CC40C0"/>
    <w:rsid w:val="00CC75AA"/>
    <w:rsid w:val="00CD121D"/>
    <w:rsid w:val="00CD43F3"/>
    <w:rsid w:val="00CD5600"/>
    <w:rsid w:val="00CE7FE2"/>
    <w:rsid w:val="00D00362"/>
    <w:rsid w:val="00D233D6"/>
    <w:rsid w:val="00D2408A"/>
    <w:rsid w:val="00D251CE"/>
    <w:rsid w:val="00D25EF5"/>
    <w:rsid w:val="00D30BB7"/>
    <w:rsid w:val="00D31F06"/>
    <w:rsid w:val="00D358EB"/>
    <w:rsid w:val="00D40355"/>
    <w:rsid w:val="00D4286F"/>
    <w:rsid w:val="00D4371D"/>
    <w:rsid w:val="00D43959"/>
    <w:rsid w:val="00D46B72"/>
    <w:rsid w:val="00D47289"/>
    <w:rsid w:val="00D54607"/>
    <w:rsid w:val="00D547F1"/>
    <w:rsid w:val="00D56D3D"/>
    <w:rsid w:val="00D644B0"/>
    <w:rsid w:val="00D64A7E"/>
    <w:rsid w:val="00D67777"/>
    <w:rsid w:val="00D80FE4"/>
    <w:rsid w:val="00D82866"/>
    <w:rsid w:val="00D83EA4"/>
    <w:rsid w:val="00D93E70"/>
    <w:rsid w:val="00DA110B"/>
    <w:rsid w:val="00DB45AA"/>
    <w:rsid w:val="00DC6FA2"/>
    <w:rsid w:val="00DD2036"/>
    <w:rsid w:val="00DD68A3"/>
    <w:rsid w:val="00DD6983"/>
    <w:rsid w:val="00DE5DFC"/>
    <w:rsid w:val="00DE6010"/>
    <w:rsid w:val="00DE7DF7"/>
    <w:rsid w:val="00DF2A61"/>
    <w:rsid w:val="00DF420A"/>
    <w:rsid w:val="00E02B07"/>
    <w:rsid w:val="00E03B63"/>
    <w:rsid w:val="00E13820"/>
    <w:rsid w:val="00E204E3"/>
    <w:rsid w:val="00E2344B"/>
    <w:rsid w:val="00E237D9"/>
    <w:rsid w:val="00E51B7A"/>
    <w:rsid w:val="00E555B0"/>
    <w:rsid w:val="00E60DEF"/>
    <w:rsid w:val="00E61DE5"/>
    <w:rsid w:val="00E63969"/>
    <w:rsid w:val="00E6748B"/>
    <w:rsid w:val="00E728BC"/>
    <w:rsid w:val="00E81E2D"/>
    <w:rsid w:val="00EA4ADC"/>
    <w:rsid w:val="00EB01D7"/>
    <w:rsid w:val="00EB552A"/>
    <w:rsid w:val="00EB677F"/>
    <w:rsid w:val="00EC40D7"/>
    <w:rsid w:val="00EC79C3"/>
    <w:rsid w:val="00EF5BF3"/>
    <w:rsid w:val="00EF7B66"/>
    <w:rsid w:val="00F06077"/>
    <w:rsid w:val="00F22885"/>
    <w:rsid w:val="00F3202C"/>
    <w:rsid w:val="00F338AE"/>
    <w:rsid w:val="00F4690D"/>
    <w:rsid w:val="00F516B3"/>
    <w:rsid w:val="00F51A13"/>
    <w:rsid w:val="00F55398"/>
    <w:rsid w:val="00F654A7"/>
    <w:rsid w:val="00F81767"/>
    <w:rsid w:val="00F82CCA"/>
    <w:rsid w:val="00F85474"/>
    <w:rsid w:val="00F87B08"/>
    <w:rsid w:val="00F90B4C"/>
    <w:rsid w:val="00F922E6"/>
    <w:rsid w:val="00F93407"/>
    <w:rsid w:val="00FA0D49"/>
    <w:rsid w:val="00FA4D8A"/>
    <w:rsid w:val="00FA66AA"/>
    <w:rsid w:val="00FA79D9"/>
    <w:rsid w:val="00FB01A6"/>
    <w:rsid w:val="00FB1AFA"/>
    <w:rsid w:val="00FB4B51"/>
    <w:rsid w:val="00FB5683"/>
    <w:rsid w:val="00FB575F"/>
    <w:rsid w:val="00FC533F"/>
    <w:rsid w:val="00FC5576"/>
    <w:rsid w:val="00FC67A2"/>
    <w:rsid w:val="00FD061B"/>
    <w:rsid w:val="00FD1F48"/>
    <w:rsid w:val="00FD243A"/>
    <w:rsid w:val="00FD3C52"/>
    <w:rsid w:val="00FE223C"/>
    <w:rsid w:val="00FE4C5A"/>
    <w:rsid w:val="00FE501D"/>
    <w:rsid w:val="00FF1708"/>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6C10A"/>
  <w15:docId w15:val="{C73029EA-860F-45A7-BCA0-AF7249C2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8229C"/>
    <w:rPr>
      <w:sz w:val="24"/>
      <w:szCs w:val="24"/>
      <w:lang w:val="en-CA"/>
    </w:rPr>
  </w:style>
  <w:style w:type="paragraph" w:styleId="Heading1">
    <w:name w:val="heading 1"/>
    <w:basedOn w:val="BodyText"/>
    <w:qFormat/>
    <w:rsid w:val="00A8229C"/>
    <w:pPr>
      <w:numPr>
        <w:numId w:val="16"/>
      </w:numPr>
      <w:outlineLvl w:val="0"/>
    </w:pPr>
    <w:rPr>
      <w:rFonts w:cs="Arial"/>
      <w:bCs/>
    </w:rPr>
  </w:style>
  <w:style w:type="paragraph" w:styleId="Heading2">
    <w:name w:val="heading 2"/>
    <w:basedOn w:val="BodyText"/>
    <w:qFormat/>
    <w:rsid w:val="00A8229C"/>
    <w:pPr>
      <w:numPr>
        <w:ilvl w:val="1"/>
        <w:numId w:val="16"/>
      </w:numPr>
      <w:outlineLvl w:val="1"/>
    </w:pPr>
    <w:rPr>
      <w:rFonts w:cs="Arial"/>
      <w:bCs/>
      <w:iCs/>
    </w:rPr>
  </w:style>
  <w:style w:type="paragraph" w:styleId="Heading3">
    <w:name w:val="heading 3"/>
    <w:basedOn w:val="BodyText"/>
    <w:qFormat/>
    <w:rsid w:val="00A8229C"/>
    <w:pPr>
      <w:numPr>
        <w:ilvl w:val="2"/>
        <w:numId w:val="16"/>
      </w:numPr>
      <w:outlineLvl w:val="2"/>
    </w:pPr>
    <w:rPr>
      <w:rFonts w:cs="Arial"/>
      <w:bCs/>
    </w:rPr>
  </w:style>
  <w:style w:type="paragraph" w:styleId="Heading4">
    <w:name w:val="heading 4"/>
    <w:basedOn w:val="BodyText"/>
    <w:qFormat/>
    <w:rsid w:val="00A8229C"/>
    <w:pPr>
      <w:numPr>
        <w:ilvl w:val="3"/>
        <w:numId w:val="16"/>
      </w:numPr>
      <w:outlineLvl w:val="3"/>
    </w:pPr>
    <w:rPr>
      <w:bCs/>
    </w:rPr>
  </w:style>
  <w:style w:type="paragraph" w:styleId="Heading5">
    <w:name w:val="heading 5"/>
    <w:basedOn w:val="BodyText"/>
    <w:qFormat/>
    <w:rsid w:val="00A8229C"/>
    <w:pPr>
      <w:numPr>
        <w:ilvl w:val="4"/>
        <w:numId w:val="16"/>
      </w:numPr>
      <w:outlineLvl w:val="4"/>
    </w:pPr>
    <w:rPr>
      <w:bCs/>
      <w:iCs/>
    </w:rPr>
  </w:style>
  <w:style w:type="paragraph" w:styleId="Heading6">
    <w:name w:val="heading 6"/>
    <w:basedOn w:val="BodyText"/>
    <w:qFormat/>
    <w:rsid w:val="00A8229C"/>
    <w:pPr>
      <w:numPr>
        <w:ilvl w:val="5"/>
        <w:numId w:val="16"/>
      </w:numPr>
      <w:outlineLvl w:val="5"/>
    </w:pPr>
    <w:rPr>
      <w:bCs/>
    </w:rPr>
  </w:style>
  <w:style w:type="paragraph" w:styleId="Heading7">
    <w:name w:val="heading 7"/>
    <w:basedOn w:val="BodyText"/>
    <w:qFormat/>
    <w:rsid w:val="00A8229C"/>
    <w:pPr>
      <w:numPr>
        <w:ilvl w:val="6"/>
        <w:numId w:val="16"/>
      </w:numPr>
      <w:outlineLvl w:val="6"/>
    </w:pPr>
  </w:style>
  <w:style w:type="paragraph" w:styleId="Heading8">
    <w:name w:val="heading 8"/>
    <w:basedOn w:val="Normal"/>
    <w:next w:val="BodyText"/>
    <w:qFormat/>
    <w:rsid w:val="00A8229C"/>
    <w:pPr>
      <w:keepNext/>
      <w:keepLines/>
      <w:numPr>
        <w:ilvl w:val="7"/>
        <w:numId w:val="16"/>
      </w:numPr>
      <w:spacing w:before="240"/>
      <w:jc w:val="center"/>
      <w:outlineLvl w:val="7"/>
    </w:pPr>
    <w:rPr>
      <w:b/>
      <w:iCs/>
      <w:caps/>
    </w:rPr>
  </w:style>
  <w:style w:type="paragraph" w:styleId="Heading9">
    <w:name w:val="heading 9"/>
    <w:basedOn w:val="BodyText"/>
    <w:qFormat/>
    <w:rsid w:val="00A8229C"/>
    <w:pPr>
      <w:numPr>
        <w:ilvl w:val="8"/>
        <w:numId w:val="16"/>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229C"/>
    <w:pPr>
      <w:spacing w:before="240"/>
      <w:jc w:val="both"/>
    </w:pPr>
  </w:style>
  <w:style w:type="paragraph" w:styleId="BodyTextIndent">
    <w:name w:val="Body Text Indent"/>
    <w:basedOn w:val="BodyText"/>
    <w:rsid w:val="00A8229C"/>
    <w:pPr>
      <w:ind w:left="720"/>
    </w:pPr>
  </w:style>
  <w:style w:type="paragraph" w:styleId="BodyTextIndent2">
    <w:name w:val="Body Text Indent 2"/>
    <w:basedOn w:val="Normal"/>
    <w:semiHidden/>
    <w:rsid w:val="00A8229C"/>
    <w:pPr>
      <w:spacing w:after="120" w:line="480" w:lineRule="auto"/>
      <w:ind w:left="360"/>
    </w:pPr>
  </w:style>
  <w:style w:type="paragraph" w:styleId="BodyTextIndent3">
    <w:name w:val="Body Text Indent 3"/>
    <w:basedOn w:val="Normal"/>
    <w:semiHidden/>
    <w:rsid w:val="00A8229C"/>
    <w:pPr>
      <w:spacing w:after="120"/>
      <w:ind w:left="360"/>
    </w:pPr>
    <w:rPr>
      <w:sz w:val="16"/>
      <w:szCs w:val="16"/>
    </w:rPr>
  </w:style>
  <w:style w:type="paragraph" w:styleId="Caption">
    <w:name w:val="caption"/>
    <w:basedOn w:val="Normal"/>
    <w:next w:val="Normal"/>
    <w:qFormat/>
    <w:rsid w:val="00A8229C"/>
    <w:pPr>
      <w:spacing w:before="120" w:after="120"/>
    </w:pPr>
    <w:rPr>
      <w:b/>
      <w:bCs/>
    </w:rPr>
  </w:style>
  <w:style w:type="character" w:styleId="CommentReference">
    <w:name w:val="annotation reference"/>
    <w:semiHidden/>
    <w:rsid w:val="00A8229C"/>
    <w:rPr>
      <w:sz w:val="16"/>
      <w:szCs w:val="16"/>
    </w:rPr>
  </w:style>
  <w:style w:type="paragraph" w:styleId="CommentText">
    <w:name w:val="annotation text"/>
    <w:basedOn w:val="Normal"/>
    <w:semiHidden/>
    <w:rsid w:val="00A8229C"/>
    <w:rPr>
      <w:sz w:val="20"/>
      <w:szCs w:val="20"/>
    </w:rPr>
  </w:style>
  <w:style w:type="paragraph" w:styleId="CommentSubject">
    <w:name w:val="annotation subject"/>
    <w:basedOn w:val="CommentText"/>
    <w:next w:val="CommentText"/>
    <w:semiHidden/>
    <w:rsid w:val="00A8229C"/>
    <w:rPr>
      <w:b/>
      <w:bCs/>
    </w:rPr>
  </w:style>
  <w:style w:type="paragraph" w:styleId="DocumentMap">
    <w:name w:val="Document Map"/>
    <w:basedOn w:val="Normal"/>
    <w:semiHidden/>
    <w:rsid w:val="00A8229C"/>
    <w:pPr>
      <w:shd w:val="clear" w:color="auto" w:fill="000080"/>
    </w:pPr>
    <w:rPr>
      <w:rFonts w:ascii="Tahoma" w:hAnsi="Tahoma" w:cs="Tahoma"/>
      <w:sz w:val="20"/>
      <w:szCs w:val="20"/>
    </w:rPr>
  </w:style>
  <w:style w:type="character" w:styleId="EndnoteReference">
    <w:name w:val="endnote reference"/>
    <w:semiHidden/>
    <w:rsid w:val="00A8229C"/>
    <w:rPr>
      <w:vertAlign w:val="superscript"/>
    </w:rPr>
  </w:style>
  <w:style w:type="paragraph" w:styleId="EndnoteText">
    <w:name w:val="endnote text"/>
    <w:basedOn w:val="Normal"/>
    <w:semiHidden/>
    <w:rsid w:val="00A8229C"/>
    <w:rPr>
      <w:sz w:val="20"/>
      <w:szCs w:val="20"/>
    </w:rPr>
  </w:style>
  <w:style w:type="character" w:styleId="FootnoteReference">
    <w:name w:val="footnote reference"/>
    <w:semiHidden/>
    <w:rsid w:val="00A8229C"/>
    <w:rPr>
      <w:vertAlign w:val="superscript"/>
    </w:rPr>
  </w:style>
  <w:style w:type="paragraph" w:styleId="FootnoteText">
    <w:name w:val="footnote text"/>
    <w:basedOn w:val="Normal"/>
    <w:semiHidden/>
    <w:rsid w:val="00A8229C"/>
    <w:rPr>
      <w:sz w:val="20"/>
      <w:szCs w:val="20"/>
    </w:rPr>
  </w:style>
  <w:style w:type="paragraph" w:styleId="Index1">
    <w:name w:val="index 1"/>
    <w:basedOn w:val="Normal"/>
    <w:next w:val="Normal"/>
    <w:autoRedefine/>
    <w:semiHidden/>
    <w:rsid w:val="00A8229C"/>
    <w:pPr>
      <w:ind w:left="240" w:hanging="240"/>
    </w:pPr>
  </w:style>
  <w:style w:type="paragraph" w:styleId="Index2">
    <w:name w:val="index 2"/>
    <w:basedOn w:val="Normal"/>
    <w:next w:val="Normal"/>
    <w:autoRedefine/>
    <w:semiHidden/>
    <w:rsid w:val="00A8229C"/>
    <w:pPr>
      <w:ind w:left="480" w:hanging="240"/>
    </w:pPr>
  </w:style>
  <w:style w:type="paragraph" w:styleId="Index3">
    <w:name w:val="index 3"/>
    <w:basedOn w:val="Normal"/>
    <w:next w:val="Normal"/>
    <w:autoRedefine/>
    <w:semiHidden/>
    <w:rsid w:val="00A8229C"/>
    <w:pPr>
      <w:ind w:left="720" w:hanging="240"/>
    </w:pPr>
  </w:style>
  <w:style w:type="paragraph" w:styleId="Index4">
    <w:name w:val="index 4"/>
    <w:basedOn w:val="Normal"/>
    <w:next w:val="Normal"/>
    <w:autoRedefine/>
    <w:semiHidden/>
    <w:rsid w:val="00A8229C"/>
    <w:pPr>
      <w:ind w:left="960" w:hanging="240"/>
    </w:pPr>
  </w:style>
  <w:style w:type="paragraph" w:styleId="Index5">
    <w:name w:val="index 5"/>
    <w:basedOn w:val="Normal"/>
    <w:next w:val="Normal"/>
    <w:autoRedefine/>
    <w:semiHidden/>
    <w:rsid w:val="00A8229C"/>
    <w:pPr>
      <w:ind w:left="1200" w:hanging="240"/>
    </w:pPr>
  </w:style>
  <w:style w:type="paragraph" w:styleId="Index6">
    <w:name w:val="index 6"/>
    <w:basedOn w:val="Normal"/>
    <w:next w:val="Normal"/>
    <w:autoRedefine/>
    <w:semiHidden/>
    <w:rsid w:val="00A8229C"/>
    <w:pPr>
      <w:ind w:left="1440" w:hanging="240"/>
    </w:pPr>
  </w:style>
  <w:style w:type="paragraph" w:styleId="Index7">
    <w:name w:val="index 7"/>
    <w:basedOn w:val="Normal"/>
    <w:next w:val="Normal"/>
    <w:autoRedefine/>
    <w:semiHidden/>
    <w:rsid w:val="00A8229C"/>
    <w:pPr>
      <w:ind w:left="1680" w:hanging="240"/>
    </w:pPr>
  </w:style>
  <w:style w:type="paragraph" w:styleId="Index8">
    <w:name w:val="index 8"/>
    <w:basedOn w:val="Normal"/>
    <w:next w:val="Normal"/>
    <w:autoRedefine/>
    <w:semiHidden/>
    <w:rsid w:val="00A8229C"/>
    <w:pPr>
      <w:ind w:left="1920" w:hanging="240"/>
    </w:pPr>
  </w:style>
  <w:style w:type="paragraph" w:styleId="Index9">
    <w:name w:val="index 9"/>
    <w:basedOn w:val="Normal"/>
    <w:next w:val="Normal"/>
    <w:autoRedefine/>
    <w:semiHidden/>
    <w:rsid w:val="00A8229C"/>
    <w:pPr>
      <w:ind w:left="2160" w:hanging="240"/>
    </w:pPr>
  </w:style>
  <w:style w:type="paragraph" w:styleId="IndexHeading">
    <w:name w:val="index heading"/>
    <w:basedOn w:val="Normal"/>
    <w:next w:val="Index1"/>
    <w:semiHidden/>
    <w:rsid w:val="00A8229C"/>
    <w:rPr>
      <w:rFonts w:ascii="Arial" w:hAnsi="Arial" w:cs="Arial"/>
      <w:b/>
      <w:bCs/>
    </w:rPr>
  </w:style>
  <w:style w:type="paragraph" w:styleId="MacroText">
    <w:name w:val="macro"/>
    <w:semiHidden/>
    <w:rsid w:val="00A822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CA"/>
    </w:rPr>
  </w:style>
  <w:style w:type="paragraph" w:styleId="TableofAuthorities">
    <w:name w:val="table of authorities"/>
    <w:basedOn w:val="Normal"/>
    <w:next w:val="BodyText"/>
    <w:semiHidden/>
    <w:rsid w:val="00A8229C"/>
    <w:pPr>
      <w:keepLines/>
      <w:tabs>
        <w:tab w:val="left" w:pos="720"/>
        <w:tab w:val="right" w:leader="dot" w:pos="9360"/>
      </w:tabs>
      <w:spacing w:before="240"/>
      <w:ind w:left="720" w:right="1440" w:hanging="720"/>
    </w:pPr>
  </w:style>
  <w:style w:type="paragraph" w:styleId="TableofFigures">
    <w:name w:val="table of figures"/>
    <w:basedOn w:val="Normal"/>
    <w:next w:val="Normal"/>
    <w:semiHidden/>
    <w:rsid w:val="00A8229C"/>
    <w:pPr>
      <w:ind w:left="475" w:hanging="475"/>
    </w:pPr>
  </w:style>
  <w:style w:type="paragraph" w:styleId="TOAHeading">
    <w:name w:val="toa heading"/>
    <w:basedOn w:val="Normal"/>
    <w:next w:val="Normal"/>
    <w:semiHidden/>
    <w:rsid w:val="00A8229C"/>
    <w:pPr>
      <w:keepNext/>
      <w:spacing w:before="240"/>
    </w:pPr>
    <w:rPr>
      <w:rFonts w:cs="Arial"/>
      <w:b/>
      <w:bCs/>
    </w:rPr>
  </w:style>
  <w:style w:type="paragraph" w:styleId="TOC1">
    <w:name w:val="toc 1"/>
    <w:basedOn w:val="Normal"/>
    <w:next w:val="Normal"/>
    <w:autoRedefine/>
    <w:semiHidden/>
    <w:rsid w:val="00A8229C"/>
    <w:pPr>
      <w:keepNext/>
      <w:tabs>
        <w:tab w:val="left" w:pos="720"/>
        <w:tab w:val="right" w:leader="dot" w:pos="9360"/>
      </w:tabs>
      <w:spacing w:before="360"/>
    </w:pPr>
    <w:rPr>
      <w:caps/>
    </w:rPr>
  </w:style>
  <w:style w:type="paragraph" w:styleId="TOC2">
    <w:name w:val="toc 2"/>
    <w:basedOn w:val="Normal"/>
    <w:next w:val="Normal"/>
    <w:autoRedefine/>
    <w:semiHidden/>
    <w:rsid w:val="00A8229C"/>
    <w:pPr>
      <w:tabs>
        <w:tab w:val="left" w:pos="1440"/>
        <w:tab w:val="right" w:leader="dot" w:pos="9360"/>
      </w:tabs>
      <w:spacing w:before="120"/>
      <w:ind w:left="1440" w:hanging="720"/>
    </w:pPr>
  </w:style>
  <w:style w:type="paragraph" w:styleId="TOC3">
    <w:name w:val="toc 3"/>
    <w:basedOn w:val="Normal"/>
    <w:next w:val="Normal"/>
    <w:autoRedefine/>
    <w:semiHidden/>
    <w:rsid w:val="00A8229C"/>
    <w:pPr>
      <w:tabs>
        <w:tab w:val="left" w:pos="2160"/>
        <w:tab w:val="right" w:leader="dot" w:pos="9360"/>
      </w:tabs>
      <w:spacing w:before="120"/>
      <w:ind w:left="2160" w:hanging="720"/>
    </w:pPr>
  </w:style>
  <w:style w:type="paragraph" w:styleId="TOC4">
    <w:name w:val="toc 4"/>
    <w:basedOn w:val="Normal"/>
    <w:next w:val="Normal"/>
    <w:autoRedefine/>
    <w:semiHidden/>
    <w:rsid w:val="00A8229C"/>
    <w:pPr>
      <w:tabs>
        <w:tab w:val="left" w:pos="2880"/>
        <w:tab w:val="right" w:leader="dot" w:pos="9360"/>
      </w:tabs>
      <w:spacing w:before="120"/>
      <w:ind w:left="2880" w:hanging="720"/>
    </w:pPr>
  </w:style>
  <w:style w:type="paragraph" w:styleId="TOC5">
    <w:name w:val="toc 5"/>
    <w:basedOn w:val="Normal"/>
    <w:next w:val="Normal"/>
    <w:autoRedefine/>
    <w:semiHidden/>
    <w:rsid w:val="00A8229C"/>
    <w:pPr>
      <w:tabs>
        <w:tab w:val="left" w:pos="3600"/>
        <w:tab w:val="right" w:leader="dot" w:pos="9360"/>
      </w:tabs>
      <w:spacing w:before="120"/>
      <w:ind w:left="3600" w:hanging="720"/>
    </w:pPr>
  </w:style>
  <w:style w:type="paragraph" w:styleId="TOC6">
    <w:name w:val="toc 6"/>
    <w:basedOn w:val="Normal"/>
    <w:next w:val="Normal"/>
    <w:autoRedefine/>
    <w:semiHidden/>
    <w:rsid w:val="00A8229C"/>
    <w:pPr>
      <w:tabs>
        <w:tab w:val="left" w:pos="4320"/>
        <w:tab w:val="right" w:leader="dot" w:pos="9360"/>
      </w:tabs>
      <w:spacing w:before="120"/>
      <w:ind w:left="4320" w:hanging="720"/>
    </w:pPr>
  </w:style>
  <w:style w:type="paragraph" w:styleId="TOC7">
    <w:name w:val="toc 7"/>
    <w:basedOn w:val="Normal"/>
    <w:next w:val="Normal"/>
    <w:autoRedefine/>
    <w:semiHidden/>
    <w:rsid w:val="00A8229C"/>
    <w:pPr>
      <w:tabs>
        <w:tab w:val="left" w:pos="5040"/>
        <w:tab w:val="right" w:leader="dot" w:pos="9360"/>
      </w:tabs>
      <w:spacing w:before="120"/>
      <w:ind w:left="5040" w:hanging="720"/>
    </w:pPr>
  </w:style>
  <w:style w:type="paragraph" w:styleId="TOC8">
    <w:name w:val="toc 8"/>
    <w:basedOn w:val="Normal"/>
    <w:next w:val="Normal"/>
    <w:autoRedefine/>
    <w:semiHidden/>
    <w:rsid w:val="00A8229C"/>
    <w:pPr>
      <w:ind w:left="1680"/>
    </w:pPr>
  </w:style>
  <w:style w:type="paragraph" w:styleId="TOC9">
    <w:name w:val="toc 9"/>
    <w:basedOn w:val="Normal"/>
    <w:next w:val="Normal"/>
    <w:autoRedefine/>
    <w:semiHidden/>
    <w:rsid w:val="00A8229C"/>
    <w:pPr>
      <w:ind w:left="1920"/>
    </w:pPr>
  </w:style>
  <w:style w:type="paragraph" w:customStyle="1" w:styleId="Citation">
    <w:name w:val="Citation"/>
    <w:basedOn w:val="Normal"/>
    <w:rsid w:val="00A8229C"/>
    <w:pPr>
      <w:keepLines/>
      <w:spacing w:before="240"/>
      <w:ind w:left="1440"/>
    </w:pPr>
  </w:style>
  <w:style w:type="paragraph" w:styleId="Closing">
    <w:name w:val="Closing"/>
    <w:basedOn w:val="Normal"/>
    <w:semiHidden/>
    <w:rsid w:val="00A8229C"/>
    <w:pPr>
      <w:ind w:left="4320"/>
    </w:pPr>
  </w:style>
  <w:style w:type="character" w:customStyle="1" w:styleId="CommentHidden">
    <w:name w:val="Comment (Hidden)"/>
    <w:rsid w:val="00A8229C"/>
    <w:rPr>
      <w:rFonts w:ascii="Arial" w:hAnsi="Arial"/>
      <w:caps/>
      <w:vanish/>
      <w:color w:val="0000FF"/>
      <w:sz w:val="18"/>
      <w:szCs w:val="18"/>
    </w:rPr>
  </w:style>
  <w:style w:type="paragraph" w:styleId="EnvelopeAddress">
    <w:name w:val="envelope address"/>
    <w:basedOn w:val="Normal"/>
    <w:semiHidden/>
    <w:rsid w:val="00A8229C"/>
    <w:pPr>
      <w:framePr w:w="7920" w:h="2880" w:hRule="exact" w:hSpace="187" w:vSpace="187" w:wrap="around" w:hAnchor="page" w:xAlign="center" w:yAlign="bottom"/>
      <w:ind w:left="2880"/>
    </w:pPr>
    <w:rPr>
      <w:rFonts w:cs="Arial"/>
    </w:rPr>
  </w:style>
  <w:style w:type="paragraph" w:styleId="EnvelopeReturn">
    <w:name w:val="envelope return"/>
    <w:basedOn w:val="Normal"/>
    <w:semiHidden/>
    <w:rsid w:val="00A8229C"/>
    <w:pPr>
      <w:framePr w:w="4320" w:h="1440" w:hRule="exact" w:hSpace="187" w:vSpace="187" w:wrap="around" w:vAnchor="page" w:hAnchor="margin" w:y="1585"/>
    </w:pPr>
    <w:rPr>
      <w:rFonts w:ascii="Arial" w:hAnsi="Arial" w:cs="Arial"/>
      <w:sz w:val="18"/>
      <w:szCs w:val="18"/>
    </w:rPr>
  </w:style>
  <w:style w:type="paragraph" w:styleId="Footer">
    <w:name w:val="footer"/>
    <w:basedOn w:val="Normal"/>
    <w:link w:val="FooterChar"/>
    <w:uiPriority w:val="99"/>
    <w:rsid w:val="00A8229C"/>
    <w:pPr>
      <w:tabs>
        <w:tab w:val="center" w:pos="4680"/>
        <w:tab w:val="right" w:pos="9360"/>
      </w:tabs>
    </w:pPr>
    <w:rPr>
      <w:sz w:val="14"/>
      <w:szCs w:val="14"/>
    </w:rPr>
  </w:style>
  <w:style w:type="paragraph" w:customStyle="1" w:styleId="HeadAltA">
    <w:name w:val="Head Alt A"/>
    <w:basedOn w:val="BodyText"/>
    <w:rsid w:val="00A8229C"/>
    <w:pPr>
      <w:numPr>
        <w:numId w:val="11"/>
      </w:numPr>
      <w:tabs>
        <w:tab w:val="clear" w:pos="0"/>
      </w:tabs>
    </w:pPr>
  </w:style>
  <w:style w:type="paragraph" w:customStyle="1" w:styleId="HeadAltB">
    <w:name w:val="Head Alt B"/>
    <w:basedOn w:val="BodyText"/>
    <w:rsid w:val="00A8229C"/>
    <w:pPr>
      <w:numPr>
        <w:ilvl w:val="1"/>
        <w:numId w:val="11"/>
      </w:numPr>
    </w:pPr>
  </w:style>
  <w:style w:type="paragraph" w:styleId="Header">
    <w:name w:val="header"/>
    <w:basedOn w:val="Normal"/>
    <w:rsid w:val="00A8229C"/>
    <w:pPr>
      <w:tabs>
        <w:tab w:val="center" w:pos="4680"/>
        <w:tab w:val="right" w:pos="9360"/>
      </w:tabs>
    </w:pPr>
  </w:style>
  <w:style w:type="paragraph" w:styleId="List">
    <w:name w:val="List"/>
    <w:basedOn w:val="Normal"/>
    <w:semiHidden/>
    <w:rsid w:val="00A8229C"/>
    <w:pPr>
      <w:ind w:left="360" w:hanging="360"/>
    </w:pPr>
  </w:style>
  <w:style w:type="paragraph" w:styleId="List2">
    <w:name w:val="List 2"/>
    <w:basedOn w:val="Normal"/>
    <w:semiHidden/>
    <w:rsid w:val="00A8229C"/>
    <w:pPr>
      <w:ind w:left="720" w:hanging="360"/>
    </w:pPr>
  </w:style>
  <w:style w:type="paragraph" w:styleId="List3">
    <w:name w:val="List 3"/>
    <w:basedOn w:val="Normal"/>
    <w:semiHidden/>
    <w:rsid w:val="00A8229C"/>
    <w:pPr>
      <w:ind w:left="1080" w:hanging="360"/>
    </w:pPr>
  </w:style>
  <w:style w:type="paragraph" w:styleId="List4">
    <w:name w:val="List 4"/>
    <w:basedOn w:val="Normal"/>
    <w:semiHidden/>
    <w:rsid w:val="00A8229C"/>
    <w:pPr>
      <w:ind w:left="1440" w:hanging="360"/>
    </w:pPr>
  </w:style>
  <w:style w:type="paragraph" w:styleId="List5">
    <w:name w:val="List 5"/>
    <w:basedOn w:val="Normal"/>
    <w:semiHidden/>
    <w:rsid w:val="00A8229C"/>
    <w:pPr>
      <w:ind w:left="1800" w:hanging="360"/>
    </w:pPr>
  </w:style>
  <w:style w:type="paragraph" w:styleId="ListBullet2">
    <w:name w:val="List Bullet 2"/>
    <w:basedOn w:val="Normal"/>
    <w:semiHidden/>
    <w:rsid w:val="00A8229C"/>
    <w:pPr>
      <w:numPr>
        <w:numId w:val="2"/>
      </w:numPr>
      <w:tabs>
        <w:tab w:val="clear" w:pos="643"/>
        <w:tab w:val="left" w:pos="720"/>
      </w:tabs>
      <w:ind w:left="720"/>
    </w:pPr>
  </w:style>
  <w:style w:type="paragraph" w:styleId="ListBullet3">
    <w:name w:val="List Bullet 3"/>
    <w:basedOn w:val="Normal"/>
    <w:semiHidden/>
    <w:rsid w:val="00A8229C"/>
    <w:pPr>
      <w:numPr>
        <w:numId w:val="3"/>
      </w:numPr>
      <w:tabs>
        <w:tab w:val="clear" w:pos="926"/>
        <w:tab w:val="left" w:pos="1080"/>
      </w:tabs>
      <w:ind w:left="1080"/>
    </w:pPr>
  </w:style>
  <w:style w:type="paragraph" w:styleId="ListBullet4">
    <w:name w:val="List Bullet 4"/>
    <w:basedOn w:val="Normal"/>
    <w:semiHidden/>
    <w:rsid w:val="00A8229C"/>
    <w:pPr>
      <w:numPr>
        <w:numId w:val="4"/>
      </w:numPr>
      <w:tabs>
        <w:tab w:val="clear" w:pos="1209"/>
        <w:tab w:val="left" w:pos="1440"/>
      </w:tabs>
      <w:ind w:left="1440"/>
    </w:pPr>
  </w:style>
  <w:style w:type="paragraph" w:styleId="ListBullet5">
    <w:name w:val="List Bullet 5"/>
    <w:basedOn w:val="Normal"/>
    <w:semiHidden/>
    <w:rsid w:val="00A8229C"/>
    <w:pPr>
      <w:numPr>
        <w:numId w:val="5"/>
      </w:numPr>
      <w:tabs>
        <w:tab w:val="clear" w:pos="1492"/>
        <w:tab w:val="left" w:pos="1800"/>
      </w:tabs>
      <w:ind w:left="1800"/>
    </w:pPr>
  </w:style>
  <w:style w:type="paragraph" w:styleId="ListBullet">
    <w:name w:val="List Bullet"/>
    <w:basedOn w:val="Normal"/>
    <w:semiHidden/>
    <w:rsid w:val="00A8229C"/>
    <w:pPr>
      <w:numPr>
        <w:numId w:val="1"/>
      </w:numPr>
    </w:pPr>
  </w:style>
  <w:style w:type="paragraph" w:styleId="ListContinue">
    <w:name w:val="List Continue"/>
    <w:basedOn w:val="Normal"/>
    <w:semiHidden/>
    <w:rsid w:val="00A8229C"/>
    <w:pPr>
      <w:spacing w:after="120"/>
      <w:ind w:left="360"/>
    </w:pPr>
  </w:style>
  <w:style w:type="paragraph" w:styleId="ListContinue2">
    <w:name w:val="List Continue 2"/>
    <w:basedOn w:val="Normal"/>
    <w:semiHidden/>
    <w:rsid w:val="00A8229C"/>
    <w:pPr>
      <w:spacing w:after="120"/>
      <w:ind w:left="720"/>
    </w:pPr>
  </w:style>
  <w:style w:type="paragraph" w:styleId="ListContinue3">
    <w:name w:val="List Continue 3"/>
    <w:basedOn w:val="Normal"/>
    <w:semiHidden/>
    <w:rsid w:val="00A8229C"/>
    <w:pPr>
      <w:spacing w:after="120"/>
      <w:ind w:left="1080"/>
    </w:pPr>
  </w:style>
  <w:style w:type="paragraph" w:styleId="ListContinue4">
    <w:name w:val="List Continue 4"/>
    <w:basedOn w:val="Normal"/>
    <w:semiHidden/>
    <w:rsid w:val="00A8229C"/>
    <w:pPr>
      <w:spacing w:after="120"/>
      <w:ind w:left="1440"/>
    </w:pPr>
  </w:style>
  <w:style w:type="paragraph" w:styleId="ListContinue5">
    <w:name w:val="List Continue 5"/>
    <w:basedOn w:val="Normal"/>
    <w:semiHidden/>
    <w:rsid w:val="00A8229C"/>
    <w:pPr>
      <w:spacing w:after="120"/>
      <w:ind w:left="1800"/>
    </w:pPr>
  </w:style>
  <w:style w:type="paragraph" w:styleId="ListNumber2">
    <w:name w:val="List Number 2"/>
    <w:basedOn w:val="Normal"/>
    <w:semiHidden/>
    <w:rsid w:val="00A8229C"/>
    <w:pPr>
      <w:numPr>
        <w:numId w:val="7"/>
      </w:numPr>
      <w:tabs>
        <w:tab w:val="clear" w:pos="643"/>
        <w:tab w:val="left" w:pos="720"/>
      </w:tabs>
      <w:ind w:left="720"/>
    </w:pPr>
  </w:style>
  <w:style w:type="paragraph" w:styleId="ListNumber3">
    <w:name w:val="List Number 3"/>
    <w:basedOn w:val="Normal"/>
    <w:semiHidden/>
    <w:rsid w:val="00A8229C"/>
    <w:pPr>
      <w:numPr>
        <w:numId w:val="8"/>
      </w:numPr>
      <w:tabs>
        <w:tab w:val="clear" w:pos="926"/>
        <w:tab w:val="left" w:pos="1080"/>
      </w:tabs>
      <w:ind w:left="1080"/>
    </w:pPr>
  </w:style>
  <w:style w:type="paragraph" w:styleId="ListNumber4">
    <w:name w:val="List Number 4"/>
    <w:basedOn w:val="Normal"/>
    <w:semiHidden/>
    <w:rsid w:val="00A8229C"/>
    <w:pPr>
      <w:numPr>
        <w:numId w:val="9"/>
      </w:numPr>
      <w:tabs>
        <w:tab w:val="clear" w:pos="1209"/>
        <w:tab w:val="left" w:pos="1440"/>
      </w:tabs>
      <w:ind w:left="1440"/>
    </w:pPr>
  </w:style>
  <w:style w:type="paragraph" w:styleId="ListNumber5">
    <w:name w:val="List Number 5"/>
    <w:basedOn w:val="Normal"/>
    <w:semiHidden/>
    <w:rsid w:val="00A8229C"/>
    <w:pPr>
      <w:numPr>
        <w:numId w:val="10"/>
      </w:numPr>
      <w:tabs>
        <w:tab w:val="clear" w:pos="1492"/>
        <w:tab w:val="left" w:pos="1800"/>
      </w:tabs>
      <w:ind w:left="1800"/>
    </w:pPr>
  </w:style>
  <w:style w:type="paragraph" w:customStyle="1" w:styleId="NumList1">
    <w:name w:val="Num List 1"/>
    <w:basedOn w:val="BodyText"/>
    <w:rsid w:val="00A8229C"/>
    <w:pPr>
      <w:numPr>
        <w:numId w:val="19"/>
      </w:numPr>
    </w:pPr>
  </w:style>
  <w:style w:type="paragraph" w:customStyle="1" w:styleId="NumList2">
    <w:name w:val="Num List 2"/>
    <w:basedOn w:val="BodyText"/>
    <w:rsid w:val="00A8229C"/>
    <w:pPr>
      <w:numPr>
        <w:numId w:val="21"/>
      </w:numPr>
    </w:pPr>
  </w:style>
  <w:style w:type="paragraph" w:customStyle="1" w:styleId="NumListA1">
    <w:name w:val="Num List A1"/>
    <w:basedOn w:val="BodyText"/>
    <w:rsid w:val="00A8229C"/>
    <w:pPr>
      <w:numPr>
        <w:numId w:val="22"/>
      </w:numPr>
    </w:pPr>
  </w:style>
  <w:style w:type="paragraph" w:customStyle="1" w:styleId="NumListA2">
    <w:name w:val="Num List A2"/>
    <w:basedOn w:val="BodyText"/>
    <w:rsid w:val="00A8229C"/>
    <w:pPr>
      <w:numPr>
        <w:numId w:val="23"/>
      </w:numPr>
    </w:pPr>
  </w:style>
  <w:style w:type="paragraph" w:customStyle="1" w:styleId="Quote1">
    <w:name w:val="Quote 1"/>
    <w:basedOn w:val="Normal"/>
    <w:rsid w:val="00A8229C"/>
    <w:pPr>
      <w:spacing w:before="240"/>
      <w:ind w:left="1440" w:right="1440"/>
      <w:jc w:val="both"/>
    </w:pPr>
  </w:style>
  <w:style w:type="paragraph" w:customStyle="1" w:styleId="Quote2">
    <w:name w:val="Quote 2"/>
    <w:basedOn w:val="Normal"/>
    <w:rsid w:val="00A8229C"/>
    <w:pPr>
      <w:spacing w:before="240"/>
      <w:ind w:left="2160" w:right="1440"/>
      <w:jc w:val="both"/>
    </w:pPr>
  </w:style>
  <w:style w:type="paragraph" w:customStyle="1" w:styleId="Quote3">
    <w:name w:val="Quote 3"/>
    <w:basedOn w:val="Normal"/>
    <w:rsid w:val="00A8229C"/>
    <w:pPr>
      <w:tabs>
        <w:tab w:val="left" w:pos="1440"/>
      </w:tabs>
      <w:spacing w:before="240"/>
      <w:ind w:left="1440" w:right="1440" w:hanging="720"/>
      <w:jc w:val="both"/>
    </w:pPr>
  </w:style>
  <w:style w:type="paragraph" w:customStyle="1" w:styleId="Quote4">
    <w:name w:val="Quote 4"/>
    <w:basedOn w:val="Normal"/>
    <w:rsid w:val="00A8229C"/>
    <w:pPr>
      <w:spacing w:before="240"/>
      <w:ind w:left="720" w:right="720"/>
      <w:jc w:val="both"/>
    </w:pPr>
  </w:style>
  <w:style w:type="paragraph" w:styleId="Signature">
    <w:name w:val="Signature"/>
    <w:basedOn w:val="Normal"/>
    <w:semiHidden/>
    <w:rsid w:val="00A8229C"/>
    <w:pPr>
      <w:keepNext/>
      <w:keepLines/>
      <w:spacing w:before="240"/>
      <w:ind w:left="5040"/>
    </w:pPr>
  </w:style>
  <w:style w:type="paragraph" w:customStyle="1" w:styleId="Signatory">
    <w:name w:val="Signatory"/>
    <w:basedOn w:val="Normal"/>
    <w:next w:val="BodyText"/>
    <w:rsid w:val="00A8229C"/>
    <w:pPr>
      <w:keepNext/>
      <w:keepLines/>
      <w:tabs>
        <w:tab w:val="right" w:pos="4320"/>
        <w:tab w:val="left" w:pos="5040"/>
        <w:tab w:val="right" w:pos="9360"/>
      </w:tabs>
      <w:spacing w:before="240"/>
    </w:pPr>
  </w:style>
  <w:style w:type="paragraph" w:styleId="Title">
    <w:name w:val="Title"/>
    <w:basedOn w:val="Normal"/>
    <w:next w:val="BodyText"/>
    <w:qFormat/>
    <w:rsid w:val="00A8229C"/>
    <w:pPr>
      <w:keepNext/>
      <w:keepLines/>
      <w:spacing w:after="120"/>
      <w:jc w:val="center"/>
      <w:outlineLvl w:val="0"/>
    </w:pPr>
    <w:rPr>
      <w:rFonts w:cs="Arial"/>
      <w:b/>
      <w:bCs/>
      <w:kern w:val="28"/>
      <w:sz w:val="28"/>
      <w:szCs w:val="28"/>
    </w:rPr>
  </w:style>
  <w:style w:type="table" w:customStyle="1" w:styleId="TableCWNoLineswithHeader">
    <w:name w:val="Table CW No Lines with Header"/>
    <w:basedOn w:val="TableNormal"/>
    <w:rsid w:val="00A8229C"/>
    <w:pPr>
      <w:spacing w:before="240"/>
    </w:pPr>
    <w:tblPr/>
    <w:trPr>
      <w:cantSplit/>
    </w:trPr>
    <w:tblStylePr w:type="firstRow">
      <w:pPr>
        <w:keepNext/>
        <w:keepLines/>
        <w:wordWrap/>
      </w:pPr>
      <w:rPr>
        <w:b/>
        <w:i w:val="0"/>
      </w:rPr>
      <w:tblPr/>
      <w:trPr>
        <w:cantSplit w:val="0"/>
        <w:tblHeader/>
      </w:trPr>
    </w:tblStylePr>
  </w:style>
  <w:style w:type="character" w:styleId="PageNumber">
    <w:name w:val="page number"/>
    <w:basedOn w:val="DefaultParagraphFont"/>
    <w:rsid w:val="00A8229C"/>
  </w:style>
  <w:style w:type="paragraph" w:customStyle="1" w:styleId="HeadingTitle1">
    <w:name w:val="Heading Title 1"/>
    <w:basedOn w:val="Normal"/>
    <w:next w:val="BodyText"/>
    <w:rsid w:val="00A8229C"/>
    <w:pPr>
      <w:keepNext/>
      <w:keepLines/>
      <w:spacing w:before="240"/>
      <w:jc w:val="center"/>
    </w:pPr>
    <w:rPr>
      <w:b/>
      <w:caps/>
    </w:rPr>
  </w:style>
  <w:style w:type="paragraph" w:customStyle="1" w:styleId="HeadingTitle2">
    <w:name w:val="Heading Title 2"/>
    <w:basedOn w:val="Normal"/>
    <w:next w:val="BodyText"/>
    <w:rsid w:val="00A8229C"/>
    <w:pPr>
      <w:keepNext/>
      <w:keepLines/>
      <w:spacing w:before="240"/>
    </w:pPr>
    <w:rPr>
      <w:b/>
    </w:rPr>
  </w:style>
  <w:style w:type="paragraph" w:customStyle="1" w:styleId="HeadingTitle3">
    <w:name w:val="Heading Title 3"/>
    <w:basedOn w:val="Normal"/>
    <w:next w:val="BodyText"/>
    <w:rsid w:val="00A8229C"/>
    <w:pPr>
      <w:keepNext/>
      <w:keepLines/>
      <w:spacing w:before="240"/>
    </w:pPr>
    <w:rPr>
      <w:i/>
    </w:rPr>
  </w:style>
  <w:style w:type="paragraph" w:customStyle="1" w:styleId="HeadingTitle4">
    <w:name w:val="Heading Title 4"/>
    <w:basedOn w:val="Normal"/>
    <w:next w:val="BodyText"/>
    <w:rsid w:val="00A8229C"/>
    <w:pPr>
      <w:keepNext/>
      <w:keepLines/>
      <w:spacing w:before="240"/>
    </w:pPr>
    <w:rPr>
      <w:u w:val="single"/>
    </w:rPr>
  </w:style>
  <w:style w:type="paragraph" w:customStyle="1" w:styleId="HeadingTitle5">
    <w:name w:val="Heading Title 5"/>
    <w:basedOn w:val="Normal"/>
    <w:next w:val="BodyText"/>
    <w:rsid w:val="00A8229C"/>
    <w:pPr>
      <w:keepNext/>
      <w:keepLines/>
      <w:spacing w:before="240"/>
    </w:pPr>
  </w:style>
  <w:style w:type="paragraph" w:customStyle="1" w:styleId="Stamps">
    <w:name w:val="Stamps"/>
    <w:basedOn w:val="Normal"/>
    <w:next w:val="BodyText"/>
    <w:rsid w:val="00920FAB"/>
    <w:rPr>
      <w:szCs w:val="20"/>
    </w:rPr>
  </w:style>
  <w:style w:type="paragraph" w:styleId="BodyTextFirstIndent">
    <w:name w:val="Body Text First Indent"/>
    <w:basedOn w:val="BodyText"/>
    <w:rsid w:val="00A8229C"/>
    <w:pPr>
      <w:ind w:firstLine="1440"/>
    </w:pPr>
  </w:style>
  <w:style w:type="paragraph" w:styleId="BalloonText">
    <w:name w:val="Balloon Text"/>
    <w:basedOn w:val="Normal"/>
    <w:link w:val="BalloonTextChar"/>
    <w:rsid w:val="00D80FE4"/>
    <w:rPr>
      <w:rFonts w:ascii="Tahoma" w:hAnsi="Tahoma"/>
      <w:sz w:val="16"/>
      <w:szCs w:val="16"/>
    </w:rPr>
  </w:style>
  <w:style w:type="character" w:customStyle="1" w:styleId="BalloonTextChar">
    <w:name w:val="Balloon Text Char"/>
    <w:link w:val="BalloonText"/>
    <w:rsid w:val="00D80FE4"/>
    <w:rPr>
      <w:rFonts w:ascii="Tahoma" w:hAnsi="Tahoma" w:cs="Tahoma"/>
      <w:sz w:val="16"/>
      <w:szCs w:val="16"/>
      <w:lang w:val="en-CA"/>
    </w:rPr>
  </w:style>
  <w:style w:type="paragraph" w:styleId="NormalWeb">
    <w:name w:val="Normal (Web)"/>
    <w:basedOn w:val="Normal"/>
    <w:uiPriority w:val="99"/>
    <w:unhideWhenUsed/>
    <w:rsid w:val="00375C67"/>
    <w:pPr>
      <w:spacing w:before="100" w:beforeAutospacing="1" w:after="100" w:afterAutospacing="1"/>
    </w:pPr>
    <w:rPr>
      <w:lang w:eastAsia="en-CA"/>
    </w:rPr>
  </w:style>
  <w:style w:type="character" w:customStyle="1" w:styleId="apple-converted-space">
    <w:name w:val="apple-converted-space"/>
    <w:rsid w:val="00375C67"/>
  </w:style>
  <w:style w:type="character" w:customStyle="1" w:styleId="FooterChar">
    <w:name w:val="Footer Char"/>
    <w:link w:val="Footer"/>
    <w:uiPriority w:val="99"/>
    <w:rsid w:val="002E2664"/>
    <w:rPr>
      <w:sz w:val="14"/>
      <w:szCs w:val="14"/>
      <w:lang w:val="en-CA"/>
    </w:rPr>
  </w:style>
  <w:style w:type="character" w:styleId="Strong">
    <w:name w:val="Strong"/>
    <w:basedOn w:val="DefaultParagraphFont"/>
    <w:uiPriority w:val="22"/>
    <w:qFormat/>
    <w:rsid w:val="00B3107F"/>
    <w:rPr>
      <w:b/>
      <w:bCs/>
    </w:rPr>
  </w:style>
  <w:style w:type="character" w:styleId="Hyperlink">
    <w:name w:val="Hyperlink"/>
    <w:basedOn w:val="DefaultParagraphFont"/>
    <w:unhideWhenUsed/>
    <w:rsid w:val="00C94856"/>
    <w:rPr>
      <w:color w:val="0000FF" w:themeColor="hyperlink"/>
      <w:u w:val="single"/>
    </w:rPr>
  </w:style>
  <w:style w:type="character" w:customStyle="1" w:styleId="Mention1">
    <w:name w:val="Mention1"/>
    <w:basedOn w:val="DefaultParagraphFont"/>
    <w:uiPriority w:val="99"/>
    <w:semiHidden/>
    <w:unhideWhenUsed/>
    <w:rsid w:val="00C94856"/>
    <w:rPr>
      <w:color w:val="2B579A"/>
      <w:shd w:val="clear" w:color="auto" w:fill="E6E6E6"/>
    </w:rPr>
  </w:style>
  <w:style w:type="character" w:customStyle="1" w:styleId="Mention2">
    <w:name w:val="Mention2"/>
    <w:basedOn w:val="DefaultParagraphFont"/>
    <w:uiPriority w:val="99"/>
    <w:semiHidden/>
    <w:unhideWhenUsed/>
    <w:rsid w:val="003162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4943">
      <w:bodyDiv w:val="1"/>
      <w:marLeft w:val="0"/>
      <w:marRight w:val="0"/>
      <w:marTop w:val="0"/>
      <w:marBottom w:val="0"/>
      <w:divBdr>
        <w:top w:val="none" w:sz="0" w:space="0" w:color="auto"/>
        <w:left w:val="none" w:sz="0" w:space="0" w:color="auto"/>
        <w:bottom w:val="none" w:sz="0" w:space="0" w:color="auto"/>
        <w:right w:val="none" w:sz="0" w:space="0" w:color="auto"/>
      </w:divBdr>
    </w:div>
    <w:div w:id="39714975">
      <w:bodyDiv w:val="1"/>
      <w:marLeft w:val="0"/>
      <w:marRight w:val="0"/>
      <w:marTop w:val="0"/>
      <w:marBottom w:val="0"/>
      <w:divBdr>
        <w:top w:val="none" w:sz="0" w:space="0" w:color="auto"/>
        <w:left w:val="none" w:sz="0" w:space="0" w:color="auto"/>
        <w:bottom w:val="none" w:sz="0" w:space="0" w:color="auto"/>
        <w:right w:val="none" w:sz="0" w:space="0" w:color="auto"/>
      </w:divBdr>
    </w:div>
    <w:div w:id="152911497">
      <w:bodyDiv w:val="1"/>
      <w:marLeft w:val="0"/>
      <w:marRight w:val="0"/>
      <w:marTop w:val="0"/>
      <w:marBottom w:val="0"/>
      <w:divBdr>
        <w:top w:val="none" w:sz="0" w:space="0" w:color="auto"/>
        <w:left w:val="none" w:sz="0" w:space="0" w:color="auto"/>
        <w:bottom w:val="none" w:sz="0" w:space="0" w:color="auto"/>
        <w:right w:val="none" w:sz="0" w:space="0" w:color="auto"/>
      </w:divBdr>
    </w:div>
    <w:div w:id="218127467">
      <w:bodyDiv w:val="1"/>
      <w:marLeft w:val="0"/>
      <w:marRight w:val="0"/>
      <w:marTop w:val="0"/>
      <w:marBottom w:val="0"/>
      <w:divBdr>
        <w:top w:val="none" w:sz="0" w:space="0" w:color="auto"/>
        <w:left w:val="none" w:sz="0" w:space="0" w:color="auto"/>
        <w:bottom w:val="none" w:sz="0" w:space="0" w:color="auto"/>
        <w:right w:val="none" w:sz="0" w:space="0" w:color="auto"/>
      </w:divBdr>
    </w:div>
    <w:div w:id="662391484">
      <w:bodyDiv w:val="1"/>
      <w:marLeft w:val="0"/>
      <w:marRight w:val="0"/>
      <w:marTop w:val="0"/>
      <w:marBottom w:val="0"/>
      <w:divBdr>
        <w:top w:val="none" w:sz="0" w:space="0" w:color="auto"/>
        <w:left w:val="none" w:sz="0" w:space="0" w:color="auto"/>
        <w:bottom w:val="none" w:sz="0" w:space="0" w:color="auto"/>
        <w:right w:val="none" w:sz="0" w:space="0" w:color="auto"/>
      </w:divBdr>
    </w:div>
    <w:div w:id="930358521">
      <w:bodyDiv w:val="1"/>
      <w:marLeft w:val="0"/>
      <w:marRight w:val="0"/>
      <w:marTop w:val="0"/>
      <w:marBottom w:val="0"/>
      <w:divBdr>
        <w:top w:val="none" w:sz="0" w:space="0" w:color="auto"/>
        <w:left w:val="none" w:sz="0" w:space="0" w:color="auto"/>
        <w:bottom w:val="none" w:sz="0" w:space="0" w:color="auto"/>
        <w:right w:val="none" w:sz="0" w:space="0" w:color="auto"/>
      </w:divBdr>
    </w:div>
    <w:div w:id="18360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neworldminerals.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neworldminerals.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ve@oneworldmneral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ONE WORLD INVESTMENTS INC</vt:lpstr>
    </vt:vector>
  </TitlesOfParts>
  <Company>CW</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WORLD INVESTMENTS INC</dc:title>
  <dc:creator>Alexandra Mah</dc:creator>
  <cp:keywords>CW9942271.2</cp:keywords>
  <dc:description>39274-0001</dc:description>
  <cp:lastModifiedBy>John N. Hamilton</cp:lastModifiedBy>
  <cp:revision>2</cp:revision>
  <cp:lastPrinted>2017-03-17T23:05:00Z</cp:lastPrinted>
  <dcterms:created xsi:type="dcterms:W3CDTF">2017-05-12T21:27:00Z</dcterms:created>
  <dcterms:modified xsi:type="dcterms:W3CDTF">2017-05-12T21:27:00Z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gFAAXJDLFUo5N7u9WKAMHP30p3vvDX643zkTI4HCMdcmWhtOFahVe8e+qOFpyEkRaACSlrpgWVPeE3B3_x000d_
KmCraOsi0nJfDcqwyDUQLd+SzAZIW8hcWYyaN9fu31mNFJdfxhfaHIrTC9nQ/pN3KmCraOsi0nJf_x000d_
DcqwyDUQLd+SzAZIW8hcWYyaN9fu31wwQWCLG8ZhHnUltiP6EEmEgQ7qX8Kg65tZhOylu1ostGcN_x000d_
oBzL3IUe2ifB31y6c</vt:lpwstr>
  </property>
  <property fmtid="{D5CDD505-2E9C-101B-9397-08002B2CF9AE}" pid="3" name="MAIL_MSG_ID2">
    <vt:lpwstr>Cb8CYGOKrM+CS3XT/2tRG7+EuQ3/CWmYIxaSppRWANsNgk3jSYP53xynI/p_x000d_
kH2+dJzaOYTkSEvzSPYHjPfWlducsE31wV9XRw==</vt:lpwstr>
  </property>
  <property fmtid="{D5CDD505-2E9C-101B-9397-08002B2CF9AE}" pid="4" name="RESPONSE_SENDER_NAME">
    <vt:lpwstr>sAAAE9kkUq3pEoLcqNnjchFBv7lEza1BEgkgvquCwKfTMHA=</vt:lpwstr>
  </property>
  <property fmtid="{D5CDD505-2E9C-101B-9397-08002B2CF9AE}" pid="5" name="EMAIL_OWNER_ADDRESS">
    <vt:lpwstr>sAAAE9kkUq3pEoJ3idbI8vV4cATQdO1AMX+M+XWffUYo0lA=</vt:lpwstr>
  </property>
</Properties>
</file>