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495"/>
        <w:gridCol w:w="4081"/>
      </w:tblGrid>
      <w:tr w:rsidR="00C642B8" w:rsidTr="00C642B8">
        <w:tc>
          <w:tcPr>
            <w:tcW w:w="5495" w:type="dxa"/>
            <w:tcBorders>
              <w:top w:val="nil"/>
              <w:left w:val="nil"/>
              <w:bottom w:val="nil"/>
              <w:right w:val="single" w:sz="12" w:space="0" w:color="auto"/>
            </w:tcBorders>
          </w:tcPr>
          <w:p w:rsidR="00C642B8" w:rsidRDefault="00C642B8" w:rsidP="003811C4">
            <w:pPr>
              <w:pStyle w:val="NoSpacing"/>
              <w:rPr>
                <w:rFonts w:ascii="Arial" w:hAnsi="Arial" w:cs="Arial"/>
                <w:b/>
                <w:sz w:val="28"/>
                <w:szCs w:val="28"/>
              </w:rPr>
            </w:pPr>
            <w:r w:rsidRPr="00C642B8">
              <w:rPr>
                <w:rFonts w:ascii="Arial" w:hAnsi="Arial" w:cs="Arial"/>
                <w:b/>
                <w:sz w:val="36"/>
                <w:szCs w:val="36"/>
              </w:rPr>
              <w:t>ORIENTAL NON-FERROUS</w:t>
            </w:r>
            <w:r w:rsidRPr="00C642B8">
              <w:rPr>
                <w:rFonts w:ascii="Arial" w:hAnsi="Arial" w:cs="Arial"/>
                <w:b/>
                <w:sz w:val="28"/>
                <w:szCs w:val="28"/>
              </w:rPr>
              <w:t xml:space="preserve"> RESOURCES DEVELOPMENT INC.</w:t>
            </w:r>
          </w:p>
        </w:tc>
        <w:tc>
          <w:tcPr>
            <w:tcW w:w="4081" w:type="dxa"/>
            <w:tcBorders>
              <w:top w:val="nil"/>
              <w:left w:val="single" w:sz="12" w:space="0" w:color="auto"/>
              <w:bottom w:val="nil"/>
              <w:right w:val="nil"/>
            </w:tcBorders>
          </w:tcPr>
          <w:p w:rsidR="00C642B8" w:rsidRPr="00C642B8" w:rsidRDefault="00C642B8" w:rsidP="00C642B8">
            <w:pPr>
              <w:pStyle w:val="NoSpacing"/>
              <w:rPr>
                <w:rFonts w:ascii="Arial" w:hAnsi="Arial" w:cs="Arial"/>
                <w:sz w:val="16"/>
                <w:szCs w:val="16"/>
              </w:rPr>
            </w:pPr>
            <w:r w:rsidRPr="00C642B8">
              <w:rPr>
                <w:rFonts w:ascii="Arial" w:hAnsi="Arial" w:cs="Arial"/>
                <w:sz w:val="16"/>
                <w:szCs w:val="16"/>
              </w:rPr>
              <w:t>5148 Williams Road</w:t>
            </w:r>
          </w:p>
          <w:p w:rsidR="00C642B8" w:rsidRPr="00C642B8" w:rsidRDefault="00C642B8" w:rsidP="00C642B8">
            <w:pPr>
              <w:pStyle w:val="NoSpacing"/>
              <w:rPr>
                <w:rFonts w:ascii="Arial" w:hAnsi="Arial" w:cs="Arial"/>
                <w:sz w:val="16"/>
                <w:szCs w:val="16"/>
              </w:rPr>
            </w:pPr>
            <w:r w:rsidRPr="00C642B8">
              <w:rPr>
                <w:rFonts w:ascii="Arial" w:hAnsi="Arial" w:cs="Arial"/>
                <w:sz w:val="16"/>
                <w:szCs w:val="16"/>
              </w:rPr>
              <w:t>Richmond, British Columbia</w:t>
            </w:r>
          </w:p>
          <w:p w:rsidR="00C642B8" w:rsidRPr="00C642B8" w:rsidRDefault="00C642B8" w:rsidP="00C642B8">
            <w:pPr>
              <w:pStyle w:val="NoSpacing"/>
              <w:rPr>
                <w:rFonts w:ascii="Arial" w:hAnsi="Arial" w:cs="Arial"/>
                <w:sz w:val="16"/>
                <w:szCs w:val="16"/>
              </w:rPr>
            </w:pPr>
            <w:r w:rsidRPr="00C642B8">
              <w:rPr>
                <w:rFonts w:ascii="Arial" w:hAnsi="Arial" w:cs="Arial"/>
                <w:sz w:val="16"/>
                <w:szCs w:val="16"/>
              </w:rPr>
              <w:t>V7E 1K1</w:t>
            </w:r>
          </w:p>
          <w:p w:rsidR="00C642B8" w:rsidRPr="00C642B8" w:rsidRDefault="00C642B8" w:rsidP="00C642B8">
            <w:pPr>
              <w:pStyle w:val="NoSpacing"/>
              <w:rPr>
                <w:rFonts w:ascii="Arial" w:hAnsi="Arial" w:cs="Arial"/>
                <w:sz w:val="16"/>
                <w:szCs w:val="16"/>
              </w:rPr>
            </w:pPr>
          </w:p>
          <w:p w:rsidR="00C642B8" w:rsidRPr="00C642B8" w:rsidRDefault="00C642B8" w:rsidP="00C642B8">
            <w:pPr>
              <w:pStyle w:val="NoSpacing"/>
              <w:rPr>
                <w:rFonts w:ascii="Arial" w:hAnsi="Arial" w:cs="Arial"/>
                <w:sz w:val="16"/>
                <w:szCs w:val="16"/>
              </w:rPr>
            </w:pPr>
            <w:r w:rsidRPr="00C642B8">
              <w:rPr>
                <w:rFonts w:ascii="Arial" w:hAnsi="Arial" w:cs="Arial"/>
                <w:sz w:val="16"/>
                <w:szCs w:val="16"/>
              </w:rPr>
              <w:t>Phone: (604) 687-2038</w:t>
            </w:r>
          </w:p>
          <w:p w:rsidR="00C642B8" w:rsidRPr="00C642B8" w:rsidRDefault="00C642B8" w:rsidP="00C642B8">
            <w:pPr>
              <w:pStyle w:val="NoSpacing"/>
              <w:rPr>
                <w:rFonts w:ascii="Arial" w:hAnsi="Arial" w:cs="Arial"/>
                <w:sz w:val="16"/>
                <w:szCs w:val="16"/>
              </w:rPr>
            </w:pPr>
            <w:r w:rsidRPr="00C642B8">
              <w:rPr>
                <w:rFonts w:ascii="Arial" w:hAnsi="Arial" w:cs="Arial"/>
                <w:sz w:val="16"/>
                <w:szCs w:val="16"/>
              </w:rPr>
              <w:t xml:space="preserve">Fax: </w:t>
            </w:r>
            <w:r>
              <w:rPr>
                <w:rFonts w:ascii="Arial" w:hAnsi="Arial" w:cs="Arial"/>
                <w:sz w:val="16"/>
                <w:szCs w:val="16"/>
              </w:rPr>
              <w:t xml:space="preserve">(604) </w:t>
            </w:r>
            <w:r w:rsidRPr="00C642B8">
              <w:rPr>
                <w:rFonts w:ascii="Arial" w:hAnsi="Arial" w:cs="Arial"/>
                <w:sz w:val="16"/>
                <w:szCs w:val="16"/>
              </w:rPr>
              <w:t>687-3141</w:t>
            </w:r>
          </w:p>
          <w:p w:rsidR="00C642B8" w:rsidRPr="00C642B8" w:rsidRDefault="00C642B8" w:rsidP="003811C4">
            <w:pPr>
              <w:pStyle w:val="NoSpacing"/>
              <w:rPr>
                <w:sz w:val="16"/>
                <w:szCs w:val="16"/>
              </w:rPr>
            </w:pPr>
            <w:r w:rsidRPr="00C642B8">
              <w:rPr>
                <w:rFonts w:ascii="Arial" w:hAnsi="Arial" w:cs="Arial"/>
                <w:sz w:val="16"/>
                <w:szCs w:val="16"/>
              </w:rPr>
              <w:t>CSE: URG</w:t>
            </w:r>
          </w:p>
        </w:tc>
      </w:tr>
    </w:tbl>
    <w:p w:rsidR="003811C4" w:rsidRPr="00C642B8" w:rsidRDefault="003811C4" w:rsidP="003811C4">
      <w:pPr>
        <w:pStyle w:val="NoSpacing"/>
        <w:rPr>
          <w:rFonts w:ascii="Arial" w:hAnsi="Arial" w:cs="Arial"/>
          <w:b/>
          <w:sz w:val="28"/>
          <w:szCs w:val="28"/>
        </w:rPr>
      </w:pPr>
    </w:p>
    <w:p w:rsidR="003811C4" w:rsidRDefault="003811C4" w:rsidP="00C642B8">
      <w:pPr>
        <w:pStyle w:val="NoSpacing"/>
        <w:jc w:val="center"/>
        <w:rPr>
          <w:rFonts w:ascii="Arial" w:hAnsi="Arial" w:cs="Arial"/>
          <w:b/>
          <w:sz w:val="36"/>
          <w:szCs w:val="36"/>
        </w:rPr>
      </w:pPr>
      <w:r w:rsidRPr="00C642B8">
        <w:rPr>
          <w:rFonts w:ascii="Arial" w:hAnsi="Arial" w:cs="Arial"/>
          <w:b/>
          <w:sz w:val="36"/>
          <w:szCs w:val="36"/>
        </w:rPr>
        <w:t>NEWS RELEASE</w:t>
      </w:r>
    </w:p>
    <w:p w:rsidR="00954961" w:rsidRDefault="00954961" w:rsidP="00954961">
      <w:pPr>
        <w:pStyle w:val="Default"/>
      </w:pPr>
    </w:p>
    <w:p w:rsidR="00A9396D" w:rsidRDefault="00954961" w:rsidP="00954961">
      <w:pPr>
        <w:pStyle w:val="NoSpacing"/>
        <w:jc w:val="center"/>
        <w:rPr>
          <w:i/>
          <w:iCs/>
          <w:color w:val="2C2C2C"/>
        </w:rPr>
      </w:pPr>
      <w:r>
        <w:t xml:space="preserve"> </w:t>
      </w:r>
      <w:r>
        <w:rPr>
          <w:i/>
          <w:iCs/>
          <w:color w:val="2C2C2C"/>
        </w:rPr>
        <w:t>THIS NEWS RELEASE IS NOT FOR DISTRIBUTION TO U.S. NEWSWIR</w:t>
      </w:r>
      <w:r w:rsidR="00A9396D">
        <w:rPr>
          <w:i/>
          <w:iCs/>
          <w:color w:val="2C2C2C"/>
        </w:rPr>
        <w:t>E SERVICES</w:t>
      </w:r>
    </w:p>
    <w:p w:rsidR="00954961" w:rsidRDefault="00954961" w:rsidP="00954961">
      <w:pPr>
        <w:pStyle w:val="NoSpacing"/>
        <w:jc w:val="center"/>
        <w:rPr>
          <w:rFonts w:ascii="Arial" w:hAnsi="Arial" w:cs="Arial"/>
          <w:b/>
          <w:sz w:val="36"/>
          <w:szCs w:val="36"/>
        </w:rPr>
      </w:pPr>
      <w:r>
        <w:rPr>
          <w:i/>
          <w:iCs/>
          <w:color w:val="2C2C2C"/>
        </w:rPr>
        <w:t>FOR DISSEMINATION IN THE UNITED STATES</w:t>
      </w:r>
    </w:p>
    <w:p w:rsidR="00C642B8" w:rsidRDefault="00C642B8" w:rsidP="00C642B8">
      <w:pPr>
        <w:pStyle w:val="NoSpacing"/>
        <w:jc w:val="center"/>
        <w:rPr>
          <w:rFonts w:ascii="Arial" w:hAnsi="Arial" w:cs="Arial"/>
          <w:b/>
          <w:sz w:val="28"/>
          <w:szCs w:val="28"/>
        </w:rPr>
      </w:pPr>
    </w:p>
    <w:p w:rsidR="00C642B8" w:rsidRDefault="005E7B9A" w:rsidP="005E7B9A">
      <w:pPr>
        <w:pStyle w:val="NoSpacing"/>
        <w:jc w:val="center"/>
        <w:rPr>
          <w:rFonts w:ascii="Arial" w:hAnsi="Arial" w:cs="Arial"/>
        </w:rPr>
      </w:pPr>
      <w:r w:rsidRPr="005E7B9A">
        <w:rPr>
          <w:rFonts w:ascii="Arial" w:hAnsi="Arial" w:cs="Arial"/>
          <w:b/>
          <w:sz w:val="28"/>
          <w:szCs w:val="28"/>
        </w:rPr>
        <w:t xml:space="preserve">ORIENTAL NON-FERROUS RESOURCES DEVELOPMENT INC. </w:t>
      </w:r>
      <w:r>
        <w:rPr>
          <w:rFonts w:ascii="Arial" w:hAnsi="Arial" w:cs="Arial"/>
          <w:b/>
          <w:sz w:val="28"/>
          <w:szCs w:val="28"/>
        </w:rPr>
        <w:t>ANNOUNCES VOTING RESULTS OF THE ANNUAL GENERAL AND SPECIAL MEETING OF THE COMPANY</w:t>
      </w:r>
    </w:p>
    <w:p w:rsidR="00C642B8" w:rsidRDefault="00C642B8" w:rsidP="003811C4">
      <w:pPr>
        <w:pStyle w:val="NoSpacing"/>
        <w:rPr>
          <w:rFonts w:ascii="Arial" w:hAnsi="Arial" w:cs="Arial"/>
        </w:rPr>
      </w:pPr>
    </w:p>
    <w:p w:rsidR="005E7B9A" w:rsidRDefault="001C2770" w:rsidP="005E7B9A">
      <w:pPr>
        <w:pStyle w:val="NoSpacing"/>
        <w:jc w:val="both"/>
        <w:rPr>
          <w:rFonts w:ascii="Arial" w:hAnsi="Arial" w:cs="Arial"/>
        </w:rPr>
      </w:pPr>
      <w:r>
        <w:rPr>
          <w:rFonts w:ascii="Arial" w:hAnsi="Arial" w:cs="Arial" w:hint="eastAsia"/>
          <w:b/>
        </w:rPr>
        <w:t>August 24</w:t>
      </w:r>
      <w:r w:rsidR="00C642B8" w:rsidRPr="00C642B8">
        <w:rPr>
          <w:rFonts w:ascii="Arial" w:hAnsi="Arial" w:cs="Arial"/>
          <w:b/>
        </w:rPr>
        <w:t>, 201</w:t>
      </w:r>
      <w:r>
        <w:rPr>
          <w:rFonts w:ascii="Arial" w:hAnsi="Arial" w:cs="Arial" w:hint="eastAsia"/>
          <w:b/>
        </w:rPr>
        <w:t>8</w:t>
      </w:r>
      <w:r w:rsidR="00C642B8" w:rsidRPr="00C642B8">
        <w:rPr>
          <w:rFonts w:ascii="Arial" w:hAnsi="Arial" w:cs="Arial"/>
        </w:rPr>
        <w:t xml:space="preserve"> - Vancouver, British Columbia, Canada: Oriental Non-Ferrous Resources</w:t>
      </w:r>
      <w:r w:rsidR="005E7B9A">
        <w:rPr>
          <w:rFonts w:ascii="Arial" w:hAnsi="Arial" w:cs="Arial"/>
        </w:rPr>
        <w:t xml:space="preserve"> </w:t>
      </w:r>
      <w:r w:rsidR="00C642B8" w:rsidRPr="00C642B8">
        <w:rPr>
          <w:rFonts w:ascii="Arial" w:hAnsi="Arial" w:cs="Arial"/>
        </w:rPr>
        <w:t>Development Inc. (the “</w:t>
      </w:r>
      <w:r w:rsidR="00C642B8" w:rsidRPr="00C642B8">
        <w:rPr>
          <w:rFonts w:ascii="Arial" w:hAnsi="Arial" w:cs="Arial"/>
          <w:b/>
        </w:rPr>
        <w:t>Company</w:t>
      </w:r>
      <w:r w:rsidR="00C642B8" w:rsidRPr="00C642B8">
        <w:rPr>
          <w:rFonts w:ascii="Arial" w:hAnsi="Arial" w:cs="Arial"/>
        </w:rPr>
        <w:t>” or “</w:t>
      </w:r>
      <w:r w:rsidR="00C642B8" w:rsidRPr="00C642B8">
        <w:rPr>
          <w:rFonts w:ascii="Arial" w:hAnsi="Arial" w:cs="Arial"/>
          <w:b/>
        </w:rPr>
        <w:t>ONRD</w:t>
      </w:r>
      <w:r w:rsidR="00C642B8" w:rsidRPr="00C642B8">
        <w:rPr>
          <w:rFonts w:ascii="Arial" w:hAnsi="Arial" w:cs="Arial"/>
        </w:rPr>
        <w:t>”) is pleased</w:t>
      </w:r>
      <w:r w:rsidR="00C642B8">
        <w:rPr>
          <w:rFonts w:ascii="Arial" w:hAnsi="Arial" w:cs="Arial"/>
        </w:rPr>
        <w:t xml:space="preserve"> </w:t>
      </w:r>
      <w:r w:rsidR="00C642B8" w:rsidRPr="00C642B8">
        <w:rPr>
          <w:rFonts w:ascii="Arial" w:hAnsi="Arial" w:cs="Arial"/>
        </w:rPr>
        <w:t>to announce</w:t>
      </w:r>
      <w:r w:rsidR="005E7B9A">
        <w:rPr>
          <w:rFonts w:ascii="Arial" w:hAnsi="Arial" w:cs="Arial"/>
        </w:rPr>
        <w:t xml:space="preserve"> the voting results of the Annual General and Special Meeting of the shareholders of the Company held on </w:t>
      </w:r>
      <w:r>
        <w:rPr>
          <w:rFonts w:ascii="Arial" w:hAnsi="Arial" w:cs="Arial" w:hint="eastAsia"/>
        </w:rPr>
        <w:t>August 24</w:t>
      </w:r>
      <w:r>
        <w:rPr>
          <w:rFonts w:ascii="Arial" w:hAnsi="Arial" w:cs="Arial"/>
        </w:rPr>
        <w:t>, 201</w:t>
      </w:r>
      <w:r>
        <w:rPr>
          <w:rFonts w:ascii="Arial" w:hAnsi="Arial" w:cs="Arial" w:hint="eastAsia"/>
        </w:rPr>
        <w:t>8</w:t>
      </w:r>
      <w:r w:rsidR="005E7B9A">
        <w:rPr>
          <w:rFonts w:ascii="Arial" w:hAnsi="Arial" w:cs="Arial"/>
        </w:rPr>
        <w:t>.</w:t>
      </w:r>
    </w:p>
    <w:p w:rsidR="00BE1E15" w:rsidRDefault="00BE1E15" w:rsidP="00C642B8">
      <w:pPr>
        <w:pStyle w:val="NoSpacing"/>
        <w:jc w:val="both"/>
        <w:rPr>
          <w:rFonts w:ascii="Arial" w:hAnsi="Arial" w:cs="Arial"/>
        </w:rPr>
      </w:pPr>
    </w:p>
    <w:p w:rsidR="00C642B8" w:rsidRDefault="005E7B9A" w:rsidP="005E7B9A">
      <w:pPr>
        <w:pStyle w:val="NoSpacing"/>
        <w:jc w:val="both"/>
        <w:rPr>
          <w:rFonts w:ascii="Arial" w:hAnsi="Arial" w:cs="Arial" w:hint="eastAsia"/>
        </w:rPr>
      </w:pPr>
      <w:r w:rsidRPr="005E7B9A">
        <w:rPr>
          <w:rFonts w:ascii="Arial" w:hAnsi="Arial" w:cs="Arial"/>
        </w:rPr>
        <w:t xml:space="preserve">Eugene Beukman, Youliang Wang, Sheng (Sam) Wang, and Paul Chung </w:t>
      </w:r>
      <w:r>
        <w:rPr>
          <w:rFonts w:ascii="Arial" w:hAnsi="Arial" w:cs="Arial"/>
        </w:rPr>
        <w:t>were re-</w:t>
      </w:r>
      <w:r w:rsidRPr="005E7B9A">
        <w:rPr>
          <w:rFonts w:ascii="Arial" w:hAnsi="Arial" w:cs="Arial"/>
        </w:rPr>
        <w:t>elected as directors</w:t>
      </w:r>
      <w:r>
        <w:rPr>
          <w:rFonts w:ascii="Arial" w:hAnsi="Arial" w:cs="Arial"/>
        </w:rPr>
        <w:t xml:space="preserve"> of the Company for the ensuring year. </w:t>
      </w:r>
      <w:r w:rsidRPr="005E7B9A">
        <w:rPr>
          <w:rFonts w:ascii="Arial" w:hAnsi="Arial" w:cs="Arial"/>
        </w:rPr>
        <w:t>The Company’s Stock Opti</w:t>
      </w:r>
      <w:r>
        <w:rPr>
          <w:rFonts w:ascii="Arial" w:hAnsi="Arial" w:cs="Arial"/>
        </w:rPr>
        <w:t>on Plan dated June 13, 2016</w:t>
      </w:r>
      <w:r w:rsidRPr="005E7B9A">
        <w:rPr>
          <w:rFonts w:ascii="Arial" w:hAnsi="Arial" w:cs="Arial"/>
        </w:rPr>
        <w:t xml:space="preserve"> was also approved until the next Meeting. MNP LLP has been reappointed as the auditor of the Company for the ensuing year.</w:t>
      </w:r>
      <w:r>
        <w:rPr>
          <w:rFonts w:ascii="Arial" w:hAnsi="Arial" w:cs="Arial"/>
        </w:rPr>
        <w:t xml:space="preserve"> </w:t>
      </w:r>
      <w:r w:rsidR="001C2770">
        <w:rPr>
          <w:rFonts w:ascii="Arial" w:hAnsi="Arial" w:cs="Arial" w:hint="eastAsia"/>
        </w:rPr>
        <w:t>T</w:t>
      </w:r>
      <w:r w:rsidRPr="005E7B9A">
        <w:rPr>
          <w:rFonts w:ascii="Arial" w:hAnsi="Arial" w:cs="Arial"/>
        </w:rPr>
        <w:t xml:space="preserve">he </w:t>
      </w:r>
      <w:r w:rsidR="001C2770">
        <w:rPr>
          <w:rFonts w:ascii="Arial" w:hAnsi="Arial" w:cs="Arial" w:hint="eastAsia"/>
        </w:rPr>
        <w:t>a</w:t>
      </w:r>
      <w:r w:rsidR="001C2770">
        <w:rPr>
          <w:rFonts w:ascii="Arial" w:hAnsi="Arial" w:cs="Arial"/>
        </w:rPr>
        <w:t xml:space="preserve">cquisition of 95% of the </w:t>
      </w:r>
      <w:r w:rsidR="001C2770">
        <w:rPr>
          <w:rFonts w:ascii="Arial" w:hAnsi="Arial" w:cs="Arial" w:hint="eastAsia"/>
        </w:rPr>
        <w:t>i</w:t>
      </w:r>
      <w:r w:rsidR="001C2770">
        <w:rPr>
          <w:rFonts w:ascii="Arial" w:hAnsi="Arial" w:cs="Arial"/>
        </w:rPr>
        <w:t xml:space="preserve">ssued and </w:t>
      </w:r>
      <w:r w:rsidR="001C2770">
        <w:rPr>
          <w:rFonts w:ascii="Arial" w:hAnsi="Arial" w:cs="Arial" w:hint="eastAsia"/>
        </w:rPr>
        <w:t>o</w:t>
      </w:r>
      <w:r w:rsidR="001C2770">
        <w:rPr>
          <w:rFonts w:ascii="Arial" w:hAnsi="Arial" w:cs="Arial"/>
        </w:rPr>
        <w:t xml:space="preserve">utstanding </w:t>
      </w:r>
      <w:r w:rsidR="001C2770">
        <w:rPr>
          <w:rFonts w:ascii="Arial" w:hAnsi="Arial" w:cs="Arial" w:hint="eastAsia"/>
        </w:rPr>
        <w:t>c</w:t>
      </w:r>
      <w:r w:rsidR="001C2770">
        <w:rPr>
          <w:rFonts w:ascii="Arial" w:hAnsi="Arial" w:cs="Arial"/>
        </w:rPr>
        <w:t xml:space="preserve">ommon </w:t>
      </w:r>
      <w:r w:rsidR="001C2770">
        <w:rPr>
          <w:rFonts w:ascii="Arial" w:hAnsi="Arial" w:cs="Arial" w:hint="eastAsia"/>
        </w:rPr>
        <w:t>s</w:t>
      </w:r>
      <w:r w:rsidR="001C2770" w:rsidRPr="001C2770">
        <w:rPr>
          <w:rFonts w:ascii="Arial" w:hAnsi="Arial" w:cs="Arial"/>
        </w:rPr>
        <w:t>hares of</w:t>
      </w:r>
      <w:r w:rsidR="001C2770">
        <w:rPr>
          <w:rFonts w:ascii="Arial" w:hAnsi="Arial" w:cs="Arial" w:hint="eastAsia"/>
        </w:rPr>
        <w:t xml:space="preserve"> </w:t>
      </w:r>
      <w:r w:rsidR="001C2770" w:rsidRPr="001C2770">
        <w:rPr>
          <w:rFonts w:ascii="Arial" w:hAnsi="Arial" w:cs="Arial"/>
        </w:rPr>
        <w:t>Maple Beauty Global Limited</w:t>
      </w:r>
      <w:r w:rsidR="001C2770">
        <w:rPr>
          <w:rFonts w:ascii="Arial" w:hAnsi="Arial" w:cs="Arial"/>
        </w:rPr>
        <w:t xml:space="preserve"> </w:t>
      </w:r>
      <w:r>
        <w:rPr>
          <w:rFonts w:ascii="Arial" w:hAnsi="Arial" w:cs="Arial"/>
        </w:rPr>
        <w:t>was</w:t>
      </w:r>
      <w:r w:rsidRPr="005E7B9A">
        <w:rPr>
          <w:rFonts w:ascii="Arial" w:hAnsi="Arial" w:cs="Arial"/>
        </w:rPr>
        <w:t xml:space="preserve"> ratified and approved</w:t>
      </w:r>
      <w:r w:rsidR="001C2770">
        <w:rPr>
          <w:rFonts w:ascii="Arial" w:hAnsi="Arial" w:cs="Arial" w:hint="eastAsia"/>
        </w:rPr>
        <w:t xml:space="preserve"> by shareholders of the Company</w:t>
      </w:r>
      <w:r w:rsidRPr="005E7B9A">
        <w:rPr>
          <w:rFonts w:ascii="Arial" w:hAnsi="Arial" w:cs="Arial"/>
        </w:rPr>
        <w:t>.</w:t>
      </w:r>
    </w:p>
    <w:p w:rsidR="001C2770" w:rsidRDefault="001C2770" w:rsidP="005E7B9A">
      <w:pPr>
        <w:pStyle w:val="NoSpacing"/>
        <w:jc w:val="both"/>
        <w:rPr>
          <w:rFonts w:ascii="Arial" w:hAnsi="Arial" w:cs="Arial" w:hint="eastAsia"/>
        </w:rPr>
      </w:pPr>
    </w:p>
    <w:p w:rsidR="003811C4" w:rsidRPr="00C642B8" w:rsidRDefault="003811C4" w:rsidP="003811C4">
      <w:pPr>
        <w:pStyle w:val="NoSpacing"/>
        <w:rPr>
          <w:rFonts w:ascii="Arial" w:hAnsi="Arial" w:cs="Arial"/>
        </w:rPr>
      </w:pPr>
      <w:bookmarkStart w:id="0" w:name="_GoBack"/>
      <w:bookmarkEnd w:id="0"/>
      <w:r w:rsidRPr="00C642B8">
        <w:rPr>
          <w:rFonts w:ascii="Arial" w:hAnsi="Arial" w:cs="Arial"/>
        </w:rPr>
        <w:t>On behalf of:</w:t>
      </w:r>
    </w:p>
    <w:p w:rsidR="003811C4" w:rsidRPr="00C642B8" w:rsidRDefault="003811C4" w:rsidP="003811C4">
      <w:pPr>
        <w:pStyle w:val="NoSpacing"/>
        <w:rPr>
          <w:rFonts w:ascii="Arial" w:hAnsi="Arial" w:cs="Arial"/>
          <w:b/>
        </w:rPr>
      </w:pPr>
      <w:proofErr w:type="gramStart"/>
      <w:r w:rsidRPr="00C642B8">
        <w:rPr>
          <w:rFonts w:ascii="Arial" w:hAnsi="Arial" w:cs="Arial"/>
          <w:b/>
        </w:rPr>
        <w:t>ORIENTAL NON-FERROUS RESOURCES DEVELOPMENT INC.</w:t>
      </w:r>
      <w:proofErr w:type="gramEnd"/>
    </w:p>
    <w:p w:rsidR="003811C4" w:rsidRPr="00C642B8" w:rsidRDefault="003811C4" w:rsidP="003811C4">
      <w:pPr>
        <w:pStyle w:val="NoSpacing"/>
        <w:rPr>
          <w:rFonts w:ascii="Arial" w:hAnsi="Arial" w:cs="Arial"/>
          <w:b/>
        </w:rPr>
      </w:pPr>
    </w:p>
    <w:p w:rsidR="003811C4" w:rsidRPr="00C642B8" w:rsidRDefault="003811C4" w:rsidP="003811C4">
      <w:pPr>
        <w:pStyle w:val="NoSpacing"/>
        <w:rPr>
          <w:rFonts w:ascii="Arial" w:hAnsi="Arial" w:cs="Arial"/>
        </w:rPr>
      </w:pPr>
      <w:r w:rsidRPr="00C642B8">
        <w:rPr>
          <w:rFonts w:ascii="Arial" w:hAnsi="Arial" w:cs="Arial"/>
        </w:rPr>
        <w:t>For further information, please contact:</w:t>
      </w:r>
    </w:p>
    <w:p w:rsidR="003811C4" w:rsidRPr="00C642B8" w:rsidRDefault="003811C4" w:rsidP="003811C4">
      <w:pPr>
        <w:pStyle w:val="NoSpacing"/>
        <w:rPr>
          <w:rFonts w:ascii="Arial" w:hAnsi="Arial" w:cs="Arial"/>
        </w:rPr>
      </w:pPr>
      <w:r w:rsidRPr="00C642B8">
        <w:rPr>
          <w:rFonts w:ascii="Arial" w:hAnsi="Arial" w:cs="Arial"/>
        </w:rPr>
        <w:t>Eugene Beukman</w:t>
      </w:r>
    </w:p>
    <w:p w:rsidR="003811C4" w:rsidRPr="00C642B8" w:rsidRDefault="003811C4" w:rsidP="003811C4">
      <w:pPr>
        <w:pStyle w:val="NoSpacing"/>
        <w:rPr>
          <w:rFonts w:ascii="Arial" w:hAnsi="Arial" w:cs="Arial"/>
        </w:rPr>
      </w:pPr>
      <w:r w:rsidRPr="00C642B8">
        <w:rPr>
          <w:rFonts w:ascii="Arial" w:hAnsi="Arial" w:cs="Arial"/>
        </w:rPr>
        <w:t>Chief Executive Officer</w:t>
      </w:r>
    </w:p>
    <w:p w:rsidR="003811C4" w:rsidRDefault="003811C4" w:rsidP="003811C4">
      <w:pPr>
        <w:pStyle w:val="NoSpacing"/>
        <w:rPr>
          <w:rFonts w:ascii="Arial" w:hAnsi="Arial" w:cs="Arial"/>
        </w:rPr>
      </w:pPr>
      <w:r w:rsidRPr="00C642B8">
        <w:rPr>
          <w:rFonts w:ascii="Arial" w:hAnsi="Arial" w:cs="Arial"/>
        </w:rPr>
        <w:t>(604) 687-2038</w:t>
      </w:r>
      <w:r w:rsidRPr="00C642B8">
        <w:rPr>
          <w:rFonts w:ascii="Arial" w:hAnsi="Arial" w:cs="Arial"/>
        </w:rPr>
        <w:cr/>
      </w:r>
    </w:p>
    <w:p w:rsidR="00FA5FA4" w:rsidRDefault="003811C4" w:rsidP="003811C4">
      <w:pPr>
        <w:pStyle w:val="NoSpacing"/>
        <w:jc w:val="both"/>
        <w:rPr>
          <w:rFonts w:ascii="Arial" w:hAnsi="Arial" w:cs="Arial"/>
          <w:sz w:val="18"/>
          <w:szCs w:val="18"/>
        </w:rPr>
      </w:pPr>
      <w:r w:rsidRPr="00C642B8">
        <w:rPr>
          <w:rFonts w:ascii="Arial" w:hAnsi="Arial" w:cs="Arial"/>
          <w:sz w:val="18"/>
          <w:szCs w:val="18"/>
        </w:rPr>
        <w:t xml:space="preserve">This release includes certain statements that may be deemed to be "forward-looking statements". All statements in this release, other than statements of historical facts, that address future production, reserve potential, exploration and development activities and events or developments that the Company expects, are forward-looking statements. Although management believes the expectations expressed in such forward-looking statements are based on reasonable assumptions, such statements are not guarantees of future performance, and actual results or developments may differ materially from those in the forward-looking statements. Factors that could cause actual results to differ materially from those in forward-looking statements include market prices, exploration and development successes, continued availability of capital and financing, and general economic, market or business conditions. Please see the Company’s public filings at </w:t>
      </w:r>
      <w:hyperlink r:id="rId7" w:history="1">
        <w:r w:rsidRPr="00C642B8">
          <w:rPr>
            <w:rStyle w:val="Hyperlink"/>
            <w:rFonts w:ascii="Arial" w:hAnsi="Arial" w:cs="Arial"/>
            <w:sz w:val="18"/>
            <w:szCs w:val="18"/>
          </w:rPr>
          <w:t>www.sedar.com</w:t>
        </w:r>
      </w:hyperlink>
      <w:r w:rsidRPr="00C642B8">
        <w:rPr>
          <w:rFonts w:ascii="Arial" w:hAnsi="Arial" w:cs="Arial"/>
          <w:sz w:val="18"/>
          <w:szCs w:val="18"/>
        </w:rPr>
        <w:t xml:space="preserve"> for further information.</w:t>
      </w:r>
    </w:p>
    <w:p w:rsidR="00FA5FA4" w:rsidRPr="00FA5FA4" w:rsidRDefault="00FA5FA4" w:rsidP="00FA5FA4"/>
    <w:p w:rsidR="00FA5FA4" w:rsidRDefault="00FA5FA4" w:rsidP="00FA5FA4"/>
    <w:p w:rsidR="002F569F" w:rsidRPr="00FA5FA4" w:rsidRDefault="002F569F" w:rsidP="00FA5FA4">
      <w:pPr>
        <w:tabs>
          <w:tab w:val="left" w:pos="3990"/>
        </w:tabs>
      </w:pPr>
    </w:p>
    <w:sectPr w:rsidR="002F569F" w:rsidRPr="00FA5FA4" w:rsidSect="00BE1E15">
      <w:headerReference w:type="even" r:id="rId8"/>
      <w:headerReference w:type="default" r:id="rId9"/>
      <w:footerReference w:type="even" r:id="rId10"/>
      <w:footerReference w:type="default" r:id="rId11"/>
      <w:headerReference w:type="first" r:id="rId12"/>
      <w:footerReference w:type="first" r:id="rId13"/>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306" w:rsidRDefault="008D6306" w:rsidP="003811C4">
      <w:pPr>
        <w:spacing w:after="0" w:line="240" w:lineRule="auto"/>
      </w:pPr>
      <w:r>
        <w:separator/>
      </w:r>
    </w:p>
  </w:endnote>
  <w:endnote w:type="continuationSeparator" w:id="0">
    <w:p w:rsidR="008D6306" w:rsidRDefault="008D6306" w:rsidP="0038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FA4" w:rsidRDefault="00FA5F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C4" w:rsidRPr="00C642B8" w:rsidRDefault="003811C4" w:rsidP="003811C4">
    <w:pPr>
      <w:pStyle w:val="Footer"/>
      <w:jc w:val="center"/>
      <w:rPr>
        <w:b/>
        <w:sz w:val="20"/>
        <w:szCs w:val="20"/>
      </w:rPr>
    </w:pPr>
    <w:r w:rsidRPr="00C642B8">
      <w:rPr>
        <w:rFonts w:ascii="Arial" w:hAnsi="Arial" w:cs="Arial"/>
        <w:b/>
        <w:sz w:val="20"/>
        <w:szCs w:val="20"/>
      </w:rPr>
      <w:t>Neither the CSE nor its Regulation Services Provider (as that term is defined in the policies of the CSE) accepts responsibility for the adequacy or accuracy of this release.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FA4" w:rsidRDefault="00FA5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306" w:rsidRDefault="008D6306" w:rsidP="003811C4">
      <w:pPr>
        <w:spacing w:after="0" w:line="240" w:lineRule="auto"/>
      </w:pPr>
      <w:r>
        <w:separator/>
      </w:r>
    </w:p>
  </w:footnote>
  <w:footnote w:type="continuationSeparator" w:id="0">
    <w:p w:rsidR="008D6306" w:rsidRDefault="008D6306" w:rsidP="0038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FA4" w:rsidRDefault="00FA5F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FA4" w:rsidRDefault="00FA5F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FA4" w:rsidRDefault="00FA5F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C4"/>
    <w:rsid w:val="001451C0"/>
    <w:rsid w:val="001C2770"/>
    <w:rsid w:val="00232396"/>
    <w:rsid w:val="002F569F"/>
    <w:rsid w:val="003811C4"/>
    <w:rsid w:val="004B048C"/>
    <w:rsid w:val="004F5FD5"/>
    <w:rsid w:val="005E7B9A"/>
    <w:rsid w:val="006064D7"/>
    <w:rsid w:val="006F2C9A"/>
    <w:rsid w:val="00855F7C"/>
    <w:rsid w:val="008B74A5"/>
    <w:rsid w:val="008D6306"/>
    <w:rsid w:val="00954961"/>
    <w:rsid w:val="00A9396D"/>
    <w:rsid w:val="00BE1E15"/>
    <w:rsid w:val="00C642B8"/>
    <w:rsid w:val="00CD684D"/>
    <w:rsid w:val="00D73AA7"/>
    <w:rsid w:val="00EB1971"/>
    <w:rsid w:val="00FA5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11C4"/>
    <w:pPr>
      <w:spacing w:after="0" w:line="240" w:lineRule="auto"/>
    </w:pPr>
  </w:style>
  <w:style w:type="character" w:styleId="Hyperlink">
    <w:name w:val="Hyperlink"/>
    <w:basedOn w:val="DefaultParagraphFont"/>
    <w:uiPriority w:val="99"/>
    <w:unhideWhenUsed/>
    <w:rsid w:val="003811C4"/>
    <w:rPr>
      <w:color w:val="0000FF" w:themeColor="hyperlink"/>
      <w:u w:val="single"/>
    </w:rPr>
  </w:style>
  <w:style w:type="paragraph" w:styleId="Header">
    <w:name w:val="header"/>
    <w:basedOn w:val="Normal"/>
    <w:link w:val="HeaderChar"/>
    <w:uiPriority w:val="99"/>
    <w:unhideWhenUsed/>
    <w:rsid w:val="003811C4"/>
    <w:pPr>
      <w:tabs>
        <w:tab w:val="center" w:pos="4320"/>
        <w:tab w:val="right" w:pos="8640"/>
      </w:tabs>
      <w:spacing w:after="0" w:line="240" w:lineRule="auto"/>
    </w:pPr>
  </w:style>
  <w:style w:type="character" w:customStyle="1" w:styleId="HeaderChar">
    <w:name w:val="Header Char"/>
    <w:basedOn w:val="DefaultParagraphFont"/>
    <w:link w:val="Header"/>
    <w:uiPriority w:val="99"/>
    <w:rsid w:val="003811C4"/>
  </w:style>
  <w:style w:type="paragraph" w:styleId="Footer">
    <w:name w:val="footer"/>
    <w:basedOn w:val="Normal"/>
    <w:link w:val="FooterChar"/>
    <w:uiPriority w:val="99"/>
    <w:unhideWhenUsed/>
    <w:rsid w:val="003811C4"/>
    <w:pPr>
      <w:tabs>
        <w:tab w:val="center" w:pos="4320"/>
        <w:tab w:val="right" w:pos="8640"/>
      </w:tabs>
      <w:spacing w:after="0" w:line="240" w:lineRule="auto"/>
    </w:pPr>
  </w:style>
  <w:style w:type="character" w:customStyle="1" w:styleId="FooterChar">
    <w:name w:val="Footer Char"/>
    <w:basedOn w:val="DefaultParagraphFont"/>
    <w:link w:val="Footer"/>
    <w:uiPriority w:val="99"/>
    <w:rsid w:val="003811C4"/>
  </w:style>
  <w:style w:type="paragraph" w:styleId="BalloonText">
    <w:name w:val="Balloon Text"/>
    <w:basedOn w:val="Normal"/>
    <w:link w:val="BalloonTextChar"/>
    <w:uiPriority w:val="99"/>
    <w:semiHidden/>
    <w:unhideWhenUsed/>
    <w:rsid w:val="00381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1C4"/>
    <w:rPr>
      <w:rFonts w:ascii="Tahoma" w:hAnsi="Tahoma" w:cs="Tahoma"/>
      <w:sz w:val="16"/>
      <w:szCs w:val="16"/>
    </w:rPr>
  </w:style>
  <w:style w:type="table" w:styleId="TableGrid">
    <w:name w:val="Table Grid"/>
    <w:basedOn w:val="TableNormal"/>
    <w:uiPriority w:val="59"/>
    <w:rsid w:val="00C64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4961"/>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11C4"/>
    <w:pPr>
      <w:spacing w:after="0" w:line="240" w:lineRule="auto"/>
    </w:pPr>
  </w:style>
  <w:style w:type="character" w:styleId="Hyperlink">
    <w:name w:val="Hyperlink"/>
    <w:basedOn w:val="DefaultParagraphFont"/>
    <w:uiPriority w:val="99"/>
    <w:unhideWhenUsed/>
    <w:rsid w:val="003811C4"/>
    <w:rPr>
      <w:color w:val="0000FF" w:themeColor="hyperlink"/>
      <w:u w:val="single"/>
    </w:rPr>
  </w:style>
  <w:style w:type="paragraph" w:styleId="Header">
    <w:name w:val="header"/>
    <w:basedOn w:val="Normal"/>
    <w:link w:val="HeaderChar"/>
    <w:uiPriority w:val="99"/>
    <w:unhideWhenUsed/>
    <w:rsid w:val="003811C4"/>
    <w:pPr>
      <w:tabs>
        <w:tab w:val="center" w:pos="4320"/>
        <w:tab w:val="right" w:pos="8640"/>
      </w:tabs>
      <w:spacing w:after="0" w:line="240" w:lineRule="auto"/>
    </w:pPr>
  </w:style>
  <w:style w:type="character" w:customStyle="1" w:styleId="HeaderChar">
    <w:name w:val="Header Char"/>
    <w:basedOn w:val="DefaultParagraphFont"/>
    <w:link w:val="Header"/>
    <w:uiPriority w:val="99"/>
    <w:rsid w:val="003811C4"/>
  </w:style>
  <w:style w:type="paragraph" w:styleId="Footer">
    <w:name w:val="footer"/>
    <w:basedOn w:val="Normal"/>
    <w:link w:val="FooterChar"/>
    <w:uiPriority w:val="99"/>
    <w:unhideWhenUsed/>
    <w:rsid w:val="003811C4"/>
    <w:pPr>
      <w:tabs>
        <w:tab w:val="center" w:pos="4320"/>
        <w:tab w:val="right" w:pos="8640"/>
      </w:tabs>
      <w:spacing w:after="0" w:line="240" w:lineRule="auto"/>
    </w:pPr>
  </w:style>
  <w:style w:type="character" w:customStyle="1" w:styleId="FooterChar">
    <w:name w:val="Footer Char"/>
    <w:basedOn w:val="DefaultParagraphFont"/>
    <w:link w:val="Footer"/>
    <w:uiPriority w:val="99"/>
    <w:rsid w:val="003811C4"/>
  </w:style>
  <w:style w:type="paragraph" w:styleId="BalloonText">
    <w:name w:val="Balloon Text"/>
    <w:basedOn w:val="Normal"/>
    <w:link w:val="BalloonTextChar"/>
    <w:uiPriority w:val="99"/>
    <w:semiHidden/>
    <w:unhideWhenUsed/>
    <w:rsid w:val="00381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1C4"/>
    <w:rPr>
      <w:rFonts w:ascii="Tahoma" w:hAnsi="Tahoma" w:cs="Tahoma"/>
      <w:sz w:val="16"/>
      <w:szCs w:val="16"/>
    </w:rPr>
  </w:style>
  <w:style w:type="table" w:styleId="TableGrid">
    <w:name w:val="Table Grid"/>
    <w:basedOn w:val="TableNormal"/>
    <w:uiPriority w:val="59"/>
    <w:rsid w:val="00C64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4961"/>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edar.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Wang</dc:creator>
  <cp:lastModifiedBy>SamWang</cp:lastModifiedBy>
  <cp:revision>5</cp:revision>
  <dcterms:created xsi:type="dcterms:W3CDTF">2017-06-07T20:59:00Z</dcterms:created>
  <dcterms:modified xsi:type="dcterms:W3CDTF">2018-08-24T06:58:00Z</dcterms:modified>
</cp:coreProperties>
</file>