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3F00" w14:textId="77777777" w:rsidR="00680FFA" w:rsidRPr="00D143A2" w:rsidRDefault="000B2AE9" w:rsidP="00D143A2">
      <w:pPr>
        <w:jc w:val="center"/>
        <w:rPr>
          <w:rFonts w:ascii="Arial" w:hAnsi="Arial" w:cs="Arial"/>
          <w:b/>
        </w:rPr>
      </w:pPr>
      <w:r w:rsidRPr="00D143A2">
        <w:rPr>
          <w:rFonts w:ascii="Arial" w:hAnsi="Arial" w:cs="Arial"/>
          <w:b/>
          <w:noProof/>
          <w:lang w:val="en-GB" w:eastAsia="en-GB" w:bidi="ar-SA"/>
        </w:rPr>
        <w:drawing>
          <wp:inline distT="0" distB="0" distL="0" distR="0" wp14:anchorId="5288C3B2" wp14:editId="63C86F8F">
            <wp:extent cx="4991100" cy="1123950"/>
            <wp:effectExtent l="0" t="0" r="0" b="0"/>
            <wp:docPr id="1" name="Picture 1" descr="LION LOGO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ON LOGO 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CCEF9" w14:textId="77777777" w:rsidR="00680FFA" w:rsidRPr="00D143A2" w:rsidRDefault="00680FFA" w:rsidP="00D143A2">
      <w:pPr>
        <w:rPr>
          <w:rFonts w:ascii="Arial" w:hAnsi="Arial" w:cs="Arial"/>
          <w:b/>
        </w:rPr>
      </w:pPr>
    </w:p>
    <w:p w14:paraId="05CCF67C" w14:textId="77777777" w:rsidR="00CF4332" w:rsidRDefault="00CF4332" w:rsidP="00D143A2">
      <w:pPr>
        <w:jc w:val="center"/>
        <w:rPr>
          <w:rFonts w:ascii="Arial" w:hAnsi="Arial" w:cs="Arial"/>
          <w:b/>
          <w:sz w:val="20"/>
          <w:szCs w:val="20"/>
        </w:rPr>
      </w:pPr>
      <w:r w:rsidRPr="00D143A2">
        <w:rPr>
          <w:rFonts w:ascii="Arial" w:hAnsi="Arial" w:cs="Arial"/>
          <w:sz w:val="20"/>
          <w:szCs w:val="20"/>
        </w:rPr>
        <w:t>908 – 510 Burrard Street</w:t>
      </w:r>
      <w:r w:rsidRPr="00D143A2">
        <w:rPr>
          <w:rFonts w:ascii="Arial" w:hAnsi="Arial" w:cs="Arial"/>
          <w:sz w:val="20"/>
          <w:szCs w:val="20"/>
        </w:rPr>
        <w:br/>
        <w:t>Vancouver</w:t>
      </w:r>
      <w:r w:rsidR="00D143A2">
        <w:rPr>
          <w:rFonts w:ascii="Arial" w:hAnsi="Arial" w:cs="Arial"/>
          <w:sz w:val="20"/>
          <w:szCs w:val="20"/>
        </w:rPr>
        <w:t>,</w:t>
      </w:r>
      <w:r w:rsidRPr="00D143A2">
        <w:rPr>
          <w:rFonts w:ascii="Arial" w:hAnsi="Arial" w:cs="Arial"/>
          <w:sz w:val="20"/>
          <w:szCs w:val="20"/>
        </w:rPr>
        <w:t xml:space="preserve"> B.C.  V6C 3A8</w:t>
      </w:r>
      <w:r w:rsidRPr="00D143A2">
        <w:rPr>
          <w:rFonts w:ascii="Arial" w:hAnsi="Arial" w:cs="Arial"/>
          <w:sz w:val="20"/>
          <w:szCs w:val="20"/>
        </w:rPr>
        <w:br/>
      </w:r>
    </w:p>
    <w:p w14:paraId="304624F8" w14:textId="364AF6D3" w:rsidR="005E660C" w:rsidRPr="005E660C" w:rsidRDefault="005E660C" w:rsidP="00D143A2">
      <w:pPr>
        <w:jc w:val="center"/>
        <w:rPr>
          <w:rFonts w:ascii="Calibri" w:eastAsia="Calibri" w:hAnsi="Calibri" w:cs="Times New Roman"/>
          <w:i/>
          <w:iCs/>
          <w:kern w:val="2"/>
          <w:sz w:val="22"/>
          <w:szCs w:val="22"/>
          <w:lang w:val="en-US" w:eastAsia="en-US" w:bidi="ar-SA"/>
          <w14:ligatures w14:val="standardContextual"/>
        </w:rPr>
      </w:pPr>
      <w:r w:rsidRPr="005E660C">
        <w:rPr>
          <w:rFonts w:ascii="Calibri" w:eastAsia="Calibri" w:hAnsi="Calibri" w:cs="Times New Roman"/>
          <w:i/>
          <w:iCs/>
          <w:kern w:val="2"/>
          <w:sz w:val="22"/>
          <w:szCs w:val="22"/>
          <w:lang w:val="en-US" w:eastAsia="en-US" w:bidi="ar-SA"/>
          <w14:ligatures w14:val="standardContextual"/>
        </w:rPr>
        <w:t>NOT FOR DISSEMINATION IN THE UNITED STATES OR FOR DISTRIBUTION TO U.S. WIRE. SERVICES</w:t>
      </w:r>
    </w:p>
    <w:p w14:paraId="02199A0E" w14:textId="77777777" w:rsidR="005E660C" w:rsidRPr="00D143A2" w:rsidRDefault="005E660C" w:rsidP="00D143A2">
      <w:pPr>
        <w:jc w:val="center"/>
        <w:rPr>
          <w:rFonts w:ascii="Arial" w:hAnsi="Arial" w:cs="Arial"/>
          <w:b/>
          <w:sz w:val="20"/>
          <w:szCs w:val="20"/>
        </w:rPr>
      </w:pPr>
    </w:p>
    <w:p w14:paraId="257985B2" w14:textId="2AE6E6B0" w:rsidR="005A1A7A" w:rsidRPr="005E660C" w:rsidRDefault="005A1A7A" w:rsidP="005A1A7A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eastAsia="en-US" w:bidi="ar-SA"/>
        </w:rPr>
      </w:pPr>
      <w:r w:rsidRPr="005E660C">
        <w:rPr>
          <w:rFonts w:ascii="Calibri" w:eastAsia="Calibri" w:hAnsi="Calibri" w:cs="Calibri"/>
          <w:b/>
          <w:bCs/>
          <w:kern w:val="0"/>
          <w:sz w:val="22"/>
          <w:szCs w:val="22"/>
          <w:u w:val="single"/>
          <w:lang w:eastAsia="en-US" w:bidi="ar-SA"/>
        </w:rPr>
        <w:t xml:space="preserve">Global Li-Ion </w:t>
      </w:r>
      <w:r w:rsidRPr="005E660C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 xml:space="preserve">Announces </w:t>
      </w:r>
      <w:r w:rsidR="00426E03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D</w:t>
      </w:r>
      <w:r w:rsidRPr="005E660C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ebt Conversion</w:t>
      </w:r>
      <w:r w:rsidR="008B5E0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s</w:t>
      </w:r>
      <w:r w:rsidRPr="005E660C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 xml:space="preserve"> and </w:t>
      </w:r>
      <w:r w:rsidR="008B5E0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 xml:space="preserve">Settlement of </w:t>
      </w:r>
      <w:r w:rsidRPr="005E660C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Stock Bonus</w:t>
      </w:r>
      <w:r w:rsidR="008B5E0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es</w:t>
      </w:r>
    </w:p>
    <w:p w14:paraId="2318A63A" w14:textId="5277E7C3" w:rsidR="00F15CD7" w:rsidRPr="005E660C" w:rsidRDefault="00F15CD7" w:rsidP="00D143A2">
      <w:pPr>
        <w:jc w:val="center"/>
        <w:rPr>
          <w:rFonts w:ascii="Arial" w:hAnsi="Arial" w:cs="Arial"/>
          <w:i/>
          <w:sz w:val="22"/>
          <w:szCs w:val="22"/>
        </w:rPr>
      </w:pPr>
    </w:p>
    <w:p w14:paraId="0CF87AB5" w14:textId="1D50A1AF" w:rsidR="007D11B8" w:rsidRPr="005E660C" w:rsidRDefault="00F30C01" w:rsidP="0095084D">
      <w:pPr>
        <w:jc w:val="both"/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</w:pPr>
      <w:r w:rsidRPr="005E660C">
        <w:rPr>
          <w:rFonts w:asciiTheme="minorHAnsi" w:hAnsiTheme="minorHAnsi" w:cstheme="minorHAnsi"/>
          <w:b/>
          <w:sz w:val="22"/>
          <w:szCs w:val="22"/>
        </w:rPr>
        <w:t>LION</w:t>
      </w:r>
      <w:r w:rsidRPr="005E660C">
        <w:rPr>
          <w:rFonts w:asciiTheme="minorHAnsi" w:hAnsiTheme="minorHAnsi" w:cstheme="minorHAnsi"/>
          <w:sz w:val="22"/>
          <w:szCs w:val="22"/>
        </w:rPr>
        <w:t xml:space="preserve"> CSE</w:t>
      </w:r>
      <w:r w:rsidRPr="005E660C">
        <w:rPr>
          <w:rFonts w:asciiTheme="minorHAnsi" w:hAnsiTheme="minorHAnsi" w:cstheme="minorHAnsi"/>
          <w:sz w:val="22"/>
          <w:szCs w:val="22"/>
        </w:rPr>
        <w:tab/>
      </w:r>
      <w:r w:rsidRPr="005E660C">
        <w:rPr>
          <w:rFonts w:asciiTheme="minorHAnsi" w:hAnsiTheme="minorHAnsi" w:cstheme="minorHAnsi"/>
          <w:sz w:val="22"/>
          <w:szCs w:val="22"/>
        </w:rPr>
        <w:tab/>
      </w:r>
      <w:r w:rsidRPr="005E660C">
        <w:rPr>
          <w:rFonts w:asciiTheme="minorHAnsi" w:hAnsiTheme="minorHAnsi" w:cstheme="minorHAnsi"/>
          <w:sz w:val="22"/>
          <w:szCs w:val="22"/>
        </w:rPr>
        <w:tab/>
      </w:r>
      <w:r w:rsidRPr="005E660C">
        <w:rPr>
          <w:rFonts w:asciiTheme="minorHAnsi" w:hAnsiTheme="minorHAnsi" w:cstheme="minorHAnsi"/>
          <w:sz w:val="22"/>
          <w:szCs w:val="22"/>
        </w:rPr>
        <w:tab/>
      </w:r>
      <w:r w:rsidRPr="005E660C">
        <w:rPr>
          <w:rFonts w:asciiTheme="minorHAnsi" w:hAnsiTheme="minorHAnsi" w:cstheme="minorHAnsi"/>
          <w:sz w:val="22"/>
          <w:szCs w:val="22"/>
        </w:rPr>
        <w:tab/>
      </w:r>
      <w:r w:rsidR="00EF635C" w:rsidRPr="005E660C">
        <w:rPr>
          <w:rFonts w:asciiTheme="minorHAnsi" w:hAnsiTheme="minorHAnsi" w:cstheme="minorHAnsi"/>
          <w:b/>
          <w:sz w:val="22"/>
          <w:szCs w:val="22"/>
        </w:rPr>
        <w:t>GBBGF</w:t>
      </w:r>
      <w:r w:rsidR="00EF635C" w:rsidRPr="005E660C">
        <w:rPr>
          <w:rFonts w:asciiTheme="minorHAnsi" w:hAnsiTheme="minorHAnsi" w:cstheme="minorHAnsi"/>
          <w:sz w:val="22"/>
          <w:szCs w:val="22"/>
        </w:rPr>
        <w:t>. OTCQB</w:t>
      </w:r>
      <w:r w:rsidRPr="005E660C">
        <w:rPr>
          <w:rFonts w:asciiTheme="minorHAnsi" w:hAnsiTheme="minorHAnsi" w:cstheme="minorHAnsi"/>
          <w:sz w:val="22"/>
          <w:szCs w:val="22"/>
        </w:rPr>
        <w:tab/>
      </w:r>
      <w:r w:rsidRPr="005E660C">
        <w:rPr>
          <w:rFonts w:asciiTheme="minorHAnsi" w:hAnsiTheme="minorHAnsi" w:cstheme="minorHAnsi"/>
          <w:sz w:val="22"/>
          <w:szCs w:val="22"/>
        </w:rPr>
        <w:tab/>
      </w:r>
      <w:r w:rsidR="00653FBA" w:rsidRPr="005E660C">
        <w:rPr>
          <w:rFonts w:asciiTheme="minorHAnsi" w:hAnsiTheme="minorHAnsi" w:cstheme="minorHAnsi"/>
          <w:sz w:val="22"/>
          <w:szCs w:val="22"/>
        </w:rPr>
        <w:tab/>
      </w:r>
      <w:r w:rsidR="00EF635C" w:rsidRPr="005E660C">
        <w:rPr>
          <w:rFonts w:asciiTheme="minorHAnsi" w:hAnsiTheme="minorHAnsi" w:cstheme="minorHAnsi"/>
          <w:sz w:val="22"/>
          <w:szCs w:val="22"/>
        </w:rPr>
        <w:tab/>
      </w:r>
      <w:r w:rsidR="00653FBA" w:rsidRPr="005E660C">
        <w:rPr>
          <w:rFonts w:asciiTheme="minorHAnsi" w:hAnsiTheme="minorHAnsi" w:cstheme="minorHAnsi"/>
          <w:b/>
          <w:sz w:val="22"/>
          <w:szCs w:val="22"/>
        </w:rPr>
        <w:t xml:space="preserve">0TD. </w:t>
      </w:r>
      <w:r w:rsidR="00653FBA" w:rsidRPr="005E660C">
        <w:rPr>
          <w:rFonts w:asciiTheme="minorHAnsi" w:hAnsiTheme="minorHAnsi" w:cstheme="minorHAnsi"/>
          <w:sz w:val="22"/>
          <w:szCs w:val="22"/>
        </w:rPr>
        <w:t xml:space="preserve">F </w:t>
      </w:r>
      <w:r w:rsidR="00680FFA" w:rsidRPr="005E660C">
        <w:rPr>
          <w:rFonts w:asciiTheme="minorHAnsi" w:hAnsiTheme="minorHAnsi" w:cstheme="minorHAnsi"/>
          <w:b/>
          <w:sz w:val="22"/>
          <w:szCs w:val="22"/>
        </w:rPr>
        <w:t>Vancouver</w:t>
      </w:r>
      <w:r w:rsidR="00D143A2" w:rsidRPr="005E660C">
        <w:rPr>
          <w:rFonts w:asciiTheme="minorHAnsi" w:hAnsiTheme="minorHAnsi" w:cstheme="minorHAnsi"/>
          <w:b/>
          <w:sz w:val="22"/>
          <w:szCs w:val="22"/>
        </w:rPr>
        <w:t>,</w:t>
      </w:r>
      <w:r w:rsidR="00680FFA" w:rsidRPr="005E660C">
        <w:rPr>
          <w:rFonts w:asciiTheme="minorHAnsi" w:hAnsiTheme="minorHAnsi" w:cstheme="minorHAnsi"/>
          <w:b/>
          <w:sz w:val="22"/>
          <w:szCs w:val="22"/>
        </w:rPr>
        <w:t xml:space="preserve"> British Columbia</w:t>
      </w:r>
      <w:r w:rsidR="00D143A2" w:rsidRPr="005E660C">
        <w:rPr>
          <w:rFonts w:asciiTheme="minorHAnsi" w:hAnsiTheme="minorHAnsi" w:cstheme="minorHAnsi"/>
          <w:b/>
          <w:sz w:val="22"/>
          <w:szCs w:val="22"/>
        </w:rPr>
        <w:t>,</w:t>
      </w:r>
      <w:r w:rsidR="00680FFA" w:rsidRPr="005E660C">
        <w:rPr>
          <w:rFonts w:asciiTheme="minorHAnsi" w:hAnsiTheme="minorHAnsi" w:cstheme="minorHAnsi"/>
          <w:b/>
          <w:sz w:val="22"/>
          <w:szCs w:val="22"/>
        </w:rPr>
        <w:t xml:space="preserve"> Canada </w:t>
      </w:r>
      <w:r w:rsidR="00393289" w:rsidRPr="005E660C">
        <w:rPr>
          <w:rFonts w:asciiTheme="minorHAnsi" w:hAnsiTheme="minorHAnsi" w:cstheme="minorHAnsi"/>
          <w:b/>
          <w:sz w:val="22"/>
          <w:szCs w:val="22"/>
        </w:rPr>
        <w:t>(</w:t>
      </w:r>
      <w:r w:rsidR="00426E03">
        <w:rPr>
          <w:rFonts w:asciiTheme="minorHAnsi" w:hAnsiTheme="minorHAnsi" w:cstheme="minorHAnsi"/>
          <w:b/>
          <w:sz w:val="22"/>
          <w:szCs w:val="22"/>
        </w:rPr>
        <w:t>May</w:t>
      </w:r>
      <w:r w:rsidR="009B4396">
        <w:rPr>
          <w:rFonts w:asciiTheme="minorHAnsi" w:hAnsiTheme="minorHAnsi" w:cstheme="minorHAnsi"/>
          <w:b/>
          <w:sz w:val="22"/>
          <w:szCs w:val="22"/>
        </w:rPr>
        <w:t xml:space="preserve"> 8th</w:t>
      </w:r>
      <w:r w:rsidR="00393289" w:rsidRPr="005E660C">
        <w:rPr>
          <w:rFonts w:asciiTheme="minorHAnsi" w:hAnsiTheme="minorHAnsi" w:cstheme="minorHAnsi"/>
          <w:b/>
          <w:sz w:val="22"/>
          <w:szCs w:val="22"/>
        </w:rPr>
        <w:t>, 2026</w:t>
      </w:r>
      <w:r w:rsidR="00F15CD7" w:rsidRPr="005E660C">
        <w:rPr>
          <w:rFonts w:asciiTheme="minorHAnsi" w:hAnsiTheme="minorHAnsi" w:cstheme="minorHAnsi"/>
          <w:b/>
          <w:sz w:val="22"/>
          <w:szCs w:val="22"/>
        </w:rPr>
        <w:t>) –</w:t>
      </w:r>
      <w:r w:rsidR="00F15CD7" w:rsidRPr="005E660C">
        <w:rPr>
          <w:rFonts w:asciiTheme="minorHAnsi" w:hAnsiTheme="minorHAnsi" w:cstheme="minorHAnsi"/>
          <w:sz w:val="22"/>
          <w:szCs w:val="22"/>
        </w:rPr>
        <w:t xml:space="preserve"> </w:t>
      </w:r>
      <w:r w:rsidR="00CF4332" w:rsidRPr="005E660C">
        <w:rPr>
          <w:rFonts w:asciiTheme="minorHAnsi" w:hAnsiTheme="minorHAnsi" w:cstheme="minorHAnsi"/>
          <w:sz w:val="22"/>
          <w:szCs w:val="22"/>
        </w:rPr>
        <w:t>Global Li-Ion Graphite Corp</w:t>
      </w:r>
      <w:r w:rsidR="00DD574E" w:rsidRPr="005E660C">
        <w:rPr>
          <w:rFonts w:asciiTheme="minorHAnsi" w:hAnsiTheme="minorHAnsi" w:cstheme="minorHAnsi"/>
          <w:sz w:val="22"/>
          <w:szCs w:val="22"/>
        </w:rPr>
        <w:t>.</w:t>
      </w:r>
      <w:r w:rsidR="00680FFA" w:rsidRPr="005E660C">
        <w:rPr>
          <w:rFonts w:asciiTheme="minorHAnsi" w:hAnsiTheme="minorHAnsi" w:cstheme="minorHAnsi"/>
          <w:sz w:val="22"/>
          <w:szCs w:val="22"/>
        </w:rPr>
        <w:t xml:space="preserve"> (</w:t>
      </w:r>
      <w:r w:rsidR="00D143A2" w:rsidRPr="005E660C">
        <w:rPr>
          <w:rFonts w:asciiTheme="minorHAnsi" w:hAnsiTheme="minorHAnsi" w:cstheme="minorHAnsi"/>
          <w:sz w:val="22"/>
          <w:szCs w:val="22"/>
        </w:rPr>
        <w:t>“</w:t>
      </w:r>
      <w:r w:rsidR="00CF4332" w:rsidRPr="005E660C">
        <w:rPr>
          <w:rFonts w:asciiTheme="minorHAnsi" w:hAnsiTheme="minorHAnsi" w:cstheme="minorHAnsi"/>
          <w:b/>
          <w:sz w:val="22"/>
          <w:szCs w:val="22"/>
        </w:rPr>
        <w:t>Global Li-Ion</w:t>
      </w:r>
      <w:r w:rsidR="00D143A2" w:rsidRPr="005E660C">
        <w:rPr>
          <w:rFonts w:asciiTheme="minorHAnsi" w:hAnsiTheme="minorHAnsi" w:cstheme="minorHAnsi"/>
          <w:sz w:val="22"/>
          <w:szCs w:val="22"/>
        </w:rPr>
        <w:t>”</w:t>
      </w:r>
      <w:r w:rsidR="00CF4332" w:rsidRPr="005E660C">
        <w:rPr>
          <w:rFonts w:asciiTheme="minorHAnsi" w:hAnsiTheme="minorHAnsi" w:cstheme="minorHAnsi"/>
          <w:sz w:val="22"/>
          <w:szCs w:val="22"/>
        </w:rPr>
        <w:t xml:space="preserve"> or</w:t>
      </w:r>
      <w:r w:rsidR="00D143A2" w:rsidRPr="005E660C">
        <w:rPr>
          <w:rFonts w:asciiTheme="minorHAnsi" w:hAnsiTheme="minorHAnsi" w:cstheme="minorHAnsi"/>
          <w:sz w:val="22"/>
          <w:szCs w:val="22"/>
        </w:rPr>
        <w:t>,</w:t>
      </w:r>
      <w:r w:rsidR="00CF4332" w:rsidRPr="005E660C">
        <w:rPr>
          <w:rFonts w:asciiTheme="minorHAnsi" w:hAnsiTheme="minorHAnsi" w:cstheme="minorHAnsi"/>
          <w:sz w:val="22"/>
          <w:szCs w:val="22"/>
        </w:rPr>
        <w:t xml:space="preserve"> </w:t>
      </w:r>
      <w:r w:rsidR="00680FFA" w:rsidRPr="005E660C">
        <w:rPr>
          <w:rFonts w:asciiTheme="minorHAnsi" w:hAnsiTheme="minorHAnsi" w:cstheme="minorHAnsi"/>
          <w:sz w:val="22"/>
          <w:szCs w:val="22"/>
        </w:rPr>
        <w:t xml:space="preserve">the </w:t>
      </w:r>
      <w:r w:rsidR="00D143A2" w:rsidRPr="005E660C">
        <w:rPr>
          <w:rFonts w:asciiTheme="minorHAnsi" w:hAnsiTheme="minorHAnsi" w:cstheme="minorHAnsi"/>
          <w:sz w:val="22"/>
          <w:szCs w:val="22"/>
        </w:rPr>
        <w:t>“</w:t>
      </w:r>
      <w:r w:rsidR="00680FFA" w:rsidRPr="005E660C">
        <w:rPr>
          <w:rFonts w:asciiTheme="minorHAnsi" w:hAnsiTheme="minorHAnsi" w:cstheme="minorHAnsi"/>
          <w:b/>
          <w:sz w:val="22"/>
          <w:szCs w:val="22"/>
        </w:rPr>
        <w:t>Company</w:t>
      </w:r>
      <w:r w:rsidR="00D143A2" w:rsidRPr="005E660C">
        <w:rPr>
          <w:rFonts w:asciiTheme="minorHAnsi" w:hAnsiTheme="minorHAnsi" w:cstheme="minorHAnsi"/>
          <w:sz w:val="22"/>
          <w:szCs w:val="22"/>
        </w:rPr>
        <w:t>”</w:t>
      </w:r>
      <w:r w:rsidR="00680FFA" w:rsidRPr="005E660C">
        <w:rPr>
          <w:rFonts w:asciiTheme="minorHAnsi" w:hAnsiTheme="minorHAnsi" w:cstheme="minorHAnsi"/>
          <w:sz w:val="22"/>
          <w:szCs w:val="22"/>
        </w:rPr>
        <w:t xml:space="preserve">) (CSE: </w:t>
      </w:r>
      <w:r w:rsidR="00CF4332" w:rsidRPr="005E660C">
        <w:rPr>
          <w:rFonts w:asciiTheme="minorHAnsi" w:hAnsiTheme="minorHAnsi" w:cstheme="minorHAnsi"/>
          <w:sz w:val="22"/>
          <w:szCs w:val="22"/>
        </w:rPr>
        <w:t>LION</w:t>
      </w:r>
      <w:r w:rsidR="00680FFA" w:rsidRPr="005E660C">
        <w:rPr>
          <w:rFonts w:asciiTheme="minorHAnsi" w:hAnsiTheme="minorHAnsi" w:cstheme="minorHAnsi"/>
          <w:sz w:val="22"/>
          <w:szCs w:val="22"/>
        </w:rPr>
        <w:t>)</w:t>
      </w:r>
      <w:r w:rsidR="00D81232" w:rsidRPr="005E660C">
        <w:rPr>
          <w:rFonts w:asciiTheme="minorHAnsi" w:hAnsiTheme="minorHAnsi" w:cstheme="minorHAnsi"/>
          <w:sz w:val="22"/>
          <w:szCs w:val="22"/>
        </w:rPr>
        <w:t xml:space="preserve"> </w:t>
      </w:r>
      <w:r w:rsidR="007D11B8" w:rsidRPr="005E660C">
        <w:rPr>
          <w:rFonts w:asciiTheme="minorHAnsi" w:eastAsia="Calibri" w:hAnsiTheme="minorHAnsi" w:cstheme="minorHAnsi"/>
          <w:kern w:val="2"/>
          <w:sz w:val="22"/>
          <w:szCs w:val="22"/>
          <w:lang w:val="en-US" w:eastAsia="en-US" w:bidi="ar-SA"/>
          <w14:ligatures w14:val="standardContextual"/>
        </w:rPr>
        <w:t xml:space="preserve">is pleased to announce </w:t>
      </w:r>
      <w:r w:rsidR="00470699">
        <w:rPr>
          <w:rFonts w:asciiTheme="minorHAnsi" w:eastAsia="Calibri" w:hAnsiTheme="minorHAnsi" w:cstheme="minorHAnsi"/>
          <w:kern w:val="2"/>
          <w:sz w:val="22"/>
          <w:szCs w:val="22"/>
          <w:lang w:val="en-US" w:eastAsia="en-US" w:bidi="ar-SA"/>
          <w14:ligatures w14:val="standardContextual"/>
        </w:rPr>
        <w:t xml:space="preserve">that it has </w:t>
      </w:r>
      <w:r w:rsidR="007D11B8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settle</w:t>
      </w:r>
      <w:r w:rsidR="00470699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d</w:t>
      </w:r>
      <w:r w:rsidR="007D11B8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r w:rsidR="00A000AD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$102,789.22 </w:t>
      </w:r>
      <w:r w:rsidR="007D11B8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of indebtedness (the</w:t>
      </w:r>
      <w:r w:rsidR="005E660C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r w:rsidR="007D11B8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“</w:t>
      </w:r>
      <w:r w:rsidR="007D11B8" w:rsidRPr="005E660C">
        <w:rPr>
          <w:rFonts w:ascii="Calibri" w:eastAsia="Calibri" w:hAnsi="Calibri" w:cs="Times New Roman"/>
          <w:b/>
          <w:bCs/>
          <w:kern w:val="0"/>
          <w:sz w:val="22"/>
          <w:szCs w:val="22"/>
          <w:lang w:val="en-US" w:eastAsia="en-US" w:bidi="ar-SA"/>
          <w14:ligatures w14:val="standardContextual"/>
        </w:rPr>
        <w:t>Indebtedness</w:t>
      </w:r>
      <w:r w:rsidR="007D11B8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”) owing to arm’s length creditors (the “</w:t>
      </w:r>
      <w:r w:rsidR="007D11B8" w:rsidRPr="005E660C">
        <w:rPr>
          <w:rFonts w:ascii="Calibri" w:eastAsia="Calibri" w:hAnsi="Calibri" w:cs="Times New Roman"/>
          <w:b/>
          <w:bCs/>
          <w:kern w:val="0"/>
          <w:sz w:val="22"/>
          <w:szCs w:val="22"/>
          <w:lang w:val="en-US" w:eastAsia="en-US" w:bidi="ar-SA"/>
          <w14:ligatures w14:val="standardContextual"/>
        </w:rPr>
        <w:t>Creditors</w:t>
      </w:r>
      <w:r w:rsidR="007D11B8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”) through the issuance of an</w:t>
      </w:r>
      <w:r w:rsidR="005E660C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r w:rsidR="007D11B8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aggregate of </w:t>
      </w:r>
      <w:r w:rsidR="00C57ED9" w:rsidRPr="00B47B78">
        <w:rPr>
          <w:rFonts w:ascii="Calibri" w:hAnsi="Calibri" w:cs="Calibri"/>
          <w:sz w:val="23"/>
          <w:szCs w:val="23"/>
        </w:rPr>
        <w:t>4,111,568</w:t>
      </w:r>
      <w:r w:rsidR="00C57ED9">
        <w:rPr>
          <w:rFonts w:ascii="Calibri" w:hAnsi="Calibri" w:cs="Calibri"/>
          <w:sz w:val="23"/>
          <w:szCs w:val="23"/>
        </w:rPr>
        <w:t xml:space="preserve"> </w:t>
      </w:r>
      <w:r w:rsidR="00470699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u</w:t>
      </w:r>
      <w:r w:rsidR="007D11B8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nits </w:t>
      </w:r>
      <w:r w:rsidR="00470699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of the Company </w:t>
      </w:r>
      <w:r w:rsidR="007D11B8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at a price of $0.025 per Unit (the “</w:t>
      </w:r>
      <w:r w:rsidR="007D11B8" w:rsidRPr="005E660C">
        <w:rPr>
          <w:rFonts w:ascii="Calibri" w:eastAsia="Calibri" w:hAnsi="Calibri" w:cs="Times New Roman"/>
          <w:b/>
          <w:bCs/>
          <w:kern w:val="0"/>
          <w:sz w:val="22"/>
          <w:szCs w:val="22"/>
          <w:lang w:val="en-US" w:eastAsia="en-US" w:bidi="ar-SA"/>
          <w14:ligatures w14:val="standardContextual"/>
        </w:rPr>
        <w:t>Debt Conversion</w:t>
      </w:r>
      <w:r w:rsidR="007D11B8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”). </w:t>
      </w:r>
      <w:r w:rsidR="00470699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Each Unit is composed of </w:t>
      </w:r>
      <w:r w:rsidR="00470699" w:rsidRPr="00470699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one (1) common share in the capital of the Company (a “</w:t>
      </w:r>
      <w:r w:rsidR="00470699" w:rsidRPr="00380216">
        <w:rPr>
          <w:rFonts w:ascii="Calibri" w:eastAsia="Calibri" w:hAnsi="Calibri" w:cs="Times New Roman"/>
          <w:b/>
          <w:bCs/>
          <w:kern w:val="0"/>
          <w:sz w:val="22"/>
          <w:szCs w:val="22"/>
          <w:lang w:val="en-US" w:eastAsia="en-US" w:bidi="ar-SA"/>
          <w14:ligatures w14:val="standardContextual"/>
        </w:rPr>
        <w:t>Share</w:t>
      </w:r>
      <w:r w:rsidR="00470699" w:rsidRPr="00470699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”) and one (1) common share purchase warrant (a “</w:t>
      </w:r>
      <w:r w:rsidR="00470699" w:rsidRPr="00380216">
        <w:rPr>
          <w:rFonts w:ascii="Calibri" w:eastAsia="Calibri" w:hAnsi="Calibri" w:cs="Times New Roman"/>
          <w:b/>
          <w:bCs/>
          <w:kern w:val="0"/>
          <w:sz w:val="22"/>
          <w:szCs w:val="22"/>
          <w:lang w:val="en-US" w:eastAsia="en-US" w:bidi="ar-SA"/>
          <w14:ligatures w14:val="standardContextual"/>
        </w:rPr>
        <w:t>Warrant</w:t>
      </w:r>
      <w:r w:rsidR="00470699" w:rsidRPr="00470699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”). Each Warrant </w:t>
      </w:r>
      <w:r w:rsidR="00470699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is </w:t>
      </w:r>
      <w:r w:rsidR="00470699" w:rsidRPr="00470699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exercisable into one (1) Share for two years from the date of issuance (the “</w:t>
      </w:r>
      <w:r w:rsidR="00470699" w:rsidRPr="00380216">
        <w:rPr>
          <w:rFonts w:ascii="Calibri" w:eastAsia="Calibri" w:hAnsi="Calibri" w:cs="Times New Roman"/>
          <w:b/>
          <w:bCs/>
          <w:kern w:val="0"/>
          <w:sz w:val="22"/>
          <w:szCs w:val="22"/>
          <w:lang w:val="en-US" w:eastAsia="en-US" w:bidi="ar-SA"/>
          <w14:ligatures w14:val="standardContextual"/>
        </w:rPr>
        <w:t>Exercise Period</w:t>
      </w:r>
      <w:r w:rsidR="00470699" w:rsidRPr="00470699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”) at an exercise price $0.10 per Share for the first year of the Exercise Period and at an exercise price of $0.20 for the second year of the Exercise Period. </w:t>
      </w:r>
      <w:r w:rsidR="007D11B8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The</w:t>
      </w:r>
      <w:r w:rsidR="005E660C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r w:rsidR="007D11B8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Indebtedness represents a portion of certain debts owing by the Company to the Creditors</w:t>
      </w:r>
      <w:r w:rsidR="005E660C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r w:rsidR="007D11B8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pursuant to a series of promissory notes (the “</w:t>
      </w:r>
      <w:r w:rsidR="007D11B8" w:rsidRPr="005E660C">
        <w:rPr>
          <w:rFonts w:ascii="Calibri" w:eastAsia="Calibri" w:hAnsi="Calibri" w:cs="Times New Roman"/>
          <w:b/>
          <w:bCs/>
          <w:kern w:val="0"/>
          <w:sz w:val="22"/>
          <w:szCs w:val="22"/>
          <w:lang w:val="en-US" w:eastAsia="en-US" w:bidi="ar-SA"/>
          <w14:ligatures w14:val="standardContextual"/>
        </w:rPr>
        <w:t>Notes</w:t>
      </w:r>
      <w:r w:rsidR="007D11B8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”) executed by the Company in 2024 and 2025,</w:t>
      </w:r>
      <w:r w:rsidR="005E660C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r w:rsidR="007D11B8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such Notes having an aggregate principal amount of </w:t>
      </w:r>
      <w:r w:rsidR="001D7CB1" w:rsidRPr="00F272C0">
        <w:rPr>
          <w:rFonts w:ascii="Calibri" w:hAnsi="Calibri" w:cs="Calibri"/>
          <w:sz w:val="23"/>
          <w:szCs w:val="23"/>
        </w:rPr>
        <w:t>$269,</w:t>
      </w:r>
      <w:r w:rsidR="003B25C2" w:rsidRPr="00F272C0">
        <w:rPr>
          <w:rFonts w:ascii="Calibri" w:hAnsi="Calibri" w:cs="Calibri"/>
          <w:sz w:val="23"/>
          <w:szCs w:val="23"/>
        </w:rPr>
        <w:t>420.50</w:t>
      </w:r>
      <w:r w:rsidR="001D7CB1" w:rsidRPr="00F272C0">
        <w:rPr>
          <w:rFonts w:ascii="Calibri" w:hAnsi="Calibri" w:cs="Calibri"/>
          <w:sz w:val="23"/>
          <w:szCs w:val="23"/>
        </w:rPr>
        <w:t>.</w:t>
      </w:r>
      <w:r w:rsidR="00470699">
        <w:rPr>
          <w:rFonts w:ascii="Calibri" w:hAnsi="Calibri" w:cs="Calibri"/>
          <w:sz w:val="23"/>
          <w:szCs w:val="23"/>
        </w:rPr>
        <w:t xml:space="preserve"> </w:t>
      </w:r>
    </w:p>
    <w:p w14:paraId="4C71DD93" w14:textId="77777777" w:rsidR="005E660C" w:rsidRPr="005E660C" w:rsidRDefault="005E660C" w:rsidP="005E660C">
      <w:pPr>
        <w:widowControl/>
        <w:suppressAutoHyphens w:val="0"/>
        <w:jc w:val="both"/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</w:pPr>
    </w:p>
    <w:p w14:paraId="29587E53" w14:textId="7DD59160" w:rsidR="007D11B8" w:rsidRPr="005E660C" w:rsidRDefault="007D11B8" w:rsidP="005E660C">
      <w:pPr>
        <w:widowControl/>
        <w:suppressAutoHyphens w:val="0"/>
        <w:jc w:val="both"/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</w:pPr>
      <w:r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The Company further announces that, pursuant to the </w:t>
      </w:r>
      <w:r w:rsidRPr="008B5E0E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terms of the Notes, it </w:t>
      </w:r>
      <w:r w:rsidR="008B5E0E" w:rsidRPr="008B5E0E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has </w:t>
      </w:r>
      <w:r w:rsidRPr="008B5E0E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pa</w:t>
      </w:r>
      <w:r w:rsidR="008B5E0E" w:rsidRPr="008B5E0E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id</w:t>
      </w:r>
      <w:r w:rsidRPr="008B5E0E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 stock</w:t>
      </w:r>
      <w:r w:rsidR="005E660C" w:rsidRPr="008B5E0E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r w:rsidRPr="008B5E0E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bonuses to the Creditors (the “</w:t>
      </w:r>
      <w:r w:rsidRPr="008B5E0E">
        <w:rPr>
          <w:rFonts w:ascii="Calibri" w:eastAsia="Calibri" w:hAnsi="Calibri" w:cs="Times New Roman"/>
          <w:b/>
          <w:bCs/>
          <w:kern w:val="0"/>
          <w:sz w:val="22"/>
          <w:szCs w:val="22"/>
          <w:lang w:val="en-US" w:eastAsia="en-US" w:bidi="ar-SA"/>
          <w14:ligatures w14:val="standardContextual"/>
        </w:rPr>
        <w:t>Stock Bonuses</w:t>
      </w:r>
      <w:r w:rsidRPr="008B5E0E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”), in the aggregate amount of </w:t>
      </w:r>
      <w:r w:rsidRPr="00380216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$</w:t>
      </w:r>
      <w:r w:rsidR="00294B53" w:rsidRPr="00380216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27,</w:t>
      </w:r>
      <w:r w:rsidR="008B5E0E" w:rsidRPr="00380216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101.08</w:t>
      </w:r>
      <w:r w:rsidR="008B5E0E" w:rsidRPr="008B5E0E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,</w:t>
      </w:r>
      <w:r w:rsidRPr="008B5E0E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 through</w:t>
      </w:r>
      <w:r w:rsidR="005E660C" w:rsidRPr="008B5E0E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r w:rsidRPr="008B5E0E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the</w:t>
      </w:r>
      <w:r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 issuance of an aggregate of </w:t>
      </w:r>
      <w:r w:rsidR="001C7DD8" w:rsidRPr="00B47B78">
        <w:rPr>
          <w:rFonts w:ascii="Calibri" w:hAnsi="Calibri" w:cs="Calibri"/>
          <w:sz w:val="23"/>
          <w:szCs w:val="23"/>
        </w:rPr>
        <w:t>542,</w:t>
      </w:r>
      <w:r w:rsidR="008B5E0E">
        <w:rPr>
          <w:rFonts w:ascii="Calibri" w:hAnsi="Calibri" w:cs="Calibri"/>
          <w:sz w:val="23"/>
          <w:szCs w:val="23"/>
        </w:rPr>
        <w:t>022</w:t>
      </w:r>
      <w:r w:rsidR="008B5E0E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common shares of the Company at a deemed issue price</w:t>
      </w:r>
      <w:r w:rsidR="005E660C"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 </w:t>
      </w:r>
      <w:r w:rsidRPr="005E660C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of $0.05 per share.</w:t>
      </w:r>
      <w:r w:rsidR="008B5E0E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 Following settlement of the Stock Bonuses, no further stock bonuses remain </w:t>
      </w:r>
      <w:proofErr w:type="gramStart"/>
      <w:r w:rsidR="008B5E0E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>owing</w:t>
      </w:r>
      <w:proofErr w:type="gramEnd"/>
      <w:r w:rsidR="008B5E0E"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  <w:t xml:space="preserve"> under the Notes.</w:t>
      </w:r>
    </w:p>
    <w:p w14:paraId="6C34E268" w14:textId="77777777" w:rsidR="005E660C" w:rsidRPr="005E660C" w:rsidRDefault="005E660C" w:rsidP="005E660C">
      <w:pPr>
        <w:widowControl/>
        <w:suppressAutoHyphens w:val="0"/>
        <w:jc w:val="both"/>
        <w:rPr>
          <w:rFonts w:ascii="Calibri" w:eastAsia="Calibri" w:hAnsi="Calibri" w:cs="Times New Roman"/>
          <w:kern w:val="0"/>
          <w:sz w:val="22"/>
          <w:szCs w:val="22"/>
          <w:lang w:val="en-US" w:eastAsia="en-US" w:bidi="ar-SA"/>
          <w14:ligatures w14:val="standardContextual"/>
        </w:rPr>
      </w:pPr>
    </w:p>
    <w:p w14:paraId="12F8B6BD" w14:textId="13E58DCB" w:rsidR="007D11B8" w:rsidRPr="005E660C" w:rsidRDefault="007D11B8" w:rsidP="005E660C">
      <w:pPr>
        <w:widowControl/>
        <w:suppressAutoHyphens w:val="0"/>
        <w:jc w:val="both"/>
        <w:rPr>
          <w:rFonts w:asciiTheme="minorHAnsi" w:eastAsia="Calibri" w:hAnsiTheme="minorHAnsi" w:cstheme="minorHAnsi"/>
          <w:kern w:val="2"/>
          <w:sz w:val="22"/>
          <w:szCs w:val="22"/>
          <w:lang w:val="en-US" w:eastAsia="en-US" w:bidi="ar-SA"/>
          <w14:ligatures w14:val="standardContextual"/>
        </w:rPr>
      </w:pPr>
      <w:r w:rsidRPr="005E660C">
        <w:rPr>
          <w:rFonts w:ascii="Calibri" w:eastAsia="Calibri" w:hAnsi="Calibri" w:cs="Times New Roman"/>
          <w:kern w:val="2"/>
          <w:sz w:val="22"/>
          <w:szCs w:val="22"/>
          <w:lang w:val="en-US" w:eastAsia="en-US" w:bidi="ar-SA"/>
          <w14:ligatures w14:val="standardContextual"/>
        </w:rPr>
        <w:t>All</w:t>
      </w:r>
      <w:r w:rsidR="005E660C" w:rsidRPr="005E660C">
        <w:rPr>
          <w:rFonts w:ascii="Calibri" w:eastAsia="Calibri" w:hAnsi="Calibri" w:cs="Times New Roman"/>
          <w:kern w:val="2"/>
          <w:sz w:val="22"/>
          <w:szCs w:val="22"/>
          <w:lang w:val="en-US" w:eastAsia="en-US" w:bidi="ar-SA"/>
          <w14:ligatures w14:val="standardContextual"/>
        </w:rPr>
        <w:t xml:space="preserve"> </w:t>
      </w:r>
      <w:r w:rsidRPr="005E660C">
        <w:rPr>
          <w:rFonts w:ascii="Calibri" w:eastAsia="Calibri" w:hAnsi="Calibri" w:cs="Times New Roman"/>
          <w:kern w:val="2"/>
          <w:sz w:val="22"/>
          <w:szCs w:val="22"/>
          <w:lang w:val="en-US" w:eastAsia="en-US" w:bidi="ar-SA"/>
          <w14:ligatures w14:val="standardContextual"/>
        </w:rPr>
        <w:t xml:space="preserve">securities issued </w:t>
      </w:r>
      <w:r w:rsidRPr="005E660C">
        <w:rPr>
          <w:rFonts w:asciiTheme="minorHAnsi" w:eastAsia="Calibri" w:hAnsiTheme="minorHAnsi" w:cstheme="minorHAnsi"/>
          <w:kern w:val="2"/>
          <w:sz w:val="22"/>
          <w:szCs w:val="22"/>
          <w:lang w:val="en-US" w:eastAsia="en-US" w:bidi="ar-SA"/>
          <w14:ligatures w14:val="standardContextual"/>
        </w:rPr>
        <w:t xml:space="preserve">in connection with the Debt Conversion and the Stock Bonuses </w:t>
      </w:r>
      <w:r w:rsidR="008B5E0E">
        <w:rPr>
          <w:rFonts w:asciiTheme="minorHAnsi" w:eastAsia="Calibri" w:hAnsiTheme="minorHAnsi" w:cstheme="minorHAnsi"/>
          <w:kern w:val="2"/>
          <w:sz w:val="22"/>
          <w:szCs w:val="22"/>
          <w:lang w:val="en-US" w:eastAsia="en-US" w:bidi="ar-SA"/>
          <w14:ligatures w14:val="standardContextual"/>
        </w:rPr>
        <w:t>are</w:t>
      </w:r>
      <w:r w:rsidRPr="005E660C">
        <w:rPr>
          <w:rFonts w:asciiTheme="minorHAnsi" w:eastAsia="Calibri" w:hAnsiTheme="minorHAnsi" w:cstheme="minorHAnsi"/>
          <w:kern w:val="2"/>
          <w:sz w:val="22"/>
          <w:szCs w:val="22"/>
          <w:lang w:val="en-US" w:eastAsia="en-US" w:bidi="ar-SA"/>
          <w14:ligatures w14:val="standardContextual"/>
        </w:rPr>
        <w:t xml:space="preserve"> subject to a</w:t>
      </w:r>
      <w:r w:rsidR="005E660C" w:rsidRPr="005E660C">
        <w:rPr>
          <w:rFonts w:asciiTheme="minorHAnsi" w:eastAsia="Calibri" w:hAnsiTheme="minorHAnsi" w:cstheme="minorHAnsi"/>
          <w:kern w:val="2"/>
          <w:sz w:val="22"/>
          <w:szCs w:val="22"/>
          <w:lang w:val="en-US" w:eastAsia="en-US" w:bidi="ar-SA"/>
          <w14:ligatures w14:val="standardContextual"/>
        </w:rPr>
        <w:t xml:space="preserve"> </w:t>
      </w:r>
      <w:r w:rsidRPr="005E660C">
        <w:rPr>
          <w:rFonts w:asciiTheme="minorHAnsi" w:eastAsia="Calibri" w:hAnsiTheme="minorHAnsi" w:cstheme="minorHAnsi"/>
          <w:kern w:val="2"/>
          <w:sz w:val="22"/>
          <w:szCs w:val="22"/>
          <w:lang w:val="en-US" w:eastAsia="en-US" w:bidi="ar-SA"/>
          <w14:ligatures w14:val="standardContextual"/>
        </w:rPr>
        <w:t>four-month hold period from the date of issuance in accordance with applicable Canadian securities</w:t>
      </w:r>
      <w:r w:rsidR="005E660C" w:rsidRPr="005E660C">
        <w:rPr>
          <w:rFonts w:asciiTheme="minorHAnsi" w:eastAsia="Calibri" w:hAnsiTheme="minorHAnsi" w:cstheme="minorHAnsi"/>
          <w:kern w:val="2"/>
          <w:sz w:val="22"/>
          <w:szCs w:val="22"/>
          <w:lang w:val="en-US" w:eastAsia="en-US" w:bidi="ar-SA"/>
          <w14:ligatures w14:val="standardContextual"/>
        </w:rPr>
        <w:t xml:space="preserve"> </w:t>
      </w:r>
      <w:r w:rsidRPr="005E660C">
        <w:rPr>
          <w:rFonts w:asciiTheme="minorHAnsi" w:eastAsia="Calibri" w:hAnsiTheme="minorHAnsi" w:cstheme="minorHAnsi"/>
          <w:kern w:val="2"/>
          <w:sz w:val="22"/>
          <w:szCs w:val="22"/>
          <w:lang w:val="en-US" w:eastAsia="en-US" w:bidi="ar-SA"/>
          <w14:ligatures w14:val="standardContextual"/>
        </w:rPr>
        <w:t>laws.</w:t>
      </w:r>
    </w:p>
    <w:p w14:paraId="155BB60F" w14:textId="77777777" w:rsidR="005E660C" w:rsidRPr="005E660C" w:rsidRDefault="005E660C" w:rsidP="005E660C">
      <w:pPr>
        <w:widowControl/>
        <w:suppressAutoHyphens w:val="0"/>
        <w:jc w:val="both"/>
        <w:rPr>
          <w:rFonts w:asciiTheme="minorHAnsi" w:eastAsia="Calibri" w:hAnsiTheme="minorHAnsi" w:cstheme="minorHAnsi"/>
          <w:kern w:val="2"/>
          <w:sz w:val="22"/>
          <w:szCs w:val="22"/>
          <w:lang w:val="en-US" w:eastAsia="en-US" w:bidi="ar-SA"/>
          <w14:ligatures w14:val="standardContextual"/>
        </w:rPr>
      </w:pPr>
    </w:p>
    <w:p w14:paraId="546FD69F" w14:textId="67738A69" w:rsidR="007D11B8" w:rsidRPr="00380216" w:rsidRDefault="007D11B8" w:rsidP="005E660C">
      <w:pPr>
        <w:widowControl/>
        <w:suppressAutoHyphens w:val="0"/>
        <w:jc w:val="both"/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val="en-US" w:eastAsia="en-US" w:bidi="ar-SA"/>
          <w14:ligatures w14:val="standardContextual"/>
        </w:rPr>
      </w:pPr>
      <w:r w:rsidRPr="00380216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val="en-US" w:eastAsia="en-US" w:bidi="ar-SA"/>
          <w14:ligatures w14:val="standardContextual"/>
        </w:rPr>
        <w:t>None of the securities referenced herein have been or will be registered under the United States</w:t>
      </w:r>
      <w:r w:rsidR="005E660C" w:rsidRPr="00380216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val="en-US" w:eastAsia="en-US" w:bidi="ar-SA"/>
          <w14:ligatures w14:val="standardContextual"/>
        </w:rPr>
        <w:t xml:space="preserve"> </w:t>
      </w:r>
      <w:r w:rsidRPr="00380216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val="en-US" w:eastAsia="en-US" w:bidi="ar-SA"/>
          <w14:ligatures w14:val="standardContextual"/>
        </w:rPr>
        <w:t>Securities Act of 1933, as amended, and no such securities may be offered or sold in the United</w:t>
      </w:r>
      <w:r w:rsidR="005E660C" w:rsidRPr="00380216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val="en-US" w:eastAsia="en-US" w:bidi="ar-SA"/>
          <w14:ligatures w14:val="standardContextual"/>
        </w:rPr>
        <w:t xml:space="preserve"> </w:t>
      </w:r>
      <w:r w:rsidRPr="00380216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val="en-US" w:eastAsia="en-US" w:bidi="ar-SA"/>
          <w14:ligatures w14:val="standardContextual"/>
        </w:rPr>
        <w:t>States absent registration or an applicable exemption from the registration requirements. This news</w:t>
      </w:r>
      <w:r w:rsidR="005E660C" w:rsidRPr="00380216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val="en-US" w:eastAsia="en-US" w:bidi="ar-SA"/>
          <w14:ligatures w14:val="standardContextual"/>
        </w:rPr>
        <w:t xml:space="preserve"> </w:t>
      </w:r>
      <w:r w:rsidRPr="00380216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val="en-US" w:eastAsia="en-US" w:bidi="ar-SA"/>
          <w14:ligatures w14:val="standardContextual"/>
        </w:rPr>
        <w:t>release shall not constitute an offer to sell or the solicitation of an offer to buy nor shall there be any</w:t>
      </w:r>
      <w:r w:rsidR="005E660C" w:rsidRPr="00380216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val="en-US" w:eastAsia="en-US" w:bidi="ar-SA"/>
          <w14:ligatures w14:val="standardContextual"/>
        </w:rPr>
        <w:t xml:space="preserve"> </w:t>
      </w:r>
      <w:r w:rsidRPr="00380216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val="en-US" w:eastAsia="en-US" w:bidi="ar-SA"/>
          <w14:ligatures w14:val="standardContextual"/>
        </w:rPr>
        <w:t>sale of the securities in the United States or any jurisdiction in which such offer, solicitation or sale</w:t>
      </w:r>
      <w:r w:rsidR="005E660C" w:rsidRPr="00380216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val="en-US" w:eastAsia="en-US" w:bidi="ar-SA"/>
          <w14:ligatures w14:val="standardContextual"/>
        </w:rPr>
        <w:t xml:space="preserve"> </w:t>
      </w:r>
      <w:r w:rsidRPr="00380216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val="en-US" w:eastAsia="en-US" w:bidi="ar-SA"/>
          <w14:ligatures w14:val="standardContextual"/>
        </w:rPr>
        <w:t>would be unlawful.</w:t>
      </w:r>
    </w:p>
    <w:p w14:paraId="4301EB68" w14:textId="5641A270" w:rsidR="00153D5C" w:rsidRPr="005E660C" w:rsidRDefault="00153D5C" w:rsidP="005E66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4E06E7" w14:textId="68A432BF" w:rsidR="00653FBA" w:rsidRPr="005E660C" w:rsidRDefault="009C6512" w:rsidP="005E660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E660C">
        <w:rPr>
          <w:rFonts w:asciiTheme="minorHAnsi" w:hAnsiTheme="minorHAnsi" w:cstheme="minorHAnsi"/>
          <w:b/>
          <w:sz w:val="22"/>
          <w:szCs w:val="22"/>
        </w:rPr>
        <w:t>For Further information about the Company</w:t>
      </w:r>
      <w:r w:rsidR="00D143A2" w:rsidRPr="005E660C">
        <w:rPr>
          <w:rFonts w:asciiTheme="minorHAnsi" w:hAnsiTheme="minorHAnsi" w:cstheme="minorHAnsi"/>
          <w:b/>
          <w:sz w:val="22"/>
          <w:szCs w:val="22"/>
        </w:rPr>
        <w:t>,</w:t>
      </w:r>
      <w:r w:rsidRPr="005E660C">
        <w:rPr>
          <w:rFonts w:asciiTheme="minorHAnsi" w:hAnsiTheme="minorHAnsi" w:cstheme="minorHAnsi"/>
          <w:b/>
          <w:sz w:val="22"/>
          <w:szCs w:val="22"/>
        </w:rPr>
        <w:t xml:space="preserve"> please contact:</w:t>
      </w:r>
    </w:p>
    <w:p w14:paraId="216BB438" w14:textId="77777777" w:rsidR="00D81232" w:rsidRPr="005E660C" w:rsidRDefault="00D81232" w:rsidP="005E660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660C">
        <w:rPr>
          <w:rFonts w:asciiTheme="minorHAnsi" w:hAnsiTheme="minorHAnsi" w:cstheme="minorHAnsi"/>
          <w:color w:val="000000"/>
          <w:sz w:val="22"/>
          <w:szCs w:val="22"/>
        </w:rPr>
        <w:t>Jason Walsh</w:t>
      </w:r>
    </w:p>
    <w:p w14:paraId="258DC118" w14:textId="77777777" w:rsidR="00D81232" w:rsidRPr="005E660C" w:rsidRDefault="00D81232" w:rsidP="005E660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5E660C">
        <w:rPr>
          <w:rFonts w:asciiTheme="minorHAnsi" w:hAnsiTheme="minorHAnsi" w:cstheme="minorHAnsi"/>
          <w:color w:val="000000"/>
          <w:sz w:val="22"/>
          <w:szCs w:val="22"/>
        </w:rPr>
        <w:t>Global Li-Ion Graphite Corp.</w:t>
      </w:r>
    </w:p>
    <w:p w14:paraId="4A357F86" w14:textId="77777777" w:rsidR="00D81232" w:rsidRPr="005E660C" w:rsidRDefault="00D81232" w:rsidP="005E660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5E660C">
        <w:rPr>
          <w:rFonts w:asciiTheme="minorHAnsi" w:hAnsiTheme="minorHAnsi" w:cstheme="minorHAnsi"/>
          <w:color w:val="000000"/>
          <w:sz w:val="22"/>
          <w:szCs w:val="22"/>
        </w:rPr>
        <w:t>Telephone 604.608.6314</w:t>
      </w:r>
    </w:p>
    <w:p w14:paraId="016A0E4D" w14:textId="77777777" w:rsidR="00D81232" w:rsidRPr="005E660C" w:rsidRDefault="00D81232" w:rsidP="005E660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5E660C"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hyperlink r:id="rId9" w:history="1">
        <w:r w:rsidRPr="005E660C">
          <w:rPr>
            <w:rStyle w:val="Hyperlink"/>
            <w:rFonts w:asciiTheme="minorHAnsi" w:hAnsiTheme="minorHAnsi" w:cstheme="minorHAnsi"/>
            <w:sz w:val="22"/>
            <w:szCs w:val="22"/>
          </w:rPr>
          <w:t>info@liongraphite.com</w:t>
        </w:r>
      </w:hyperlink>
      <w:r w:rsidRPr="005E660C">
        <w:rPr>
          <w:rFonts w:asciiTheme="minorHAnsi" w:hAnsiTheme="minorHAnsi" w:cstheme="minorHAnsi"/>
          <w:color w:val="0000FF"/>
          <w:sz w:val="22"/>
          <w:szCs w:val="22"/>
          <w:u w:val="single"/>
        </w:rPr>
        <w:t xml:space="preserve"> </w:t>
      </w:r>
    </w:p>
    <w:p w14:paraId="5CB3528C" w14:textId="77777777" w:rsidR="00D81232" w:rsidRPr="005E660C" w:rsidRDefault="00D81232" w:rsidP="005E660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D0A5428" w14:textId="6AC7797D" w:rsidR="00FA7882" w:rsidRPr="003C586C" w:rsidRDefault="00D143A2" w:rsidP="003C586C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4D3B55">
        <w:rPr>
          <w:rFonts w:asciiTheme="minorHAnsi" w:hAnsiTheme="minorHAnsi" w:cstheme="minorHAnsi"/>
          <w:i/>
          <w:sz w:val="20"/>
          <w:szCs w:val="20"/>
        </w:rPr>
        <w:t xml:space="preserve">Neither the Canadian Securities Exchange nor its regulation services provider have reviewed or </w:t>
      </w:r>
      <w:r w:rsidRPr="004D3B55">
        <w:rPr>
          <w:rFonts w:asciiTheme="minorHAnsi" w:hAnsiTheme="minorHAnsi" w:cstheme="minorHAnsi"/>
          <w:i/>
          <w:sz w:val="18"/>
          <w:szCs w:val="18"/>
        </w:rPr>
        <w:t xml:space="preserve">accept </w:t>
      </w:r>
      <w:r w:rsidRPr="004D3B55">
        <w:rPr>
          <w:rFonts w:asciiTheme="minorHAnsi" w:hAnsiTheme="minorHAnsi" w:cstheme="minorHAnsi"/>
          <w:i/>
          <w:sz w:val="20"/>
          <w:szCs w:val="20"/>
        </w:rPr>
        <w:t>responsibility for the adequacy or accuracy of this press release.</w:t>
      </w:r>
    </w:p>
    <w:sectPr w:rsidR="00FA7882" w:rsidRPr="003C586C" w:rsidSect="003C586C">
      <w:pgSz w:w="12240" w:h="15840" w:code="1"/>
      <w:pgMar w:top="1440" w:right="1440" w:bottom="1191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D4F9" w14:textId="77777777" w:rsidR="00113E78" w:rsidRDefault="00113E78" w:rsidP="00362E78">
      <w:r>
        <w:separator/>
      </w:r>
    </w:p>
  </w:endnote>
  <w:endnote w:type="continuationSeparator" w:id="0">
    <w:p w14:paraId="5E9A63BA" w14:textId="77777777" w:rsidR="00113E78" w:rsidRDefault="00113E78" w:rsidP="0036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C7A6" w14:textId="77777777" w:rsidR="00113E78" w:rsidRDefault="00113E78" w:rsidP="00362E78">
      <w:r>
        <w:separator/>
      </w:r>
    </w:p>
  </w:footnote>
  <w:footnote w:type="continuationSeparator" w:id="0">
    <w:p w14:paraId="78B48953" w14:textId="77777777" w:rsidR="00113E78" w:rsidRDefault="00113E78" w:rsidP="00362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31089"/>
    <w:multiLevelType w:val="hybridMultilevel"/>
    <w:tmpl w:val="15D26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659BB"/>
    <w:multiLevelType w:val="hybridMultilevel"/>
    <w:tmpl w:val="97BED3A4"/>
    <w:lvl w:ilvl="0" w:tplc="BA0279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7746444">
    <w:abstractNumId w:val="0"/>
  </w:num>
  <w:num w:numId="2" w16cid:durableId="50686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628"/>
    <w:rsid w:val="00055597"/>
    <w:rsid w:val="00060E2D"/>
    <w:rsid w:val="00076735"/>
    <w:rsid w:val="00080082"/>
    <w:rsid w:val="00083CD4"/>
    <w:rsid w:val="0009129A"/>
    <w:rsid w:val="000B2AE9"/>
    <w:rsid w:val="000B7F9E"/>
    <w:rsid w:val="000D10AA"/>
    <w:rsid w:val="000D5330"/>
    <w:rsid w:val="000E0672"/>
    <w:rsid w:val="000F3988"/>
    <w:rsid w:val="00106F21"/>
    <w:rsid w:val="00111178"/>
    <w:rsid w:val="00113E78"/>
    <w:rsid w:val="00117FED"/>
    <w:rsid w:val="00146CC5"/>
    <w:rsid w:val="00153D5C"/>
    <w:rsid w:val="00186996"/>
    <w:rsid w:val="00197864"/>
    <w:rsid w:val="001B7521"/>
    <w:rsid w:val="001C7DD8"/>
    <w:rsid w:val="001D273A"/>
    <w:rsid w:val="001D7CB1"/>
    <w:rsid w:val="001E283A"/>
    <w:rsid w:val="00206921"/>
    <w:rsid w:val="002110AC"/>
    <w:rsid w:val="00220A6F"/>
    <w:rsid w:val="00247854"/>
    <w:rsid w:val="00260314"/>
    <w:rsid w:val="00277FE5"/>
    <w:rsid w:val="00294B53"/>
    <w:rsid w:val="002952E4"/>
    <w:rsid w:val="002A444E"/>
    <w:rsid w:val="002B3960"/>
    <w:rsid w:val="002D282B"/>
    <w:rsid w:val="002D6226"/>
    <w:rsid w:val="002E009A"/>
    <w:rsid w:val="002E0F88"/>
    <w:rsid w:val="002F2762"/>
    <w:rsid w:val="00313A1F"/>
    <w:rsid w:val="00314157"/>
    <w:rsid w:val="00327EAE"/>
    <w:rsid w:val="00342CFF"/>
    <w:rsid w:val="00361C77"/>
    <w:rsid w:val="00362E78"/>
    <w:rsid w:val="00372C5A"/>
    <w:rsid w:val="0037525F"/>
    <w:rsid w:val="00380216"/>
    <w:rsid w:val="00382CEB"/>
    <w:rsid w:val="00390AE2"/>
    <w:rsid w:val="00393289"/>
    <w:rsid w:val="003B25C2"/>
    <w:rsid w:val="003B4B06"/>
    <w:rsid w:val="003C586C"/>
    <w:rsid w:val="003D0568"/>
    <w:rsid w:val="003D1D13"/>
    <w:rsid w:val="003E52E7"/>
    <w:rsid w:val="003E5A71"/>
    <w:rsid w:val="00426E03"/>
    <w:rsid w:val="004313AC"/>
    <w:rsid w:val="0043669F"/>
    <w:rsid w:val="00442EAB"/>
    <w:rsid w:val="00450D4B"/>
    <w:rsid w:val="00470699"/>
    <w:rsid w:val="00482FE6"/>
    <w:rsid w:val="004B09ED"/>
    <w:rsid w:val="004C6167"/>
    <w:rsid w:val="004D3B55"/>
    <w:rsid w:val="004D5DF2"/>
    <w:rsid w:val="004F4628"/>
    <w:rsid w:val="00503721"/>
    <w:rsid w:val="00506B2F"/>
    <w:rsid w:val="0051141A"/>
    <w:rsid w:val="00560631"/>
    <w:rsid w:val="00563164"/>
    <w:rsid w:val="00572DA2"/>
    <w:rsid w:val="0057539D"/>
    <w:rsid w:val="005A1A7A"/>
    <w:rsid w:val="005E29CA"/>
    <w:rsid w:val="005E660C"/>
    <w:rsid w:val="00614045"/>
    <w:rsid w:val="006236C0"/>
    <w:rsid w:val="00653FBA"/>
    <w:rsid w:val="006739D9"/>
    <w:rsid w:val="00680FFA"/>
    <w:rsid w:val="006C4799"/>
    <w:rsid w:val="006D7CE4"/>
    <w:rsid w:val="007075C5"/>
    <w:rsid w:val="007113FC"/>
    <w:rsid w:val="00727E71"/>
    <w:rsid w:val="007661AC"/>
    <w:rsid w:val="007B40EF"/>
    <w:rsid w:val="007D11B8"/>
    <w:rsid w:val="007E1105"/>
    <w:rsid w:val="007F7156"/>
    <w:rsid w:val="00810161"/>
    <w:rsid w:val="0082559D"/>
    <w:rsid w:val="00826092"/>
    <w:rsid w:val="00870E91"/>
    <w:rsid w:val="00877B67"/>
    <w:rsid w:val="00886BFD"/>
    <w:rsid w:val="008A4A2A"/>
    <w:rsid w:val="008B5E0E"/>
    <w:rsid w:val="008C4EA2"/>
    <w:rsid w:val="008D0DF5"/>
    <w:rsid w:val="009065DE"/>
    <w:rsid w:val="00925788"/>
    <w:rsid w:val="009341EF"/>
    <w:rsid w:val="00937CA0"/>
    <w:rsid w:val="0095084D"/>
    <w:rsid w:val="00981233"/>
    <w:rsid w:val="00982255"/>
    <w:rsid w:val="009B4396"/>
    <w:rsid w:val="009B767F"/>
    <w:rsid w:val="009C4693"/>
    <w:rsid w:val="009C6512"/>
    <w:rsid w:val="00A000AD"/>
    <w:rsid w:val="00A02A5F"/>
    <w:rsid w:val="00A32F4E"/>
    <w:rsid w:val="00A464C0"/>
    <w:rsid w:val="00A469D4"/>
    <w:rsid w:val="00A65E36"/>
    <w:rsid w:val="00A6648F"/>
    <w:rsid w:val="00A8482D"/>
    <w:rsid w:val="00AD69E9"/>
    <w:rsid w:val="00AE6EFC"/>
    <w:rsid w:val="00B21EC1"/>
    <w:rsid w:val="00B250AC"/>
    <w:rsid w:val="00B4440D"/>
    <w:rsid w:val="00B56B80"/>
    <w:rsid w:val="00B95B11"/>
    <w:rsid w:val="00BB6973"/>
    <w:rsid w:val="00BB731F"/>
    <w:rsid w:val="00BC795E"/>
    <w:rsid w:val="00BF3137"/>
    <w:rsid w:val="00BF7904"/>
    <w:rsid w:val="00C13D56"/>
    <w:rsid w:val="00C20552"/>
    <w:rsid w:val="00C31FD1"/>
    <w:rsid w:val="00C32E39"/>
    <w:rsid w:val="00C57ED9"/>
    <w:rsid w:val="00C765B8"/>
    <w:rsid w:val="00C807C0"/>
    <w:rsid w:val="00C90A61"/>
    <w:rsid w:val="00C92954"/>
    <w:rsid w:val="00CC3521"/>
    <w:rsid w:val="00CD09A0"/>
    <w:rsid w:val="00CD461C"/>
    <w:rsid w:val="00CE0C6D"/>
    <w:rsid w:val="00CF4332"/>
    <w:rsid w:val="00CF77DD"/>
    <w:rsid w:val="00D0264A"/>
    <w:rsid w:val="00D032CF"/>
    <w:rsid w:val="00D07EE6"/>
    <w:rsid w:val="00D143A2"/>
    <w:rsid w:val="00D34E44"/>
    <w:rsid w:val="00D571DD"/>
    <w:rsid w:val="00D71AC7"/>
    <w:rsid w:val="00D81232"/>
    <w:rsid w:val="00D860E3"/>
    <w:rsid w:val="00DA3075"/>
    <w:rsid w:val="00DB7AC0"/>
    <w:rsid w:val="00DD03BE"/>
    <w:rsid w:val="00DD574E"/>
    <w:rsid w:val="00DE2403"/>
    <w:rsid w:val="00DE5F7A"/>
    <w:rsid w:val="00DF1BE0"/>
    <w:rsid w:val="00E008CE"/>
    <w:rsid w:val="00E05C67"/>
    <w:rsid w:val="00E175E5"/>
    <w:rsid w:val="00E31CD8"/>
    <w:rsid w:val="00E419A3"/>
    <w:rsid w:val="00E455E1"/>
    <w:rsid w:val="00E466A8"/>
    <w:rsid w:val="00E56B3C"/>
    <w:rsid w:val="00E62FF0"/>
    <w:rsid w:val="00E7045E"/>
    <w:rsid w:val="00E70DA6"/>
    <w:rsid w:val="00E83F8F"/>
    <w:rsid w:val="00E9568D"/>
    <w:rsid w:val="00EA2A33"/>
    <w:rsid w:val="00EA3D9B"/>
    <w:rsid w:val="00EA5C37"/>
    <w:rsid w:val="00EB356E"/>
    <w:rsid w:val="00EB6DCA"/>
    <w:rsid w:val="00ED2E45"/>
    <w:rsid w:val="00EE50E9"/>
    <w:rsid w:val="00EF635C"/>
    <w:rsid w:val="00F041A6"/>
    <w:rsid w:val="00F15CD7"/>
    <w:rsid w:val="00F272C0"/>
    <w:rsid w:val="00F30C01"/>
    <w:rsid w:val="00F52518"/>
    <w:rsid w:val="00F525E4"/>
    <w:rsid w:val="00F62E3F"/>
    <w:rsid w:val="00F9618C"/>
    <w:rsid w:val="00FA7882"/>
    <w:rsid w:val="00FC11E2"/>
    <w:rsid w:val="00FE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050BB0"/>
  <w15:chartTrackingRefBased/>
  <w15:docId w15:val="{D86AF090-CF82-45B3-89A9-89603764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CA" w:eastAsia="hi-IN" w:bidi="hi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F88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Heading5">
    <w:name w:val="heading 5"/>
    <w:basedOn w:val="Normal"/>
    <w:link w:val="Heading5Char"/>
    <w:uiPriority w:val="9"/>
    <w:qFormat/>
    <w:rsid w:val="00197864"/>
    <w:pPr>
      <w:widowControl/>
      <w:suppressAutoHyphens w:val="0"/>
      <w:spacing w:before="150" w:after="150"/>
      <w:outlineLvl w:val="4"/>
    </w:pPr>
    <w:rPr>
      <w:rFonts w:ascii="inherit" w:eastAsia="Times New Roman" w:hAnsi="inherit" w:cs="Times New Roman"/>
      <w:kern w:val="0"/>
      <w:sz w:val="21"/>
      <w:szCs w:val="21"/>
      <w:lang w:val="en-US" w:eastAsia="en-US" w:bidi="ar-SA"/>
    </w:rPr>
  </w:style>
  <w:style w:type="paragraph" w:styleId="Heading6">
    <w:name w:val="heading 6"/>
    <w:basedOn w:val="Normal"/>
    <w:link w:val="Heading6Char"/>
    <w:uiPriority w:val="9"/>
    <w:qFormat/>
    <w:rsid w:val="00197864"/>
    <w:pPr>
      <w:widowControl/>
      <w:suppressAutoHyphens w:val="0"/>
      <w:spacing w:before="150" w:after="150"/>
      <w:outlineLvl w:val="5"/>
    </w:pPr>
    <w:rPr>
      <w:rFonts w:ascii="inherit" w:eastAsia="Times New Roman" w:hAnsi="inherit" w:cs="Times New Roman"/>
      <w:kern w:val="0"/>
      <w:sz w:val="18"/>
      <w:szCs w:val="1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customStyle="1" w:styleId="Heading5Char">
    <w:name w:val="Heading 5 Char"/>
    <w:link w:val="Heading5"/>
    <w:uiPriority w:val="9"/>
    <w:rsid w:val="00197864"/>
    <w:rPr>
      <w:rFonts w:ascii="inherit" w:hAnsi="inherit"/>
      <w:sz w:val="21"/>
      <w:szCs w:val="21"/>
    </w:rPr>
  </w:style>
  <w:style w:type="character" w:customStyle="1" w:styleId="Heading6Char">
    <w:name w:val="Heading 6 Char"/>
    <w:link w:val="Heading6"/>
    <w:uiPriority w:val="9"/>
    <w:rsid w:val="00197864"/>
    <w:rPr>
      <w:rFonts w:ascii="inherit" w:hAnsi="inherit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FA7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882"/>
    <w:rPr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FA7882"/>
    <w:rPr>
      <w:rFonts w:eastAsia="SimSun" w:cs="Mangal"/>
      <w:kern w:val="1"/>
      <w:szCs w:val="18"/>
      <w:lang w:val="en-CA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8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7882"/>
    <w:rPr>
      <w:rFonts w:eastAsia="SimSun" w:cs="Mangal"/>
      <w:b/>
      <w:bCs/>
      <w:kern w:val="1"/>
      <w:szCs w:val="18"/>
      <w:lang w:val="en-CA" w:eastAsia="hi-IN" w:bidi="hi-IN"/>
    </w:rPr>
  </w:style>
  <w:style w:type="paragraph" w:styleId="Revision">
    <w:name w:val="Revision"/>
    <w:hidden/>
    <w:uiPriority w:val="99"/>
    <w:semiHidden/>
    <w:rsid w:val="00FA7882"/>
    <w:rPr>
      <w:rFonts w:eastAsia="SimSun" w:cs="Mangal"/>
      <w:kern w:val="1"/>
      <w:sz w:val="24"/>
      <w:szCs w:val="21"/>
      <w:lang w:val="en-CA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882"/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FA7882"/>
    <w:rPr>
      <w:rFonts w:ascii="Tahoma" w:eastAsia="SimSun" w:hAnsi="Tahoma" w:cs="Mangal"/>
      <w:kern w:val="1"/>
      <w:sz w:val="16"/>
      <w:szCs w:val="14"/>
      <w:lang w:val="en-CA" w:eastAsia="hi-IN" w:bidi="hi-IN"/>
    </w:rPr>
  </w:style>
  <w:style w:type="character" w:styleId="Hyperlink">
    <w:name w:val="Hyperlink"/>
    <w:uiPriority w:val="99"/>
    <w:unhideWhenUsed/>
    <w:rsid w:val="00D812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43A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62E78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362E78"/>
    <w:rPr>
      <w:rFonts w:eastAsia="SimSun" w:cs="Mangal"/>
      <w:kern w:val="1"/>
      <w:sz w:val="24"/>
      <w:szCs w:val="21"/>
      <w:lang w:val="en-CA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362E78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362E78"/>
    <w:rPr>
      <w:rFonts w:eastAsia="SimSun" w:cs="Mangal"/>
      <w:kern w:val="1"/>
      <w:sz w:val="24"/>
      <w:szCs w:val="21"/>
      <w:lang w:val="en-CA" w:eastAsia="hi-IN" w:bidi="hi-IN"/>
    </w:rPr>
  </w:style>
  <w:style w:type="paragraph" w:styleId="NormalWeb">
    <w:name w:val="Normal (Web)"/>
    <w:basedOn w:val="Normal"/>
    <w:uiPriority w:val="99"/>
    <w:unhideWhenUsed/>
    <w:rsid w:val="00E56B3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F88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val="en-C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055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65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8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liongraph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6466F-5971-4D4D-8D57-F490D94A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2306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2749</CharactersWithSpaces>
  <SharedDoc>false</SharedDoc>
  <HLinks>
    <vt:vector size="24" baseType="variant"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>mailto:info@liongraphite.com</vt:lpwstr>
      </vt:variant>
      <vt:variant>
        <vt:lpwstr/>
      </vt:variant>
      <vt:variant>
        <vt:i4>1572956</vt:i4>
      </vt:variant>
      <vt:variant>
        <vt:i4>6</vt:i4>
      </vt:variant>
      <vt:variant>
        <vt:i4>0</vt:i4>
      </vt:variant>
      <vt:variant>
        <vt:i4>5</vt:i4>
      </vt:variant>
      <vt:variant>
        <vt:lpwstr>http://www.globalli-iongraphite.com/</vt:lpwstr>
      </vt:variant>
      <vt:variant>
        <vt:lpwstr/>
      </vt:variant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http://www.thecse.com/</vt:lpwstr>
      </vt:variant>
      <vt:variant>
        <vt:lpwstr/>
      </vt:variant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http://www.sedar.com/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Graham</dc:creator>
  <cp:keywords/>
  <cp:lastModifiedBy>Ismara Corea</cp:lastModifiedBy>
  <cp:revision>2</cp:revision>
  <cp:lastPrinted>2017-10-20T13:12:00Z</cp:lastPrinted>
  <dcterms:created xsi:type="dcterms:W3CDTF">2026-05-08T21:09:00Z</dcterms:created>
  <dcterms:modified xsi:type="dcterms:W3CDTF">2026-05-08T21:09:00Z</dcterms:modified>
</cp:coreProperties>
</file>