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0896" w14:textId="77777777" w:rsidR="00E32097" w:rsidRDefault="00F879EF">
      <w:pPr>
        <w:spacing w:after="0"/>
        <w:jc w:val="center"/>
        <w:rPr>
          <w:rFonts w:ascii="Times New Roman" w:hAnsi="Times New Roman"/>
          <w:b/>
          <w:sz w:val="24"/>
          <w:szCs w:val="24"/>
        </w:rPr>
      </w:pPr>
      <w:r>
        <w:rPr>
          <w:rFonts w:ascii="Times New Roman" w:hAnsi="Times New Roman"/>
          <w:b/>
          <w:sz w:val="24"/>
          <w:szCs w:val="24"/>
        </w:rPr>
        <w:t>NEWS RELEASE</w:t>
      </w:r>
    </w:p>
    <w:p w14:paraId="419D4C4B" w14:textId="77777777" w:rsidR="00E32097" w:rsidRDefault="00E32097">
      <w:pPr>
        <w:spacing w:after="0"/>
        <w:jc w:val="center"/>
        <w:rPr>
          <w:rFonts w:ascii="Times New Roman" w:hAnsi="Times New Roman"/>
          <w:b/>
          <w:sz w:val="20"/>
          <w:szCs w:val="20"/>
        </w:rPr>
      </w:pPr>
    </w:p>
    <w:p w14:paraId="4A849F01" w14:textId="77777777" w:rsidR="00E32097" w:rsidRDefault="00F879EF">
      <w:pPr>
        <w:spacing w:after="0"/>
        <w:jc w:val="center"/>
        <w:rPr>
          <w:rFonts w:ascii="Times New Roman" w:hAnsi="Times New Roman"/>
          <w:b/>
          <w:sz w:val="32"/>
          <w:szCs w:val="24"/>
        </w:rPr>
      </w:pPr>
      <w:r>
        <w:rPr>
          <w:rFonts w:ascii="Times New Roman" w:hAnsi="Times New Roman"/>
          <w:b/>
          <w:sz w:val="32"/>
          <w:szCs w:val="24"/>
        </w:rPr>
        <w:t>TRILLION ENERGY INTERNATIONAL INC.</w:t>
      </w:r>
    </w:p>
    <w:p w14:paraId="5CD4C752" w14:textId="77777777" w:rsidR="00E32097" w:rsidRDefault="00E32097">
      <w:pPr>
        <w:spacing w:after="0"/>
        <w:jc w:val="center"/>
        <w:rPr>
          <w:rFonts w:ascii="Times New Roman" w:hAnsi="Times New Roman"/>
          <w:b/>
          <w:sz w:val="24"/>
          <w:szCs w:val="24"/>
        </w:rPr>
      </w:pPr>
    </w:p>
    <w:p w14:paraId="69EF8C73" w14:textId="54349E2B" w:rsidR="00E32097" w:rsidRDefault="00957370">
      <w:pPr>
        <w:jc w:val="center"/>
        <w:rPr>
          <w:rFonts w:ascii="Times New Roman" w:hAnsi="Times New Roman"/>
          <w:b/>
          <w:sz w:val="24"/>
          <w:szCs w:val="24"/>
          <w:u w:val="single"/>
        </w:rPr>
      </w:pPr>
      <w:r>
        <w:rPr>
          <w:rFonts w:ascii="Times New Roman" w:hAnsi="Times New Roman"/>
          <w:b/>
          <w:sz w:val="24"/>
          <w:szCs w:val="24"/>
          <w:u w:val="single"/>
        </w:rPr>
        <w:t>Trillion</w:t>
      </w:r>
      <w:r w:rsidR="00047CAE">
        <w:rPr>
          <w:rFonts w:ascii="Times New Roman" w:hAnsi="Times New Roman"/>
          <w:b/>
          <w:sz w:val="24"/>
          <w:szCs w:val="24"/>
          <w:u w:val="single"/>
        </w:rPr>
        <w:t xml:space="preserve"> </w:t>
      </w:r>
      <w:r>
        <w:rPr>
          <w:rFonts w:ascii="Times New Roman" w:hAnsi="Times New Roman"/>
          <w:b/>
          <w:sz w:val="24"/>
          <w:szCs w:val="24"/>
          <w:u w:val="single"/>
        </w:rPr>
        <w:t xml:space="preserve">Announces Closing of </w:t>
      </w:r>
      <w:r w:rsidR="00673218">
        <w:rPr>
          <w:rFonts w:ascii="Times New Roman" w:hAnsi="Times New Roman"/>
          <w:b/>
          <w:sz w:val="24"/>
          <w:szCs w:val="24"/>
          <w:u w:val="single"/>
        </w:rPr>
        <w:t>Offerings</w:t>
      </w:r>
      <w:r w:rsidR="00240ADA">
        <w:rPr>
          <w:rFonts w:ascii="Times New Roman" w:hAnsi="Times New Roman"/>
          <w:b/>
          <w:sz w:val="24"/>
          <w:szCs w:val="24"/>
          <w:u w:val="single"/>
        </w:rPr>
        <w:t xml:space="preserve"> </w:t>
      </w:r>
    </w:p>
    <w:p w14:paraId="2E461FD9" w14:textId="380FF0CF" w:rsidR="00DA1E5F" w:rsidRDefault="00F879EF" w:rsidP="00247725">
      <w:pPr>
        <w:pStyle w:val="NormalWeb"/>
        <w:spacing w:before="0" w:beforeAutospacing="0" w:after="0" w:afterAutospacing="0"/>
        <w:jc w:val="both"/>
      </w:pPr>
      <w:r>
        <w:t xml:space="preserve">Vancouver, B.C. and Ankara Turkey, </w:t>
      </w:r>
      <w:r w:rsidR="00247725">
        <w:t>June</w:t>
      </w:r>
      <w:r w:rsidR="00240ADA">
        <w:t xml:space="preserve"> </w:t>
      </w:r>
      <w:r w:rsidR="00673218">
        <w:t>28</w:t>
      </w:r>
      <w:r>
        <w:t>, 202</w:t>
      </w:r>
      <w:r w:rsidR="00240ADA">
        <w:t>1</w:t>
      </w:r>
      <w:r>
        <w:t xml:space="preserve"> – Trillion Energy International Inc. (the </w:t>
      </w:r>
      <w:r w:rsidR="00D24FEC">
        <w:t>"</w:t>
      </w:r>
      <w:r w:rsidR="00D24FEC">
        <w:rPr>
          <w:b/>
          <w:bCs/>
        </w:rPr>
        <w:t>Corporation</w:t>
      </w:r>
      <w:r w:rsidR="00D24FEC">
        <w:t>"</w:t>
      </w:r>
      <w:r w:rsidR="00240ADA">
        <w:t xml:space="preserve"> or "</w:t>
      </w:r>
      <w:r w:rsidR="00240ADA" w:rsidRPr="00240ADA">
        <w:rPr>
          <w:b/>
          <w:bCs/>
        </w:rPr>
        <w:t>Trillion</w:t>
      </w:r>
      <w:r w:rsidR="00240ADA">
        <w:t>"</w:t>
      </w:r>
      <w:r>
        <w:t>)</w:t>
      </w:r>
      <w:r>
        <w:rPr>
          <w:b/>
          <w:bCs/>
        </w:rPr>
        <w:t xml:space="preserve"> CSE:TCF</w:t>
      </w:r>
      <w:r>
        <w:t xml:space="preserve"> </w:t>
      </w:r>
      <w:r w:rsidR="00233839">
        <w:t>(</w:t>
      </w:r>
      <w:proofErr w:type="gramStart"/>
      <w:r w:rsidR="00233839">
        <w:t>OTC:TCFF</w:t>
      </w:r>
      <w:proofErr w:type="gramEnd"/>
      <w:r w:rsidR="000004D5">
        <w:t>; Frankfurt 3P2</w:t>
      </w:r>
      <w:r w:rsidR="002641E3">
        <w:t>N</w:t>
      </w:r>
      <w:r w:rsidR="00233839">
        <w:t xml:space="preserve">) </w:t>
      </w:r>
      <w:r>
        <w:t xml:space="preserve">is pleased </w:t>
      </w:r>
      <w:r w:rsidR="00F963EE" w:rsidRPr="00F963EE">
        <w:t>to announce</w:t>
      </w:r>
      <w:r w:rsidR="00957370">
        <w:t xml:space="preserve"> that is has</w:t>
      </w:r>
      <w:r w:rsidR="00673218">
        <w:t xml:space="preserve"> closed </w:t>
      </w:r>
      <w:r w:rsidR="00DA1E5F">
        <w:t>a non-brokered offering and two debt settlements, f</w:t>
      </w:r>
      <w:r w:rsidR="00C30F58">
        <w:t>or aggregate proceeds of $173,849.90 (the "</w:t>
      </w:r>
      <w:r w:rsidR="00C30F58" w:rsidRPr="00C30F58">
        <w:rPr>
          <w:b/>
          <w:bCs/>
        </w:rPr>
        <w:t>Offerings</w:t>
      </w:r>
      <w:r w:rsidR="00C30F58">
        <w:t xml:space="preserve">"). </w:t>
      </w:r>
    </w:p>
    <w:p w14:paraId="6CAD4D06" w14:textId="77777777" w:rsidR="00DA1E5F" w:rsidRDefault="00DA1E5F" w:rsidP="00247725">
      <w:pPr>
        <w:pStyle w:val="NormalWeb"/>
        <w:spacing w:before="0" w:beforeAutospacing="0" w:after="0" w:afterAutospacing="0"/>
        <w:jc w:val="both"/>
      </w:pPr>
    </w:p>
    <w:p w14:paraId="7DAA7FBD" w14:textId="746E3227" w:rsidR="00DA1E5F" w:rsidRDefault="00DA1E5F" w:rsidP="00247725">
      <w:pPr>
        <w:pStyle w:val="NormalWeb"/>
        <w:spacing w:before="0" w:beforeAutospacing="0" w:after="0" w:afterAutospacing="0"/>
        <w:jc w:val="both"/>
      </w:pPr>
      <w:r>
        <w:t>The Corporation completed a non-brokered private placement (the "</w:t>
      </w:r>
      <w:r w:rsidRPr="00DA1E5F">
        <w:rPr>
          <w:b/>
          <w:bCs/>
        </w:rPr>
        <w:t>Private Placement</w:t>
      </w:r>
      <w:r>
        <w:t>") for proceeds of $15,000 with an issue price of $0.30 per common share in the capital of the Corporation ("</w:t>
      </w:r>
      <w:r w:rsidRPr="00DA1E5F">
        <w:rPr>
          <w:b/>
          <w:bCs/>
        </w:rPr>
        <w:t>Common Shares</w:t>
      </w:r>
      <w:r>
        <w:t>"). An aggregate of 50,000 Common Shares were issued in connection with the Private Placement. In connection with the Private Placement, the Corporation settled an aggregate of $148,848.90 in outstanding debt (the "</w:t>
      </w:r>
      <w:r w:rsidRPr="00DA1E5F">
        <w:rPr>
          <w:b/>
          <w:bCs/>
        </w:rPr>
        <w:t>Debt Settlement</w:t>
      </w:r>
      <w:r>
        <w:t>") on the same terms as the Private Placement and issued an aggregate of 496,163 Common Shares. Additionally, the Corporation settled an aggregate of $10,000 in outstanding debt at a deemed price of $0.40 per Common Share</w:t>
      </w:r>
      <w:r w:rsidR="00B80B32">
        <w:t xml:space="preserve"> </w:t>
      </w:r>
      <w:r>
        <w:t>and issued an aggregate of 25,000 Common Shares.</w:t>
      </w:r>
    </w:p>
    <w:p w14:paraId="7447AC46" w14:textId="77777777" w:rsidR="00DA1E5F" w:rsidRDefault="00DA1E5F" w:rsidP="00247725">
      <w:pPr>
        <w:pStyle w:val="NormalWeb"/>
        <w:spacing w:before="0" w:beforeAutospacing="0" w:after="0" w:afterAutospacing="0"/>
        <w:jc w:val="both"/>
      </w:pPr>
    </w:p>
    <w:p w14:paraId="386B0077" w14:textId="13B504B7" w:rsidR="00957370" w:rsidRDefault="000D53E8" w:rsidP="00771B7C">
      <w:pPr>
        <w:pStyle w:val="NormalWeb"/>
        <w:spacing w:before="0" w:beforeAutospacing="0" w:after="0" w:afterAutospacing="0"/>
        <w:jc w:val="both"/>
      </w:pPr>
      <w:r>
        <w:t>The</w:t>
      </w:r>
      <w:r w:rsidRPr="000D53E8">
        <w:t xml:space="preserve"> securities</w:t>
      </w:r>
      <w:r>
        <w:t xml:space="preserve"> issued in connection with the </w:t>
      </w:r>
      <w:r w:rsidR="00DA1E5F">
        <w:t>Offerings</w:t>
      </w:r>
      <w:r w:rsidRPr="000D53E8">
        <w:t xml:space="preserve"> will be subject to a 4 month hold period in accordance with applicable securities laws</w:t>
      </w:r>
      <w:r>
        <w:t>.</w:t>
      </w:r>
    </w:p>
    <w:p w14:paraId="7041CC63" w14:textId="274ADCE4" w:rsidR="00104F1C" w:rsidRDefault="00104F1C" w:rsidP="00771B7C">
      <w:pPr>
        <w:pStyle w:val="NormalWeb"/>
        <w:spacing w:before="0" w:beforeAutospacing="0" w:after="0" w:afterAutospacing="0"/>
        <w:jc w:val="both"/>
      </w:pPr>
    </w:p>
    <w:p w14:paraId="08017B6B" w14:textId="1EFEDC9F" w:rsidR="00153B59" w:rsidRPr="00153B59" w:rsidRDefault="00F879EF" w:rsidP="000D53E8">
      <w:pPr>
        <w:keepNext/>
        <w:spacing w:line="240" w:lineRule="auto"/>
        <w:jc w:val="both"/>
        <w:rPr>
          <w:rFonts w:ascii="Times New Roman" w:hAnsi="Times New Roman"/>
          <w:b/>
          <w:sz w:val="24"/>
          <w:szCs w:val="24"/>
          <w:lang w:val="en-GB"/>
        </w:rPr>
      </w:pPr>
      <w:r>
        <w:rPr>
          <w:rFonts w:ascii="Times New Roman" w:hAnsi="Times New Roman"/>
          <w:b/>
          <w:sz w:val="24"/>
          <w:szCs w:val="24"/>
          <w:lang w:val="en-GB"/>
        </w:rPr>
        <w:t xml:space="preserve">About the </w:t>
      </w:r>
      <w:r w:rsidR="00D24FEC">
        <w:rPr>
          <w:rFonts w:ascii="Times New Roman" w:hAnsi="Times New Roman"/>
          <w:b/>
          <w:sz w:val="24"/>
          <w:szCs w:val="24"/>
          <w:lang w:val="en-GB"/>
        </w:rPr>
        <w:t>Corporation</w:t>
      </w:r>
    </w:p>
    <w:p w14:paraId="004FB4B7" w14:textId="22F1ABE0" w:rsidR="00240ADA" w:rsidRDefault="00240ADA" w:rsidP="00240ADA">
      <w:pPr>
        <w:pStyle w:val="NormalWeb"/>
        <w:spacing w:before="0" w:beforeAutospacing="0" w:after="0" w:afterAutospacing="0"/>
        <w:jc w:val="both"/>
      </w:pPr>
      <w:r w:rsidRPr="00240ADA">
        <w:t xml:space="preserve">Trillion is a Canadian based natural gas and oil producer focused on international market with several oil and gas assets in Turkey and Bulgaria. The Corporation is a 49% owner of the SASB natural gas field, one of the Black Sea’s first and largest natural gas development projects, which has had USD $608 million invested to date and has produced 41 Billion Cubic Feet “BCF” of natural gas. Gas produced at SASB is sold at favorable prices of between US $6/MCF and US $7.80/MCF - a substantial premium to European and North American markets. Trillion’s portfolio of Oil &amp; Gas assets also includes: a 19.6% (except three wells with 9.8%) interest in the Cendere oil field; a 100% interest in 42,833 hectares oil exploration block covering the northern extension of the prolific Iraq/ Zagros Basin; and in Bulgaria, the Vranino 1-11 block, a prospective unconventional natural gas property. </w:t>
      </w:r>
    </w:p>
    <w:p w14:paraId="3C4BAEAC" w14:textId="77777777" w:rsidR="00240ADA" w:rsidRPr="00240ADA" w:rsidRDefault="00240ADA" w:rsidP="00240ADA">
      <w:pPr>
        <w:pStyle w:val="NormalWeb"/>
        <w:spacing w:before="0" w:beforeAutospacing="0" w:after="0" w:afterAutospacing="0"/>
        <w:jc w:val="both"/>
      </w:pPr>
    </w:p>
    <w:p w14:paraId="6234AC0D" w14:textId="0965FF11" w:rsidR="00240ADA" w:rsidRDefault="00240ADA" w:rsidP="00240ADA">
      <w:pPr>
        <w:pStyle w:val="NormalWeb"/>
        <w:spacing w:before="0" w:beforeAutospacing="0" w:after="0" w:afterAutospacing="0"/>
        <w:jc w:val="both"/>
        <w:rPr>
          <w:rFonts w:eastAsiaTheme="minorHAnsi"/>
          <w:lang w:val="en-GB"/>
        </w:rPr>
      </w:pPr>
      <w:r w:rsidRPr="00240ADA">
        <w:t xml:space="preserve">For aerial video footage of the Corporation's petroleum field infrastructure, please see our website: </w:t>
      </w:r>
      <w:hyperlink r:id="rId8" w:history="1">
        <w:r w:rsidRPr="008858D6">
          <w:rPr>
            <w:rStyle w:val="Hyperlink"/>
          </w:rPr>
          <w:t>www.trillionenergy.com</w:t>
        </w:r>
      </w:hyperlink>
      <w:r>
        <w:t xml:space="preserve">. </w:t>
      </w:r>
      <w:r w:rsidRPr="00240ADA">
        <w:t xml:space="preserve">For further information, please see our website: </w:t>
      </w:r>
      <w:hyperlink r:id="rId9" w:history="1">
        <w:r w:rsidRPr="008858D6">
          <w:rPr>
            <w:rStyle w:val="Hyperlink"/>
          </w:rPr>
          <w:t>www.trillionenergy.com</w:t>
        </w:r>
      </w:hyperlink>
      <w:r>
        <w:t xml:space="preserve"> </w:t>
      </w:r>
      <w:r w:rsidRPr="00240ADA">
        <w:t xml:space="preserve">or email us: </w:t>
      </w:r>
      <w:hyperlink r:id="rId10" w:history="1">
        <w:r w:rsidRPr="008858D6">
          <w:rPr>
            <w:rStyle w:val="Hyperlink"/>
          </w:rPr>
          <w:t>www.trillionenergy.com</w:t>
        </w:r>
      </w:hyperlink>
      <w:r>
        <w:t xml:space="preserve"> </w:t>
      </w:r>
      <w:r w:rsidRPr="00240ADA">
        <w:t>or call Arthur Halleran, CEO, +1-250-996-4211.</w:t>
      </w:r>
      <w:r w:rsidRPr="00240ADA">
        <w:rPr>
          <w:rFonts w:eastAsiaTheme="minorHAnsi"/>
          <w:lang w:val="en-GB"/>
        </w:rPr>
        <w:t xml:space="preserve"> </w:t>
      </w:r>
    </w:p>
    <w:p w14:paraId="7820DFF1" w14:textId="77777777" w:rsidR="00240ADA" w:rsidRDefault="00240ADA" w:rsidP="00240ADA">
      <w:pPr>
        <w:pStyle w:val="NormalWeb"/>
        <w:spacing w:before="0" w:beforeAutospacing="0" w:after="0" w:afterAutospacing="0"/>
        <w:jc w:val="both"/>
        <w:rPr>
          <w:rFonts w:eastAsiaTheme="minorHAnsi"/>
          <w:lang w:val="en-GB"/>
        </w:rPr>
      </w:pPr>
    </w:p>
    <w:p w14:paraId="53C61789" w14:textId="19B9633D" w:rsidR="00E32097" w:rsidRDefault="00F879EF" w:rsidP="00240ADA">
      <w:pPr>
        <w:pStyle w:val="NormalWeb"/>
        <w:spacing w:before="0" w:beforeAutospacing="0" w:after="0" w:afterAutospacing="0"/>
        <w:jc w:val="both"/>
        <w:rPr>
          <w:sz w:val="20"/>
          <w:szCs w:val="20"/>
        </w:rPr>
      </w:pPr>
      <w:r>
        <w:rPr>
          <w:b/>
          <w:bCs/>
          <w:sz w:val="20"/>
          <w:szCs w:val="20"/>
        </w:rPr>
        <w:t>Cautionary Statement Regarding Forward-Looking Statements</w:t>
      </w:r>
    </w:p>
    <w:p w14:paraId="7181BEA1" w14:textId="7BF78175" w:rsidR="00E32097" w:rsidRDefault="00F879EF">
      <w:pPr>
        <w:autoSpaceDE w:val="0"/>
        <w:autoSpaceDN w:val="0"/>
        <w:adjustRightInd w:val="0"/>
        <w:spacing w:before="120" w:after="0"/>
        <w:jc w:val="both"/>
        <w:rPr>
          <w:rFonts w:ascii="Times New Roman" w:hAnsi="Times New Roman"/>
          <w:i/>
          <w:sz w:val="20"/>
          <w:szCs w:val="20"/>
        </w:rPr>
      </w:pPr>
      <w:r>
        <w:rPr>
          <w:rFonts w:ascii="Times New Roman" w:hAnsi="Times New Roman"/>
          <w:i/>
          <w:sz w:val="20"/>
          <w:szCs w:val="20"/>
        </w:rPr>
        <w:t xml:space="preserve">This release contains forward-looking statements, which are based on current expectations, estimates, and projections about the </w:t>
      </w:r>
      <w:r w:rsidR="00D24FEC">
        <w:rPr>
          <w:rFonts w:ascii="Times New Roman" w:hAnsi="Times New Roman"/>
          <w:i/>
          <w:sz w:val="20"/>
          <w:szCs w:val="20"/>
        </w:rPr>
        <w:t>Corporation's</w:t>
      </w:r>
      <w:r>
        <w:rPr>
          <w:rFonts w:ascii="Times New Roman" w:hAnsi="Times New Roman"/>
          <w:i/>
          <w:sz w:val="20"/>
          <w:szCs w:val="20"/>
        </w:rPr>
        <w:t xml:space="preserve"> business and prospects, as well as management’s beliefs, and certain assumptions made by management. Words such as “anticipates,” “expects,” “intends,” “plans,” “believes,” “seeks,” “estimates,” “may,” “should,” “will” and variations of these words are intended to identify forward-looking statements. Such statements speak only as</w:t>
      </w:r>
      <w:bookmarkStart w:id="0" w:name="eolPage4"/>
      <w:bookmarkEnd w:id="0"/>
      <w:r>
        <w:rPr>
          <w:rFonts w:ascii="Times New Roman" w:hAnsi="Times New Roman"/>
          <w:i/>
          <w:sz w:val="20"/>
          <w:szCs w:val="20"/>
        </w:rPr>
        <w:t xml:space="preserve"> of the date hereof and are subject to change. The </w:t>
      </w:r>
      <w:r w:rsidR="00D24FEC">
        <w:rPr>
          <w:rFonts w:ascii="Times New Roman" w:hAnsi="Times New Roman"/>
          <w:i/>
          <w:sz w:val="20"/>
          <w:szCs w:val="20"/>
        </w:rPr>
        <w:t>Corporation</w:t>
      </w:r>
      <w:r>
        <w:rPr>
          <w:rFonts w:ascii="Times New Roman" w:hAnsi="Times New Roman"/>
          <w:i/>
          <w:sz w:val="20"/>
          <w:szCs w:val="20"/>
        </w:rPr>
        <w:t xml:space="preserve"> undertakes no obligation to publicly revise or update any forward-looking statements for any reason</w:t>
      </w:r>
      <w:r w:rsidR="000E5BD5">
        <w:rPr>
          <w:rFonts w:ascii="Times New Roman" w:hAnsi="Times New Roman"/>
          <w:i/>
          <w:sz w:val="20"/>
          <w:szCs w:val="20"/>
        </w:rPr>
        <w:t>, except as required under applicable securities laws</w:t>
      </w:r>
      <w:r>
        <w:rPr>
          <w:rFonts w:ascii="Times New Roman" w:hAnsi="Times New Roman"/>
          <w:i/>
          <w:sz w:val="20"/>
          <w:szCs w:val="20"/>
        </w:rPr>
        <w:t xml:space="preserve">. </w:t>
      </w:r>
      <w:r w:rsidR="00AF30DA" w:rsidRPr="00AF30DA">
        <w:rPr>
          <w:rFonts w:ascii="Times New Roman" w:hAnsi="Times New Roman"/>
          <w:i/>
          <w:sz w:val="20"/>
          <w:szCs w:val="20"/>
        </w:rPr>
        <w:t xml:space="preserve">Readers are cautioned that any such forward-looking statements are not guarantees of future business activities and involve risks and uncertainties, and that the </w:t>
      </w:r>
      <w:r w:rsidR="00D24FEC">
        <w:rPr>
          <w:rFonts w:ascii="Times New Roman" w:hAnsi="Times New Roman"/>
          <w:i/>
          <w:sz w:val="20"/>
          <w:szCs w:val="20"/>
        </w:rPr>
        <w:t>Corporation's</w:t>
      </w:r>
      <w:r w:rsidR="00AF30DA" w:rsidRPr="00AF30DA">
        <w:rPr>
          <w:rFonts w:ascii="Times New Roman" w:hAnsi="Times New Roman"/>
          <w:i/>
          <w:sz w:val="20"/>
          <w:szCs w:val="20"/>
        </w:rPr>
        <w:t xml:space="preserve"> future business activities may differ materially from those in the forward-looking statements as a result of various factors, including, but not limited to,</w:t>
      </w:r>
      <w:r w:rsidR="00240ADA" w:rsidRPr="00240ADA">
        <w:t xml:space="preserve"> </w:t>
      </w:r>
      <w:r w:rsidR="00240ADA" w:rsidRPr="00E9308D">
        <w:rPr>
          <w:rFonts w:ascii="Times New Roman" w:hAnsi="Times New Roman"/>
          <w:i/>
          <w:sz w:val="20"/>
          <w:szCs w:val="20"/>
        </w:rPr>
        <w:t>the closing of the Loan</w:t>
      </w:r>
      <w:r w:rsidR="00E9308D">
        <w:rPr>
          <w:rFonts w:ascii="Times New Roman" w:hAnsi="Times New Roman"/>
          <w:i/>
          <w:sz w:val="20"/>
          <w:szCs w:val="20"/>
        </w:rPr>
        <w:t xml:space="preserve"> and the receipt of proceeds thereunder</w:t>
      </w:r>
      <w:r w:rsidR="00240ADA">
        <w:rPr>
          <w:rFonts w:ascii="Times New Roman" w:hAnsi="Times New Roman"/>
          <w:i/>
          <w:sz w:val="20"/>
          <w:szCs w:val="20"/>
        </w:rPr>
        <w:t xml:space="preserve">, </w:t>
      </w:r>
      <w:r w:rsidR="00E01990">
        <w:rPr>
          <w:rFonts w:ascii="Times New Roman" w:hAnsi="Times New Roman"/>
          <w:i/>
          <w:sz w:val="20"/>
          <w:szCs w:val="20"/>
        </w:rPr>
        <w:t xml:space="preserve">the issuance of the Bonus Warrants, </w:t>
      </w:r>
      <w:r w:rsidR="00AF30DA" w:rsidRPr="00AF30DA">
        <w:rPr>
          <w:rFonts w:ascii="Times New Roman" w:hAnsi="Times New Roman"/>
          <w:i/>
          <w:sz w:val="20"/>
          <w:szCs w:val="20"/>
        </w:rPr>
        <w:t xml:space="preserve"> fluctuations in market prices</w:t>
      </w:r>
      <w:r w:rsidR="000E5BD5">
        <w:rPr>
          <w:rFonts w:ascii="Times New Roman" w:hAnsi="Times New Roman"/>
          <w:i/>
          <w:sz w:val="20"/>
          <w:szCs w:val="20"/>
        </w:rPr>
        <w:t xml:space="preserve">, </w:t>
      </w:r>
      <w:r>
        <w:rPr>
          <w:rFonts w:ascii="Times New Roman" w:hAnsi="Times New Roman"/>
          <w:i/>
          <w:sz w:val="20"/>
          <w:szCs w:val="20"/>
        </w:rPr>
        <w:t xml:space="preserve">the potential impact on the market for its securities, expansion and business strategies, anticipated growth opportunities, </w:t>
      </w:r>
      <w:r w:rsidR="000E5BD5" w:rsidRPr="000E5BD5">
        <w:rPr>
          <w:rFonts w:ascii="Times New Roman" w:hAnsi="Times New Roman"/>
          <w:i/>
          <w:sz w:val="20"/>
          <w:szCs w:val="20"/>
        </w:rPr>
        <w:t xml:space="preserve">equity market conditions including without limitation, the impact of the COVID-19 pandemic, general economic, </w:t>
      </w:r>
      <w:r w:rsidR="000E5BD5" w:rsidRPr="000E5BD5">
        <w:rPr>
          <w:rFonts w:ascii="Times New Roman" w:hAnsi="Times New Roman"/>
          <w:i/>
          <w:sz w:val="20"/>
          <w:szCs w:val="20"/>
        </w:rPr>
        <w:lastRenderedPageBreak/>
        <w:t>market or business conditions</w:t>
      </w:r>
      <w:r w:rsidR="000A7A1F">
        <w:rPr>
          <w:rFonts w:ascii="Times New Roman" w:hAnsi="Times New Roman"/>
          <w:i/>
          <w:sz w:val="20"/>
          <w:szCs w:val="20"/>
        </w:rPr>
        <w:t xml:space="preserve">, </w:t>
      </w:r>
      <w:r>
        <w:rPr>
          <w:rFonts w:ascii="Times New Roman" w:hAnsi="Times New Roman"/>
          <w:i/>
          <w:sz w:val="20"/>
          <w:szCs w:val="20"/>
        </w:rPr>
        <w:t xml:space="preserve">the amount of fundraising necessary to </w:t>
      </w:r>
      <w:r w:rsidR="00D24FEC">
        <w:rPr>
          <w:rFonts w:ascii="Times New Roman" w:hAnsi="Times New Roman"/>
          <w:i/>
          <w:sz w:val="20"/>
          <w:szCs w:val="20"/>
        </w:rPr>
        <w:t>perform on its business objectives,</w:t>
      </w:r>
      <w:r w:rsidR="00EB68DF">
        <w:rPr>
          <w:rFonts w:ascii="Times New Roman" w:hAnsi="Times New Roman"/>
          <w:i/>
          <w:sz w:val="20"/>
          <w:szCs w:val="20"/>
        </w:rPr>
        <w:t xml:space="preserve"> fluctuations to</w:t>
      </w:r>
      <w:r w:rsidR="000A7A1F">
        <w:rPr>
          <w:rFonts w:ascii="Times New Roman" w:hAnsi="Times New Roman"/>
          <w:i/>
          <w:sz w:val="20"/>
          <w:szCs w:val="20"/>
        </w:rPr>
        <w:t xml:space="preserve"> </w:t>
      </w:r>
      <w:r w:rsidR="00EB68DF">
        <w:rPr>
          <w:rFonts w:ascii="Times New Roman" w:hAnsi="Times New Roman"/>
          <w:i/>
          <w:sz w:val="20"/>
          <w:szCs w:val="20"/>
        </w:rPr>
        <w:t xml:space="preserve">gas prices from SASB, </w:t>
      </w:r>
      <w:r>
        <w:rPr>
          <w:rFonts w:ascii="Times New Roman" w:hAnsi="Times New Roman"/>
          <w:i/>
          <w:sz w:val="20"/>
          <w:szCs w:val="20"/>
        </w:rPr>
        <w:t xml:space="preserve">unforeseen securities regulatory challenges, operational and geological risks, the ability of the </w:t>
      </w:r>
      <w:r w:rsidR="00D24FEC">
        <w:rPr>
          <w:rFonts w:ascii="Times New Roman" w:hAnsi="Times New Roman"/>
          <w:i/>
          <w:sz w:val="20"/>
          <w:szCs w:val="20"/>
        </w:rPr>
        <w:t>Corporation</w:t>
      </w:r>
      <w:r>
        <w:rPr>
          <w:rFonts w:ascii="Times New Roman" w:hAnsi="Times New Roman"/>
          <w:i/>
          <w:sz w:val="20"/>
          <w:szCs w:val="20"/>
        </w:rPr>
        <w:t xml:space="preserve"> to raise necessary funds for exploration</w:t>
      </w:r>
      <w:r w:rsidR="000A7A1F">
        <w:rPr>
          <w:rFonts w:ascii="Times New Roman" w:hAnsi="Times New Roman"/>
          <w:i/>
          <w:sz w:val="20"/>
          <w:szCs w:val="20"/>
        </w:rPr>
        <w:t>,</w:t>
      </w:r>
      <w:r>
        <w:rPr>
          <w:rFonts w:ascii="Times New Roman" w:hAnsi="Times New Roman"/>
          <w:i/>
          <w:sz w:val="20"/>
          <w:szCs w:val="20"/>
        </w:rPr>
        <w:t xml:space="preserve"> the outcome of commercial negotiations</w:t>
      </w:r>
      <w:r w:rsidR="000A7A1F">
        <w:rPr>
          <w:rFonts w:ascii="Times New Roman" w:hAnsi="Times New Roman"/>
          <w:i/>
          <w:sz w:val="20"/>
          <w:szCs w:val="20"/>
        </w:rPr>
        <w:t>,</w:t>
      </w:r>
      <w:r>
        <w:rPr>
          <w:rFonts w:ascii="Times New Roman" w:hAnsi="Times New Roman"/>
          <w:i/>
          <w:sz w:val="20"/>
          <w:szCs w:val="20"/>
        </w:rPr>
        <w:t xml:space="preserve"> changes in technical or operating conditions</w:t>
      </w:r>
      <w:r w:rsidR="000A7A1F">
        <w:rPr>
          <w:rFonts w:ascii="Times New Roman" w:hAnsi="Times New Roman"/>
          <w:i/>
          <w:sz w:val="20"/>
          <w:szCs w:val="20"/>
        </w:rPr>
        <w:t>,</w:t>
      </w:r>
      <w:r>
        <w:rPr>
          <w:rFonts w:ascii="Times New Roman" w:hAnsi="Times New Roman"/>
          <w:i/>
          <w:sz w:val="20"/>
          <w:szCs w:val="20"/>
        </w:rPr>
        <w:t xml:space="preserve"> the cost of extracting gas and oil may be too costly so that it is uneconomic and not profitable to do so and other factors discussed from time to time in the </w:t>
      </w:r>
      <w:r w:rsidR="00D24FEC">
        <w:rPr>
          <w:rFonts w:ascii="Times New Roman" w:hAnsi="Times New Roman"/>
          <w:i/>
          <w:sz w:val="20"/>
          <w:szCs w:val="20"/>
        </w:rPr>
        <w:t>Corporation's</w:t>
      </w:r>
      <w:r>
        <w:rPr>
          <w:rFonts w:ascii="Times New Roman" w:hAnsi="Times New Roman"/>
          <w:i/>
          <w:sz w:val="20"/>
          <w:szCs w:val="20"/>
        </w:rPr>
        <w:t xml:space="preserve"> Securities and Exchange Commission filings</w:t>
      </w:r>
      <w:r w:rsidR="000A7A1F">
        <w:rPr>
          <w:rFonts w:ascii="Times New Roman" w:hAnsi="Times New Roman"/>
          <w:i/>
          <w:sz w:val="20"/>
          <w:szCs w:val="20"/>
        </w:rPr>
        <w:t xml:space="preserve"> and</w:t>
      </w:r>
      <w:r w:rsidR="000A7A1F" w:rsidRPr="000A7A1F">
        <w:rPr>
          <w:rFonts w:ascii="Times New Roman" w:hAnsi="Times New Roman"/>
          <w:i/>
          <w:sz w:val="20"/>
          <w:szCs w:val="20"/>
        </w:rPr>
        <w:t xml:space="preserve"> </w:t>
      </w:r>
      <w:r w:rsidR="000A7A1F">
        <w:rPr>
          <w:rFonts w:ascii="Times New Roman" w:hAnsi="Times New Roman"/>
          <w:i/>
          <w:sz w:val="20"/>
          <w:szCs w:val="20"/>
        </w:rPr>
        <w:t>those risks set out in the Corporation's public documents filed on SEDAR</w:t>
      </w:r>
      <w:r>
        <w:rPr>
          <w:rFonts w:ascii="Times New Roman" w:hAnsi="Times New Roman"/>
          <w:i/>
          <w:sz w:val="20"/>
          <w:szCs w:val="20"/>
        </w:rPr>
        <w:t>, including the most recently filed Annual Report on Form 10-K and subsequent reports on Forms 10-Q and 8-K</w:t>
      </w:r>
      <w:r w:rsidR="000A7A1F">
        <w:rPr>
          <w:rFonts w:ascii="Times New Roman" w:hAnsi="Times New Roman"/>
          <w:i/>
          <w:sz w:val="20"/>
          <w:szCs w:val="20"/>
        </w:rPr>
        <w:t xml:space="preserve">. Such statements are not </w:t>
      </w:r>
      <w:proofErr w:type="gramStart"/>
      <w:r w:rsidR="000A7A1F">
        <w:rPr>
          <w:rFonts w:ascii="Times New Roman" w:hAnsi="Times New Roman"/>
          <w:i/>
          <w:sz w:val="20"/>
          <w:szCs w:val="20"/>
        </w:rPr>
        <w:t>guarantees</w:t>
      </w:r>
      <w:proofErr w:type="gramEnd"/>
      <w:r w:rsidR="000A7A1F">
        <w:rPr>
          <w:rFonts w:ascii="Times New Roman" w:hAnsi="Times New Roman"/>
          <w:i/>
          <w:sz w:val="20"/>
          <w:szCs w:val="20"/>
        </w:rPr>
        <w:t xml:space="preserve"> of future performance and are subject to certain risks, uncertainties, and assumptions that are difficult to predict. Accordingly, actual results could differ materially and adversely from those expressed in any forward-looking statements </w:t>
      </w:r>
      <w:proofErr w:type="gramStart"/>
      <w:r w:rsidR="000A7A1F">
        <w:rPr>
          <w:rFonts w:ascii="Times New Roman" w:hAnsi="Times New Roman"/>
          <w:i/>
          <w:sz w:val="20"/>
          <w:szCs w:val="20"/>
        </w:rPr>
        <w:t>as a result of</w:t>
      </w:r>
      <w:proofErr w:type="gramEnd"/>
      <w:r w:rsidR="000A7A1F">
        <w:rPr>
          <w:rFonts w:ascii="Times New Roman" w:hAnsi="Times New Roman"/>
          <w:i/>
          <w:sz w:val="20"/>
          <w:szCs w:val="20"/>
        </w:rPr>
        <w:t xml:space="preserve"> various factors. </w:t>
      </w:r>
      <w:r w:rsidR="000E5BD5" w:rsidRPr="000E5BD5">
        <w:rPr>
          <w:rFonts w:ascii="Times New Roman" w:hAnsi="Times New Roman"/>
          <w:i/>
          <w:sz w:val="20"/>
          <w:szCs w:val="20"/>
        </w:rPr>
        <w:t>There can be no assurances that such information will prove accurate and, therefore, readers are advised to rely on their own evaluation of such uncertainties.</w:t>
      </w:r>
    </w:p>
    <w:p w14:paraId="259A9BA2" w14:textId="27C432D7" w:rsidR="00AF30DA" w:rsidRPr="00AF30DA" w:rsidRDefault="00AF30DA">
      <w:pPr>
        <w:autoSpaceDE w:val="0"/>
        <w:autoSpaceDN w:val="0"/>
        <w:adjustRightInd w:val="0"/>
        <w:spacing w:before="120" w:after="0"/>
        <w:jc w:val="both"/>
        <w:rPr>
          <w:rFonts w:ascii="Times New Roman" w:hAnsi="Times New Roman"/>
          <w:b/>
          <w:bCs/>
          <w:i/>
          <w:sz w:val="20"/>
          <w:szCs w:val="20"/>
        </w:rPr>
      </w:pPr>
      <w:r w:rsidRPr="00AF30DA">
        <w:rPr>
          <w:rFonts w:ascii="Times New Roman" w:hAnsi="Times New Roman"/>
          <w:b/>
          <w:bCs/>
          <w:i/>
          <w:sz w:val="20"/>
          <w:szCs w:val="20"/>
        </w:rPr>
        <w:t>The CSE does not accept responsibility for the adequacy or accuracy of this release.</w:t>
      </w:r>
    </w:p>
    <w:sectPr w:rsidR="00AF30DA" w:rsidRPr="00AF30D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3AB7" w14:textId="77777777" w:rsidR="000239F4" w:rsidRDefault="000239F4">
      <w:pPr>
        <w:spacing w:after="0" w:line="240" w:lineRule="auto"/>
      </w:pPr>
      <w:r>
        <w:separator/>
      </w:r>
    </w:p>
  </w:endnote>
  <w:endnote w:type="continuationSeparator" w:id="0">
    <w:p w14:paraId="366DDEA4" w14:textId="77777777" w:rsidR="000239F4" w:rsidRDefault="0002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22F9" w14:textId="77777777" w:rsidR="000239F4" w:rsidRDefault="000239F4">
      <w:pPr>
        <w:spacing w:after="0" w:line="240" w:lineRule="auto"/>
      </w:pPr>
      <w:r>
        <w:separator/>
      </w:r>
    </w:p>
  </w:footnote>
  <w:footnote w:type="continuationSeparator" w:id="0">
    <w:p w14:paraId="5050FC91" w14:textId="77777777" w:rsidR="000239F4" w:rsidRDefault="000239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69"/>
    <w:rsid w:val="000004D5"/>
    <w:rsid w:val="000078D3"/>
    <w:rsid w:val="000161B7"/>
    <w:rsid w:val="000162D9"/>
    <w:rsid w:val="0002044C"/>
    <w:rsid w:val="00020547"/>
    <w:rsid w:val="000239F4"/>
    <w:rsid w:val="00026675"/>
    <w:rsid w:val="00031306"/>
    <w:rsid w:val="00031FDD"/>
    <w:rsid w:val="00035845"/>
    <w:rsid w:val="0003645E"/>
    <w:rsid w:val="00036793"/>
    <w:rsid w:val="00040642"/>
    <w:rsid w:val="00047CAE"/>
    <w:rsid w:val="00051A35"/>
    <w:rsid w:val="00056B5D"/>
    <w:rsid w:val="00057164"/>
    <w:rsid w:val="000573DA"/>
    <w:rsid w:val="00061B6D"/>
    <w:rsid w:val="00061DBF"/>
    <w:rsid w:val="0007331D"/>
    <w:rsid w:val="0007420F"/>
    <w:rsid w:val="0007681A"/>
    <w:rsid w:val="00077F13"/>
    <w:rsid w:val="00082F50"/>
    <w:rsid w:val="00084DB6"/>
    <w:rsid w:val="0008529B"/>
    <w:rsid w:val="00086732"/>
    <w:rsid w:val="00092491"/>
    <w:rsid w:val="00093687"/>
    <w:rsid w:val="00094430"/>
    <w:rsid w:val="000944BB"/>
    <w:rsid w:val="00094517"/>
    <w:rsid w:val="000955E3"/>
    <w:rsid w:val="00095D58"/>
    <w:rsid w:val="000A149A"/>
    <w:rsid w:val="000A5C44"/>
    <w:rsid w:val="000A7A1F"/>
    <w:rsid w:val="000B23BB"/>
    <w:rsid w:val="000B44D8"/>
    <w:rsid w:val="000B744B"/>
    <w:rsid w:val="000B7C0A"/>
    <w:rsid w:val="000C1B72"/>
    <w:rsid w:val="000C2985"/>
    <w:rsid w:val="000C345C"/>
    <w:rsid w:val="000C3A9F"/>
    <w:rsid w:val="000C61B3"/>
    <w:rsid w:val="000D07D8"/>
    <w:rsid w:val="000D123F"/>
    <w:rsid w:val="000D3CB7"/>
    <w:rsid w:val="000D3DF2"/>
    <w:rsid w:val="000D53E8"/>
    <w:rsid w:val="000E1CC3"/>
    <w:rsid w:val="000E5BD5"/>
    <w:rsid w:val="000E67FD"/>
    <w:rsid w:val="000F1E70"/>
    <w:rsid w:val="001015AB"/>
    <w:rsid w:val="00102DE2"/>
    <w:rsid w:val="001032C6"/>
    <w:rsid w:val="00104F1C"/>
    <w:rsid w:val="001064F5"/>
    <w:rsid w:val="00110C03"/>
    <w:rsid w:val="00115F85"/>
    <w:rsid w:val="00120924"/>
    <w:rsid w:val="00124110"/>
    <w:rsid w:val="00125981"/>
    <w:rsid w:val="001277B1"/>
    <w:rsid w:val="0013086A"/>
    <w:rsid w:val="00135FD8"/>
    <w:rsid w:val="00153B59"/>
    <w:rsid w:val="00154E80"/>
    <w:rsid w:val="00157BB8"/>
    <w:rsid w:val="00160801"/>
    <w:rsid w:val="00161A3A"/>
    <w:rsid w:val="00161BC1"/>
    <w:rsid w:val="001666AA"/>
    <w:rsid w:val="0016704E"/>
    <w:rsid w:val="00167E85"/>
    <w:rsid w:val="0017115C"/>
    <w:rsid w:val="0017133D"/>
    <w:rsid w:val="00173545"/>
    <w:rsid w:val="001905E0"/>
    <w:rsid w:val="00193E41"/>
    <w:rsid w:val="001A10EF"/>
    <w:rsid w:val="001A57CE"/>
    <w:rsid w:val="001B1DEC"/>
    <w:rsid w:val="001B1F82"/>
    <w:rsid w:val="001B3300"/>
    <w:rsid w:val="001B43A5"/>
    <w:rsid w:val="001B4BF3"/>
    <w:rsid w:val="001B5A83"/>
    <w:rsid w:val="001B7D8C"/>
    <w:rsid w:val="001C0FC4"/>
    <w:rsid w:val="001C5B11"/>
    <w:rsid w:val="001D2D55"/>
    <w:rsid w:val="001D36D9"/>
    <w:rsid w:val="001D3E6E"/>
    <w:rsid w:val="001D4DFB"/>
    <w:rsid w:val="001D7353"/>
    <w:rsid w:val="001E21AA"/>
    <w:rsid w:val="001F1DB7"/>
    <w:rsid w:val="001F6591"/>
    <w:rsid w:val="00200D7C"/>
    <w:rsid w:val="00201125"/>
    <w:rsid w:val="00203BCA"/>
    <w:rsid w:val="0021031C"/>
    <w:rsid w:val="00210E2E"/>
    <w:rsid w:val="00211723"/>
    <w:rsid w:val="002156D0"/>
    <w:rsid w:val="00217E85"/>
    <w:rsid w:val="00221532"/>
    <w:rsid w:val="002218E9"/>
    <w:rsid w:val="00223B04"/>
    <w:rsid w:val="00225851"/>
    <w:rsid w:val="00225E5D"/>
    <w:rsid w:val="00233839"/>
    <w:rsid w:val="00240ADA"/>
    <w:rsid w:val="00241D46"/>
    <w:rsid w:val="0024313A"/>
    <w:rsid w:val="00244476"/>
    <w:rsid w:val="0024541D"/>
    <w:rsid w:val="00247725"/>
    <w:rsid w:val="002508C9"/>
    <w:rsid w:val="0025280D"/>
    <w:rsid w:val="00253C53"/>
    <w:rsid w:val="002552A5"/>
    <w:rsid w:val="002641E3"/>
    <w:rsid w:val="00265040"/>
    <w:rsid w:val="00266C33"/>
    <w:rsid w:val="00270F2D"/>
    <w:rsid w:val="0027417E"/>
    <w:rsid w:val="00277B2A"/>
    <w:rsid w:val="00284E2E"/>
    <w:rsid w:val="00290122"/>
    <w:rsid w:val="002928CF"/>
    <w:rsid w:val="00294B4F"/>
    <w:rsid w:val="0029678E"/>
    <w:rsid w:val="002A02DA"/>
    <w:rsid w:val="002A06D1"/>
    <w:rsid w:val="002A1A60"/>
    <w:rsid w:val="002B662C"/>
    <w:rsid w:val="002C36DD"/>
    <w:rsid w:val="002C4E25"/>
    <w:rsid w:val="002C7004"/>
    <w:rsid w:val="002C7A72"/>
    <w:rsid w:val="002D2D6C"/>
    <w:rsid w:val="002D5308"/>
    <w:rsid w:val="002D72D5"/>
    <w:rsid w:val="002E0FE9"/>
    <w:rsid w:val="002E1312"/>
    <w:rsid w:val="002E3817"/>
    <w:rsid w:val="002E50FC"/>
    <w:rsid w:val="002E7466"/>
    <w:rsid w:val="002F00E3"/>
    <w:rsid w:val="002F2A29"/>
    <w:rsid w:val="002F37C8"/>
    <w:rsid w:val="002F5FDD"/>
    <w:rsid w:val="002F6F99"/>
    <w:rsid w:val="002F7C75"/>
    <w:rsid w:val="00301910"/>
    <w:rsid w:val="00301F3E"/>
    <w:rsid w:val="00302C9C"/>
    <w:rsid w:val="00306438"/>
    <w:rsid w:val="00307214"/>
    <w:rsid w:val="003144E7"/>
    <w:rsid w:val="003145FA"/>
    <w:rsid w:val="00314DD5"/>
    <w:rsid w:val="00316BDB"/>
    <w:rsid w:val="0031742B"/>
    <w:rsid w:val="00334333"/>
    <w:rsid w:val="00335D47"/>
    <w:rsid w:val="00335E11"/>
    <w:rsid w:val="0033742D"/>
    <w:rsid w:val="0034183F"/>
    <w:rsid w:val="00343A1F"/>
    <w:rsid w:val="00344A7D"/>
    <w:rsid w:val="003458F6"/>
    <w:rsid w:val="003523AB"/>
    <w:rsid w:val="00353265"/>
    <w:rsid w:val="00353FA8"/>
    <w:rsid w:val="00354725"/>
    <w:rsid w:val="003572FF"/>
    <w:rsid w:val="003618E5"/>
    <w:rsid w:val="00361A40"/>
    <w:rsid w:val="00364A70"/>
    <w:rsid w:val="00367BCD"/>
    <w:rsid w:val="0037787C"/>
    <w:rsid w:val="00377E08"/>
    <w:rsid w:val="00382F80"/>
    <w:rsid w:val="00386267"/>
    <w:rsid w:val="0039129A"/>
    <w:rsid w:val="00396FBE"/>
    <w:rsid w:val="00397D64"/>
    <w:rsid w:val="003A155F"/>
    <w:rsid w:val="003A4BB1"/>
    <w:rsid w:val="003A5DD6"/>
    <w:rsid w:val="003B42DB"/>
    <w:rsid w:val="003B62B4"/>
    <w:rsid w:val="003B7B39"/>
    <w:rsid w:val="003C14E5"/>
    <w:rsid w:val="003C3C1E"/>
    <w:rsid w:val="003C5862"/>
    <w:rsid w:val="003C5E3B"/>
    <w:rsid w:val="003C74E4"/>
    <w:rsid w:val="003D083E"/>
    <w:rsid w:val="003D1468"/>
    <w:rsid w:val="003D1736"/>
    <w:rsid w:val="003D3B60"/>
    <w:rsid w:val="003D48BC"/>
    <w:rsid w:val="003E2468"/>
    <w:rsid w:val="003E3AA2"/>
    <w:rsid w:val="003E479E"/>
    <w:rsid w:val="003E4CE1"/>
    <w:rsid w:val="003E4F75"/>
    <w:rsid w:val="003F0AFB"/>
    <w:rsid w:val="003F19A3"/>
    <w:rsid w:val="003F6AE1"/>
    <w:rsid w:val="004010F0"/>
    <w:rsid w:val="0040137E"/>
    <w:rsid w:val="004034CE"/>
    <w:rsid w:val="00405616"/>
    <w:rsid w:val="00405AE3"/>
    <w:rsid w:val="00405E8A"/>
    <w:rsid w:val="004103DF"/>
    <w:rsid w:val="004109AE"/>
    <w:rsid w:val="0041216A"/>
    <w:rsid w:val="004168B2"/>
    <w:rsid w:val="004203C1"/>
    <w:rsid w:val="00421FD5"/>
    <w:rsid w:val="0042317A"/>
    <w:rsid w:val="00426D2A"/>
    <w:rsid w:val="004357A1"/>
    <w:rsid w:val="0044684F"/>
    <w:rsid w:val="00447DBC"/>
    <w:rsid w:val="00450CBB"/>
    <w:rsid w:val="00453B1D"/>
    <w:rsid w:val="00454F66"/>
    <w:rsid w:val="0045507C"/>
    <w:rsid w:val="004572A7"/>
    <w:rsid w:val="00460E75"/>
    <w:rsid w:val="00464EA7"/>
    <w:rsid w:val="004720FB"/>
    <w:rsid w:val="004721A1"/>
    <w:rsid w:val="00473A67"/>
    <w:rsid w:val="0047580E"/>
    <w:rsid w:val="004831E5"/>
    <w:rsid w:val="004935BC"/>
    <w:rsid w:val="004A1E62"/>
    <w:rsid w:val="004A2AE2"/>
    <w:rsid w:val="004A5922"/>
    <w:rsid w:val="004B3FFD"/>
    <w:rsid w:val="004B47DB"/>
    <w:rsid w:val="004B7097"/>
    <w:rsid w:val="004C1EAE"/>
    <w:rsid w:val="004C1FBC"/>
    <w:rsid w:val="004C541B"/>
    <w:rsid w:val="004C5FFE"/>
    <w:rsid w:val="004D3058"/>
    <w:rsid w:val="004D3A98"/>
    <w:rsid w:val="004D3DEB"/>
    <w:rsid w:val="004E0B51"/>
    <w:rsid w:val="004E16B0"/>
    <w:rsid w:val="004E1DDD"/>
    <w:rsid w:val="004E43C7"/>
    <w:rsid w:val="004E690E"/>
    <w:rsid w:val="004F2694"/>
    <w:rsid w:val="004F6ECD"/>
    <w:rsid w:val="004F746F"/>
    <w:rsid w:val="004F76C4"/>
    <w:rsid w:val="00504920"/>
    <w:rsid w:val="00504D96"/>
    <w:rsid w:val="0050583D"/>
    <w:rsid w:val="005130F1"/>
    <w:rsid w:val="0052216F"/>
    <w:rsid w:val="005235A4"/>
    <w:rsid w:val="00525886"/>
    <w:rsid w:val="00525E18"/>
    <w:rsid w:val="005273C7"/>
    <w:rsid w:val="0052769C"/>
    <w:rsid w:val="00532D99"/>
    <w:rsid w:val="00534CC7"/>
    <w:rsid w:val="00536932"/>
    <w:rsid w:val="00537B45"/>
    <w:rsid w:val="00544D28"/>
    <w:rsid w:val="00545320"/>
    <w:rsid w:val="005505C5"/>
    <w:rsid w:val="00551010"/>
    <w:rsid w:val="0055117D"/>
    <w:rsid w:val="00553048"/>
    <w:rsid w:val="00554CBB"/>
    <w:rsid w:val="00555507"/>
    <w:rsid w:val="0055625B"/>
    <w:rsid w:val="00560BF7"/>
    <w:rsid w:val="00562858"/>
    <w:rsid w:val="00565686"/>
    <w:rsid w:val="00565DDE"/>
    <w:rsid w:val="0056663B"/>
    <w:rsid w:val="00567068"/>
    <w:rsid w:val="00573CFC"/>
    <w:rsid w:val="00574CC3"/>
    <w:rsid w:val="00575E0F"/>
    <w:rsid w:val="005817DC"/>
    <w:rsid w:val="00581C62"/>
    <w:rsid w:val="00587384"/>
    <w:rsid w:val="005878F6"/>
    <w:rsid w:val="005921E3"/>
    <w:rsid w:val="005921F9"/>
    <w:rsid w:val="00592A57"/>
    <w:rsid w:val="005A4552"/>
    <w:rsid w:val="005B1D1B"/>
    <w:rsid w:val="005B424A"/>
    <w:rsid w:val="005D234F"/>
    <w:rsid w:val="005D4299"/>
    <w:rsid w:val="005D5939"/>
    <w:rsid w:val="005D59E9"/>
    <w:rsid w:val="005D7007"/>
    <w:rsid w:val="005E2D81"/>
    <w:rsid w:val="005E31DC"/>
    <w:rsid w:val="005E3F4C"/>
    <w:rsid w:val="005E4964"/>
    <w:rsid w:val="005E5BDE"/>
    <w:rsid w:val="005E5E5F"/>
    <w:rsid w:val="005E7D1D"/>
    <w:rsid w:val="005F3ACD"/>
    <w:rsid w:val="005F5DA2"/>
    <w:rsid w:val="0060483F"/>
    <w:rsid w:val="006054D2"/>
    <w:rsid w:val="00610424"/>
    <w:rsid w:val="0061256D"/>
    <w:rsid w:val="006128E5"/>
    <w:rsid w:val="006203D3"/>
    <w:rsid w:val="006236BF"/>
    <w:rsid w:val="00625D63"/>
    <w:rsid w:val="006276B6"/>
    <w:rsid w:val="00631AE7"/>
    <w:rsid w:val="00632EBF"/>
    <w:rsid w:val="00634576"/>
    <w:rsid w:val="00636793"/>
    <w:rsid w:val="0063739E"/>
    <w:rsid w:val="00642214"/>
    <w:rsid w:val="006441F8"/>
    <w:rsid w:val="00644D12"/>
    <w:rsid w:val="00647517"/>
    <w:rsid w:val="00652D68"/>
    <w:rsid w:val="00653F99"/>
    <w:rsid w:val="0065421C"/>
    <w:rsid w:val="00655AAB"/>
    <w:rsid w:val="00657073"/>
    <w:rsid w:val="00657D5C"/>
    <w:rsid w:val="00660D11"/>
    <w:rsid w:val="006651DB"/>
    <w:rsid w:val="00673218"/>
    <w:rsid w:val="00674D94"/>
    <w:rsid w:val="00677367"/>
    <w:rsid w:val="00691899"/>
    <w:rsid w:val="00696FAE"/>
    <w:rsid w:val="006A0C24"/>
    <w:rsid w:val="006A1486"/>
    <w:rsid w:val="006A2003"/>
    <w:rsid w:val="006A37CD"/>
    <w:rsid w:val="006A585A"/>
    <w:rsid w:val="006A5CAE"/>
    <w:rsid w:val="006A6D58"/>
    <w:rsid w:val="006B6D19"/>
    <w:rsid w:val="006C312B"/>
    <w:rsid w:val="006C7816"/>
    <w:rsid w:val="006D372A"/>
    <w:rsid w:val="006D6E57"/>
    <w:rsid w:val="006E22DF"/>
    <w:rsid w:val="006F1419"/>
    <w:rsid w:val="006F2CD9"/>
    <w:rsid w:val="00700C33"/>
    <w:rsid w:val="007047B2"/>
    <w:rsid w:val="00712117"/>
    <w:rsid w:val="0071274B"/>
    <w:rsid w:val="00713657"/>
    <w:rsid w:val="00716FF1"/>
    <w:rsid w:val="007174B8"/>
    <w:rsid w:val="00717E5D"/>
    <w:rsid w:val="00720055"/>
    <w:rsid w:val="00721195"/>
    <w:rsid w:val="00722103"/>
    <w:rsid w:val="00722DDD"/>
    <w:rsid w:val="0072381F"/>
    <w:rsid w:val="00723D0D"/>
    <w:rsid w:val="007250DF"/>
    <w:rsid w:val="00725F43"/>
    <w:rsid w:val="00733F17"/>
    <w:rsid w:val="00737983"/>
    <w:rsid w:val="007402F9"/>
    <w:rsid w:val="00740A58"/>
    <w:rsid w:val="00756BC0"/>
    <w:rsid w:val="0075739A"/>
    <w:rsid w:val="00757644"/>
    <w:rsid w:val="00763477"/>
    <w:rsid w:val="007650D7"/>
    <w:rsid w:val="00765DD6"/>
    <w:rsid w:val="00771B7C"/>
    <w:rsid w:val="007826F4"/>
    <w:rsid w:val="0078435B"/>
    <w:rsid w:val="00790618"/>
    <w:rsid w:val="0079395B"/>
    <w:rsid w:val="007948DE"/>
    <w:rsid w:val="007A1365"/>
    <w:rsid w:val="007A3840"/>
    <w:rsid w:val="007A45FF"/>
    <w:rsid w:val="007A7863"/>
    <w:rsid w:val="007A7C2F"/>
    <w:rsid w:val="007B0C69"/>
    <w:rsid w:val="007B23D2"/>
    <w:rsid w:val="007B23D7"/>
    <w:rsid w:val="007B3108"/>
    <w:rsid w:val="007B605D"/>
    <w:rsid w:val="007B6883"/>
    <w:rsid w:val="007B7CA0"/>
    <w:rsid w:val="007C441A"/>
    <w:rsid w:val="007C5217"/>
    <w:rsid w:val="007D1D11"/>
    <w:rsid w:val="007D313F"/>
    <w:rsid w:val="007D5C8A"/>
    <w:rsid w:val="007E0F2B"/>
    <w:rsid w:val="007E45A6"/>
    <w:rsid w:val="007E7A73"/>
    <w:rsid w:val="007F006C"/>
    <w:rsid w:val="007F1DCC"/>
    <w:rsid w:val="007F43E1"/>
    <w:rsid w:val="007F74BA"/>
    <w:rsid w:val="00802726"/>
    <w:rsid w:val="00805F04"/>
    <w:rsid w:val="008069C9"/>
    <w:rsid w:val="0081025A"/>
    <w:rsid w:val="008176BC"/>
    <w:rsid w:val="00817A1A"/>
    <w:rsid w:val="00820DE2"/>
    <w:rsid w:val="00827BBA"/>
    <w:rsid w:val="008362E8"/>
    <w:rsid w:val="00841873"/>
    <w:rsid w:val="00842365"/>
    <w:rsid w:val="008430FE"/>
    <w:rsid w:val="00846041"/>
    <w:rsid w:val="00852284"/>
    <w:rsid w:val="00860D96"/>
    <w:rsid w:val="00862583"/>
    <w:rsid w:val="00863BF0"/>
    <w:rsid w:val="00866AC1"/>
    <w:rsid w:val="00866DB4"/>
    <w:rsid w:val="00871286"/>
    <w:rsid w:val="008713D2"/>
    <w:rsid w:val="00871CF1"/>
    <w:rsid w:val="00876B06"/>
    <w:rsid w:val="0088152F"/>
    <w:rsid w:val="00882D39"/>
    <w:rsid w:val="00894474"/>
    <w:rsid w:val="0089568F"/>
    <w:rsid w:val="0089741B"/>
    <w:rsid w:val="008A029D"/>
    <w:rsid w:val="008A1A90"/>
    <w:rsid w:val="008B13BD"/>
    <w:rsid w:val="008B3E9D"/>
    <w:rsid w:val="008B5CDA"/>
    <w:rsid w:val="008C0A32"/>
    <w:rsid w:val="008C38EB"/>
    <w:rsid w:val="008C5012"/>
    <w:rsid w:val="008C733A"/>
    <w:rsid w:val="008D00C2"/>
    <w:rsid w:val="008D5193"/>
    <w:rsid w:val="008D619D"/>
    <w:rsid w:val="008E014C"/>
    <w:rsid w:val="008E1ACF"/>
    <w:rsid w:val="008E33EC"/>
    <w:rsid w:val="008E5ACF"/>
    <w:rsid w:val="008F095A"/>
    <w:rsid w:val="008F6016"/>
    <w:rsid w:val="00910F0C"/>
    <w:rsid w:val="009217B6"/>
    <w:rsid w:val="00922711"/>
    <w:rsid w:val="0092634B"/>
    <w:rsid w:val="00931935"/>
    <w:rsid w:val="00936EB4"/>
    <w:rsid w:val="00937FDD"/>
    <w:rsid w:val="0094552A"/>
    <w:rsid w:val="009471D1"/>
    <w:rsid w:val="00952BA8"/>
    <w:rsid w:val="00952DD3"/>
    <w:rsid w:val="0095313A"/>
    <w:rsid w:val="00953D09"/>
    <w:rsid w:val="00956539"/>
    <w:rsid w:val="00957370"/>
    <w:rsid w:val="009579EA"/>
    <w:rsid w:val="0096184B"/>
    <w:rsid w:val="00965674"/>
    <w:rsid w:val="00974C64"/>
    <w:rsid w:val="009755A2"/>
    <w:rsid w:val="00976CA6"/>
    <w:rsid w:val="00977770"/>
    <w:rsid w:val="009840AE"/>
    <w:rsid w:val="009841B3"/>
    <w:rsid w:val="0098473E"/>
    <w:rsid w:val="00990A55"/>
    <w:rsid w:val="0099422C"/>
    <w:rsid w:val="009960F0"/>
    <w:rsid w:val="00996BFC"/>
    <w:rsid w:val="009A1142"/>
    <w:rsid w:val="009A47D1"/>
    <w:rsid w:val="009A6491"/>
    <w:rsid w:val="009A6CB9"/>
    <w:rsid w:val="009B0D27"/>
    <w:rsid w:val="009B1107"/>
    <w:rsid w:val="009B510A"/>
    <w:rsid w:val="009B7325"/>
    <w:rsid w:val="009C25B8"/>
    <w:rsid w:val="009C31D5"/>
    <w:rsid w:val="009C498F"/>
    <w:rsid w:val="009C6EB5"/>
    <w:rsid w:val="009D5F39"/>
    <w:rsid w:val="009D6C5E"/>
    <w:rsid w:val="009D6DA3"/>
    <w:rsid w:val="009E0C0F"/>
    <w:rsid w:val="009E42AB"/>
    <w:rsid w:val="009E670C"/>
    <w:rsid w:val="009F3185"/>
    <w:rsid w:val="009F3974"/>
    <w:rsid w:val="009F6C0D"/>
    <w:rsid w:val="00A04CC7"/>
    <w:rsid w:val="00A063F5"/>
    <w:rsid w:val="00A120B6"/>
    <w:rsid w:val="00A17571"/>
    <w:rsid w:val="00A230B6"/>
    <w:rsid w:val="00A23AED"/>
    <w:rsid w:val="00A276C8"/>
    <w:rsid w:val="00A324D0"/>
    <w:rsid w:val="00A35E69"/>
    <w:rsid w:val="00A37DB4"/>
    <w:rsid w:val="00A37E04"/>
    <w:rsid w:val="00A41C81"/>
    <w:rsid w:val="00A41EBA"/>
    <w:rsid w:val="00A45AD4"/>
    <w:rsid w:val="00A51543"/>
    <w:rsid w:val="00A540D3"/>
    <w:rsid w:val="00A57446"/>
    <w:rsid w:val="00A609D9"/>
    <w:rsid w:val="00A62978"/>
    <w:rsid w:val="00A63A7D"/>
    <w:rsid w:val="00A664D5"/>
    <w:rsid w:val="00A67968"/>
    <w:rsid w:val="00A70728"/>
    <w:rsid w:val="00A7129B"/>
    <w:rsid w:val="00A719E0"/>
    <w:rsid w:val="00A76217"/>
    <w:rsid w:val="00A812DF"/>
    <w:rsid w:val="00A81E63"/>
    <w:rsid w:val="00A879D5"/>
    <w:rsid w:val="00A906FF"/>
    <w:rsid w:val="00A9195A"/>
    <w:rsid w:val="00A91B07"/>
    <w:rsid w:val="00A91EB4"/>
    <w:rsid w:val="00A95161"/>
    <w:rsid w:val="00A95BEE"/>
    <w:rsid w:val="00A96459"/>
    <w:rsid w:val="00AA349C"/>
    <w:rsid w:val="00AB2502"/>
    <w:rsid w:val="00AC034D"/>
    <w:rsid w:val="00AC1CBF"/>
    <w:rsid w:val="00AD2C77"/>
    <w:rsid w:val="00AD4D66"/>
    <w:rsid w:val="00AE565C"/>
    <w:rsid w:val="00AE7AF8"/>
    <w:rsid w:val="00AF1F01"/>
    <w:rsid w:val="00AF20C5"/>
    <w:rsid w:val="00AF30DA"/>
    <w:rsid w:val="00AF7F33"/>
    <w:rsid w:val="00B03BA4"/>
    <w:rsid w:val="00B04B0C"/>
    <w:rsid w:val="00B10A13"/>
    <w:rsid w:val="00B13386"/>
    <w:rsid w:val="00B15C16"/>
    <w:rsid w:val="00B202FB"/>
    <w:rsid w:val="00B205AB"/>
    <w:rsid w:val="00B26E37"/>
    <w:rsid w:val="00B3218A"/>
    <w:rsid w:val="00B45745"/>
    <w:rsid w:val="00B47870"/>
    <w:rsid w:val="00B47FB2"/>
    <w:rsid w:val="00B52174"/>
    <w:rsid w:val="00B53754"/>
    <w:rsid w:val="00B57825"/>
    <w:rsid w:val="00B6158C"/>
    <w:rsid w:val="00B672A1"/>
    <w:rsid w:val="00B700D0"/>
    <w:rsid w:val="00B743A1"/>
    <w:rsid w:val="00B7517F"/>
    <w:rsid w:val="00B76289"/>
    <w:rsid w:val="00B80B32"/>
    <w:rsid w:val="00B81051"/>
    <w:rsid w:val="00B84E1C"/>
    <w:rsid w:val="00B85417"/>
    <w:rsid w:val="00B864D5"/>
    <w:rsid w:val="00B91084"/>
    <w:rsid w:val="00B91B75"/>
    <w:rsid w:val="00B97B13"/>
    <w:rsid w:val="00BA2F34"/>
    <w:rsid w:val="00BA38B2"/>
    <w:rsid w:val="00BA618E"/>
    <w:rsid w:val="00BB4273"/>
    <w:rsid w:val="00BB5D5B"/>
    <w:rsid w:val="00BB5E20"/>
    <w:rsid w:val="00BB7135"/>
    <w:rsid w:val="00BB7F4B"/>
    <w:rsid w:val="00BC05FD"/>
    <w:rsid w:val="00BC13C1"/>
    <w:rsid w:val="00BD3801"/>
    <w:rsid w:val="00BD411F"/>
    <w:rsid w:val="00BD4C13"/>
    <w:rsid w:val="00BD5BBB"/>
    <w:rsid w:val="00BD63E9"/>
    <w:rsid w:val="00BE6F93"/>
    <w:rsid w:val="00BF2FFD"/>
    <w:rsid w:val="00BF3524"/>
    <w:rsid w:val="00BF4937"/>
    <w:rsid w:val="00C01598"/>
    <w:rsid w:val="00C024C0"/>
    <w:rsid w:val="00C02B5C"/>
    <w:rsid w:val="00C03F5F"/>
    <w:rsid w:val="00C06B47"/>
    <w:rsid w:val="00C072A8"/>
    <w:rsid w:val="00C0752E"/>
    <w:rsid w:val="00C10947"/>
    <w:rsid w:val="00C14386"/>
    <w:rsid w:val="00C169E2"/>
    <w:rsid w:val="00C22CA7"/>
    <w:rsid w:val="00C247E3"/>
    <w:rsid w:val="00C26AF6"/>
    <w:rsid w:val="00C26B39"/>
    <w:rsid w:val="00C26D8D"/>
    <w:rsid w:val="00C273DA"/>
    <w:rsid w:val="00C30F58"/>
    <w:rsid w:val="00C31BAA"/>
    <w:rsid w:val="00C32C54"/>
    <w:rsid w:val="00C33419"/>
    <w:rsid w:val="00C35002"/>
    <w:rsid w:val="00C36A8F"/>
    <w:rsid w:val="00C402F2"/>
    <w:rsid w:val="00C4743F"/>
    <w:rsid w:val="00C53A84"/>
    <w:rsid w:val="00C57600"/>
    <w:rsid w:val="00C707CA"/>
    <w:rsid w:val="00C70EB5"/>
    <w:rsid w:val="00C76379"/>
    <w:rsid w:val="00C8144C"/>
    <w:rsid w:val="00C81720"/>
    <w:rsid w:val="00C8229D"/>
    <w:rsid w:val="00C847A7"/>
    <w:rsid w:val="00C947CC"/>
    <w:rsid w:val="00CA18AE"/>
    <w:rsid w:val="00CA223B"/>
    <w:rsid w:val="00CA56E1"/>
    <w:rsid w:val="00CB5F76"/>
    <w:rsid w:val="00CB7100"/>
    <w:rsid w:val="00CC0E14"/>
    <w:rsid w:val="00CC699C"/>
    <w:rsid w:val="00CC6CB4"/>
    <w:rsid w:val="00CD02DA"/>
    <w:rsid w:val="00CE140C"/>
    <w:rsid w:val="00CE2FCA"/>
    <w:rsid w:val="00CE7467"/>
    <w:rsid w:val="00CF0EAE"/>
    <w:rsid w:val="00CF2C60"/>
    <w:rsid w:val="00CF739F"/>
    <w:rsid w:val="00CF7CA1"/>
    <w:rsid w:val="00D035D7"/>
    <w:rsid w:val="00D10724"/>
    <w:rsid w:val="00D118D4"/>
    <w:rsid w:val="00D14B4B"/>
    <w:rsid w:val="00D14DC8"/>
    <w:rsid w:val="00D171AC"/>
    <w:rsid w:val="00D17C05"/>
    <w:rsid w:val="00D21AFE"/>
    <w:rsid w:val="00D24FEC"/>
    <w:rsid w:val="00D25B70"/>
    <w:rsid w:val="00D3140B"/>
    <w:rsid w:val="00D32EBE"/>
    <w:rsid w:val="00D331F7"/>
    <w:rsid w:val="00D414CE"/>
    <w:rsid w:val="00D446C5"/>
    <w:rsid w:val="00D473A5"/>
    <w:rsid w:val="00D50424"/>
    <w:rsid w:val="00D57C13"/>
    <w:rsid w:val="00D607B9"/>
    <w:rsid w:val="00D618DB"/>
    <w:rsid w:val="00D64076"/>
    <w:rsid w:val="00D75CB7"/>
    <w:rsid w:val="00D90EBC"/>
    <w:rsid w:val="00D914B7"/>
    <w:rsid w:val="00D94861"/>
    <w:rsid w:val="00D96357"/>
    <w:rsid w:val="00DA1E5F"/>
    <w:rsid w:val="00DA3C18"/>
    <w:rsid w:val="00DA4A75"/>
    <w:rsid w:val="00DB1FFE"/>
    <w:rsid w:val="00DB3A6F"/>
    <w:rsid w:val="00DB48CD"/>
    <w:rsid w:val="00DB51CB"/>
    <w:rsid w:val="00DC3568"/>
    <w:rsid w:val="00DC3A8D"/>
    <w:rsid w:val="00DC65E2"/>
    <w:rsid w:val="00DD03D5"/>
    <w:rsid w:val="00DD0868"/>
    <w:rsid w:val="00DD0AD9"/>
    <w:rsid w:val="00DD1DFC"/>
    <w:rsid w:val="00DD2DB3"/>
    <w:rsid w:val="00DD32FD"/>
    <w:rsid w:val="00DE19F7"/>
    <w:rsid w:val="00DE537F"/>
    <w:rsid w:val="00DF0256"/>
    <w:rsid w:val="00DF0D5B"/>
    <w:rsid w:val="00DF5951"/>
    <w:rsid w:val="00DF65B8"/>
    <w:rsid w:val="00E00832"/>
    <w:rsid w:val="00E01990"/>
    <w:rsid w:val="00E07477"/>
    <w:rsid w:val="00E10126"/>
    <w:rsid w:val="00E12810"/>
    <w:rsid w:val="00E12B1B"/>
    <w:rsid w:val="00E14537"/>
    <w:rsid w:val="00E21F0A"/>
    <w:rsid w:val="00E2692D"/>
    <w:rsid w:val="00E27604"/>
    <w:rsid w:val="00E32097"/>
    <w:rsid w:val="00E32FA9"/>
    <w:rsid w:val="00E32FF9"/>
    <w:rsid w:val="00E336ED"/>
    <w:rsid w:val="00E33E09"/>
    <w:rsid w:val="00E341C5"/>
    <w:rsid w:val="00E349CB"/>
    <w:rsid w:val="00E43069"/>
    <w:rsid w:val="00E52901"/>
    <w:rsid w:val="00E57B73"/>
    <w:rsid w:val="00E57E89"/>
    <w:rsid w:val="00E61BB1"/>
    <w:rsid w:val="00E62C92"/>
    <w:rsid w:val="00E67314"/>
    <w:rsid w:val="00E73613"/>
    <w:rsid w:val="00E73733"/>
    <w:rsid w:val="00E74220"/>
    <w:rsid w:val="00E7584F"/>
    <w:rsid w:val="00E83126"/>
    <w:rsid w:val="00E83B0B"/>
    <w:rsid w:val="00E917F5"/>
    <w:rsid w:val="00E9308D"/>
    <w:rsid w:val="00E93CB3"/>
    <w:rsid w:val="00E94489"/>
    <w:rsid w:val="00E959D5"/>
    <w:rsid w:val="00E9761F"/>
    <w:rsid w:val="00EA7A7E"/>
    <w:rsid w:val="00EB319C"/>
    <w:rsid w:val="00EB5CAA"/>
    <w:rsid w:val="00EB68DF"/>
    <w:rsid w:val="00EB7C99"/>
    <w:rsid w:val="00EC0755"/>
    <w:rsid w:val="00EC2076"/>
    <w:rsid w:val="00EC2AEF"/>
    <w:rsid w:val="00EC30B3"/>
    <w:rsid w:val="00EC452E"/>
    <w:rsid w:val="00EC56AA"/>
    <w:rsid w:val="00ED2E69"/>
    <w:rsid w:val="00ED7F61"/>
    <w:rsid w:val="00EE78D3"/>
    <w:rsid w:val="00EF0CB4"/>
    <w:rsid w:val="00EF5FDE"/>
    <w:rsid w:val="00EF71DD"/>
    <w:rsid w:val="00EF74A8"/>
    <w:rsid w:val="00F017AB"/>
    <w:rsid w:val="00F05705"/>
    <w:rsid w:val="00F123E3"/>
    <w:rsid w:val="00F12A1C"/>
    <w:rsid w:val="00F12BC6"/>
    <w:rsid w:val="00F22877"/>
    <w:rsid w:val="00F25718"/>
    <w:rsid w:val="00F26016"/>
    <w:rsid w:val="00F260CD"/>
    <w:rsid w:val="00F2721F"/>
    <w:rsid w:val="00F27F6F"/>
    <w:rsid w:val="00F30C3A"/>
    <w:rsid w:val="00F3227C"/>
    <w:rsid w:val="00F41A01"/>
    <w:rsid w:val="00F41F0F"/>
    <w:rsid w:val="00F44F68"/>
    <w:rsid w:val="00F5774A"/>
    <w:rsid w:val="00F57BBE"/>
    <w:rsid w:val="00F603CA"/>
    <w:rsid w:val="00F653BB"/>
    <w:rsid w:val="00F67616"/>
    <w:rsid w:val="00F704BC"/>
    <w:rsid w:val="00F70832"/>
    <w:rsid w:val="00F76AC3"/>
    <w:rsid w:val="00F83F7E"/>
    <w:rsid w:val="00F879EF"/>
    <w:rsid w:val="00F902A2"/>
    <w:rsid w:val="00F9509F"/>
    <w:rsid w:val="00F963EE"/>
    <w:rsid w:val="00F96FC7"/>
    <w:rsid w:val="00F9787D"/>
    <w:rsid w:val="00FA1A60"/>
    <w:rsid w:val="00FA3CD6"/>
    <w:rsid w:val="00FA509F"/>
    <w:rsid w:val="00FA54CD"/>
    <w:rsid w:val="00FB115D"/>
    <w:rsid w:val="00FB3F58"/>
    <w:rsid w:val="00FB40AF"/>
    <w:rsid w:val="00FB5958"/>
    <w:rsid w:val="00FB6A89"/>
    <w:rsid w:val="00FC1517"/>
    <w:rsid w:val="00FC4BEF"/>
    <w:rsid w:val="00FC5614"/>
    <w:rsid w:val="00FC5D90"/>
    <w:rsid w:val="00FC7A00"/>
    <w:rsid w:val="00FD1B9B"/>
    <w:rsid w:val="00FD24C2"/>
    <w:rsid w:val="00FD5CF5"/>
    <w:rsid w:val="00FD6320"/>
    <w:rsid w:val="00FE3AFD"/>
    <w:rsid w:val="00FE6564"/>
    <w:rsid w:val="00FE725A"/>
    <w:rsid w:val="00FF0A2E"/>
    <w:rsid w:val="00FF6906"/>
    <w:rsid w:val="316F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FC6B7"/>
  <w15:docId w15:val="{FB0F8802-C43E-4AC2-906B-50DDBCDB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qFormat/>
    <w:pPr>
      <w:spacing w:after="0" w:line="240" w:lineRule="auto"/>
    </w:pPr>
    <w:rPr>
      <w:rFonts w:eastAsiaTheme="minorHAnsi" w:cstheme="minorBidi"/>
      <w:szCs w:val="21"/>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rFonts w:cs="Times New Roman"/>
      <w:color w:val="0000FF" w:themeColor="hyperlink"/>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basedOn w:val="Normal"/>
    <w:qFormat/>
    <w:pPr>
      <w:autoSpaceDE w:val="0"/>
      <w:autoSpaceDN w:val="0"/>
      <w:spacing w:after="0" w:line="240" w:lineRule="auto"/>
    </w:pPr>
    <w:rPr>
      <w:rFonts w:ascii="Arial" w:eastAsiaTheme="minorHAnsi" w:hAnsi="Arial" w:cs="Arial"/>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link w:val="PlainText"/>
    <w:uiPriority w:val="99"/>
    <w:rPr>
      <w:rFonts w:eastAsiaTheme="minorHAnsi" w:cstheme="minorBidi"/>
      <w:szCs w:val="21"/>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semiHidden/>
    <w:unhideWhenUsed/>
    <w:rsid w:val="001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153B59"/>
    <w:rPr>
      <w:rFonts w:ascii="Courier New" w:eastAsia="Times New Roman" w:hAnsi="Courier New" w:cs="Courier New"/>
    </w:rPr>
  </w:style>
  <w:style w:type="character" w:styleId="UnresolvedMention">
    <w:name w:val="Unresolved Mention"/>
    <w:basedOn w:val="DefaultParagraphFont"/>
    <w:uiPriority w:val="99"/>
    <w:semiHidden/>
    <w:unhideWhenUsed/>
    <w:rsid w:val="001D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684">
      <w:bodyDiv w:val="1"/>
      <w:marLeft w:val="0"/>
      <w:marRight w:val="0"/>
      <w:marTop w:val="0"/>
      <w:marBottom w:val="0"/>
      <w:divBdr>
        <w:top w:val="none" w:sz="0" w:space="0" w:color="auto"/>
        <w:left w:val="none" w:sz="0" w:space="0" w:color="auto"/>
        <w:bottom w:val="none" w:sz="0" w:space="0" w:color="auto"/>
        <w:right w:val="none" w:sz="0" w:space="0" w:color="auto"/>
      </w:divBdr>
    </w:div>
    <w:div w:id="141773128">
      <w:bodyDiv w:val="1"/>
      <w:marLeft w:val="0"/>
      <w:marRight w:val="0"/>
      <w:marTop w:val="0"/>
      <w:marBottom w:val="0"/>
      <w:divBdr>
        <w:top w:val="none" w:sz="0" w:space="0" w:color="auto"/>
        <w:left w:val="none" w:sz="0" w:space="0" w:color="auto"/>
        <w:bottom w:val="none" w:sz="0" w:space="0" w:color="auto"/>
        <w:right w:val="none" w:sz="0" w:space="0" w:color="auto"/>
      </w:divBdr>
    </w:div>
    <w:div w:id="176309329">
      <w:bodyDiv w:val="1"/>
      <w:marLeft w:val="0"/>
      <w:marRight w:val="0"/>
      <w:marTop w:val="0"/>
      <w:marBottom w:val="0"/>
      <w:divBdr>
        <w:top w:val="none" w:sz="0" w:space="0" w:color="auto"/>
        <w:left w:val="none" w:sz="0" w:space="0" w:color="auto"/>
        <w:bottom w:val="none" w:sz="0" w:space="0" w:color="auto"/>
        <w:right w:val="none" w:sz="0" w:space="0" w:color="auto"/>
      </w:divBdr>
    </w:div>
    <w:div w:id="100362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illionenerg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illionenergy.com" TargetMode="External"/><Relationship Id="rId4" Type="http://schemas.openxmlformats.org/officeDocument/2006/relationships/settings" Target="settings.xml"/><Relationship Id="rId9" Type="http://schemas.openxmlformats.org/officeDocument/2006/relationships/hyperlink" Target="http://www.trillio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B9F1EB-42E7-4824-8462-F6BDCF1701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Park Place News Release Preliminary Prospectus and Appointment of B. Wood (W0371522).DOCX</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Place News Release Preliminary Prospectus and Appointment of B. Wood (W0371522).DOCX</dc:title>
  <dc:subject>W0371522/Font=8</dc:subject>
  <dc:creator>Scott Larsen</dc:creator>
  <cp:lastModifiedBy>scott lower</cp:lastModifiedBy>
  <cp:revision>3</cp:revision>
  <cp:lastPrinted>2020-02-11T18:49:00Z</cp:lastPrinted>
  <dcterms:created xsi:type="dcterms:W3CDTF">2021-06-28T20:10:00Z</dcterms:created>
  <dcterms:modified xsi:type="dcterms:W3CDTF">2021-06-28T23:23:00Z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