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66A5" w14:textId="77777777" w:rsidR="00D452BD" w:rsidRPr="00D452BD" w:rsidRDefault="00D452BD" w:rsidP="00D452BD">
      <w:pPr>
        <w:jc w:val="center"/>
        <w:rPr>
          <w:rFonts w:cstheme="minorHAnsi"/>
          <w:b/>
          <w:sz w:val="24"/>
          <w:szCs w:val="24"/>
        </w:rPr>
      </w:pPr>
      <w:r w:rsidRPr="00D452BD">
        <w:rPr>
          <w:rFonts w:cstheme="minorHAnsi"/>
          <w:b/>
          <w:bCs/>
          <w:sz w:val="24"/>
          <w:szCs w:val="24"/>
          <w:lang w:val="en-CA"/>
        </w:rPr>
        <w:t>NEWS RELEASE</w:t>
      </w:r>
    </w:p>
    <w:p w14:paraId="12F7D41B" w14:textId="31B084CA" w:rsidR="00C27245" w:rsidRPr="0075319E" w:rsidRDefault="00C27245" w:rsidP="0075319E">
      <w:pPr>
        <w:jc w:val="center"/>
        <w:rPr>
          <w:rFonts w:cstheme="minorHAnsi"/>
          <w:b/>
          <w:color w:val="000000" w:themeColor="text1"/>
          <w:sz w:val="28"/>
          <w:szCs w:val="28"/>
        </w:rPr>
      </w:pPr>
      <w:r w:rsidRPr="0075319E">
        <w:rPr>
          <w:rFonts w:cstheme="minorHAnsi"/>
          <w:b/>
          <w:color w:val="000000" w:themeColor="text1"/>
          <w:sz w:val="28"/>
          <w:szCs w:val="28"/>
        </w:rPr>
        <w:t xml:space="preserve">New Tech Minerals </w:t>
      </w:r>
      <w:r w:rsidR="006C5350" w:rsidRPr="0075319E">
        <w:rPr>
          <w:rFonts w:cstheme="minorHAnsi"/>
          <w:b/>
          <w:color w:val="000000" w:themeColor="text1"/>
          <w:sz w:val="28"/>
          <w:szCs w:val="28"/>
        </w:rPr>
        <w:t>Announces Non-Brokered Private Placement</w:t>
      </w:r>
    </w:p>
    <w:p w14:paraId="0BBB5FF9" w14:textId="7DBCCAAA" w:rsidR="00A35AF8" w:rsidRDefault="003D2E0E" w:rsidP="006C5350">
      <w:pPr>
        <w:jc w:val="both"/>
        <w:rPr>
          <w:rFonts w:eastAsia="Times New Roman" w:cstheme="minorHAnsi"/>
          <w:lang w:val="en-CA"/>
        </w:rPr>
      </w:pPr>
      <w:r w:rsidRPr="0075319E">
        <w:rPr>
          <w:rFonts w:cstheme="minorHAnsi"/>
          <w:color w:val="000000" w:themeColor="text1"/>
        </w:rPr>
        <w:t>Vancouver, B</w:t>
      </w:r>
      <w:r w:rsidRPr="000C6776">
        <w:rPr>
          <w:rFonts w:cstheme="minorHAnsi"/>
          <w:color w:val="000000" w:themeColor="text1"/>
        </w:rPr>
        <w:t xml:space="preserve">.C., </w:t>
      </w:r>
      <w:r w:rsidR="00A35AF8">
        <w:rPr>
          <w:rFonts w:cstheme="minorHAnsi"/>
          <w:color w:val="000000" w:themeColor="text1"/>
        </w:rPr>
        <w:t xml:space="preserve">August </w:t>
      </w:r>
      <w:r w:rsidR="00D96EEB">
        <w:rPr>
          <w:rFonts w:cstheme="minorHAnsi"/>
          <w:color w:val="000000" w:themeColor="text1"/>
          <w:highlight w:val="yellow"/>
        </w:rPr>
        <w:t>13th</w:t>
      </w:r>
      <w:r w:rsidR="00A35AF8">
        <w:rPr>
          <w:rFonts w:cstheme="minorHAnsi"/>
          <w:color w:val="000000" w:themeColor="text1"/>
        </w:rPr>
        <w:t xml:space="preserve"> 2020</w:t>
      </w:r>
      <w:r w:rsidRPr="000C6776">
        <w:rPr>
          <w:rFonts w:cstheme="minorHAnsi"/>
          <w:color w:val="000000" w:themeColor="text1"/>
        </w:rPr>
        <w:t>:</w:t>
      </w:r>
      <w:r w:rsidRPr="0075319E">
        <w:rPr>
          <w:rFonts w:cstheme="minorHAnsi"/>
          <w:color w:val="000000" w:themeColor="text1"/>
        </w:rPr>
        <w:t xml:space="preserve"> </w:t>
      </w:r>
      <w:r w:rsidR="00C27245" w:rsidRPr="0075319E">
        <w:rPr>
          <w:rFonts w:cstheme="minorHAnsi"/>
          <w:b/>
          <w:color w:val="000000" w:themeColor="text1"/>
        </w:rPr>
        <w:t>New Tech Minerals Corp (NTM-CSE)</w:t>
      </w:r>
      <w:r w:rsidR="00C27245" w:rsidRPr="0075319E">
        <w:rPr>
          <w:rFonts w:cstheme="minorHAnsi"/>
          <w:color w:val="000000" w:themeColor="text1"/>
        </w:rPr>
        <w:t xml:space="preserve"> (“</w:t>
      </w:r>
      <w:r w:rsidR="00C27245" w:rsidRPr="00A35AF8">
        <w:rPr>
          <w:rFonts w:cstheme="minorHAnsi"/>
          <w:b/>
          <w:color w:val="000000" w:themeColor="text1"/>
        </w:rPr>
        <w:t>New Tech</w:t>
      </w:r>
      <w:r w:rsidR="00C27245" w:rsidRPr="0075319E">
        <w:rPr>
          <w:rFonts w:cstheme="minorHAnsi"/>
          <w:color w:val="000000" w:themeColor="text1"/>
        </w:rPr>
        <w:t xml:space="preserve">” or the </w:t>
      </w:r>
      <w:r w:rsidRPr="0075319E">
        <w:rPr>
          <w:rFonts w:cstheme="minorHAnsi"/>
          <w:color w:val="000000" w:themeColor="text1"/>
        </w:rPr>
        <w:t>“</w:t>
      </w:r>
      <w:r w:rsidR="00C27245" w:rsidRPr="00A35AF8">
        <w:rPr>
          <w:rFonts w:cstheme="minorHAnsi"/>
          <w:b/>
          <w:color w:val="000000" w:themeColor="text1"/>
        </w:rPr>
        <w:t>Company</w:t>
      </w:r>
      <w:r w:rsidR="00C27245" w:rsidRPr="0075319E">
        <w:rPr>
          <w:rFonts w:cstheme="minorHAnsi"/>
          <w:color w:val="000000" w:themeColor="text1"/>
        </w:rPr>
        <w:t>”), announce</w:t>
      </w:r>
      <w:r w:rsidR="006C5350" w:rsidRPr="0075319E">
        <w:rPr>
          <w:rFonts w:cstheme="minorHAnsi"/>
          <w:color w:val="000000" w:themeColor="text1"/>
        </w:rPr>
        <w:t>s a non-broke</w:t>
      </w:r>
      <w:r w:rsidR="00A35AF8">
        <w:rPr>
          <w:rFonts w:cstheme="minorHAnsi"/>
          <w:color w:val="000000" w:themeColor="text1"/>
        </w:rPr>
        <w:t>red private placement of up to 10</w:t>
      </w:r>
      <w:r w:rsidR="006C5350" w:rsidRPr="0075319E">
        <w:rPr>
          <w:rFonts w:cstheme="minorHAnsi"/>
          <w:color w:val="000000" w:themeColor="text1"/>
        </w:rPr>
        <w:t>,000,000 units (each a “</w:t>
      </w:r>
      <w:r w:rsidR="006C5350" w:rsidRPr="00A35AF8">
        <w:rPr>
          <w:rFonts w:cstheme="minorHAnsi"/>
          <w:b/>
          <w:color w:val="000000" w:themeColor="text1"/>
        </w:rPr>
        <w:t>Unit</w:t>
      </w:r>
      <w:r w:rsidR="006C5350" w:rsidRPr="0075319E">
        <w:rPr>
          <w:rFonts w:cstheme="minorHAnsi"/>
          <w:color w:val="000000" w:themeColor="text1"/>
        </w:rPr>
        <w:t>”)</w:t>
      </w:r>
      <w:r w:rsidR="00C27245" w:rsidRPr="0075319E">
        <w:rPr>
          <w:rFonts w:cstheme="minorHAnsi"/>
          <w:color w:val="000000" w:themeColor="text1"/>
        </w:rPr>
        <w:t xml:space="preserve"> </w:t>
      </w:r>
      <w:r w:rsidR="006C5350" w:rsidRPr="0075319E">
        <w:rPr>
          <w:rFonts w:eastAsia="Times New Roman" w:cstheme="minorHAnsi"/>
          <w:lang w:val="en-CA"/>
        </w:rPr>
        <w:t>at a price of $0.</w:t>
      </w:r>
      <w:r w:rsidR="00B314AC">
        <w:rPr>
          <w:rFonts w:eastAsia="Times New Roman" w:cstheme="minorHAnsi"/>
          <w:lang w:val="en-CA"/>
        </w:rPr>
        <w:t>0</w:t>
      </w:r>
      <w:r w:rsidR="00A35AF8">
        <w:rPr>
          <w:rFonts w:eastAsia="Times New Roman" w:cstheme="minorHAnsi"/>
          <w:lang w:val="en-CA"/>
        </w:rPr>
        <w:t>5</w:t>
      </w:r>
      <w:r w:rsidR="006C5350" w:rsidRPr="0075319E">
        <w:rPr>
          <w:rFonts w:eastAsia="Times New Roman" w:cstheme="minorHAnsi"/>
          <w:lang w:val="en-CA"/>
        </w:rPr>
        <w:t xml:space="preserve"> per Unit for gross proceeds of up to $</w:t>
      </w:r>
      <w:r w:rsidR="00A35AF8">
        <w:rPr>
          <w:rFonts w:eastAsia="Times New Roman" w:cstheme="minorHAnsi"/>
          <w:lang w:val="en-CA"/>
        </w:rPr>
        <w:t>50</w:t>
      </w:r>
      <w:r w:rsidR="006C5350" w:rsidRPr="0075319E">
        <w:rPr>
          <w:rFonts w:eastAsia="Times New Roman" w:cstheme="minorHAnsi"/>
          <w:lang w:val="en-CA"/>
        </w:rPr>
        <w:t>0,000</w:t>
      </w:r>
      <w:r w:rsidR="00A35AF8">
        <w:rPr>
          <w:rFonts w:eastAsia="Times New Roman" w:cstheme="minorHAnsi"/>
          <w:lang w:val="en-CA"/>
        </w:rPr>
        <w:t xml:space="preserve"> (the “</w:t>
      </w:r>
      <w:r w:rsidR="00A35AF8" w:rsidRPr="00A35AF8">
        <w:rPr>
          <w:rFonts w:eastAsia="Times New Roman" w:cstheme="minorHAnsi"/>
          <w:b/>
          <w:lang w:val="en-CA"/>
        </w:rPr>
        <w:t>Private Placement</w:t>
      </w:r>
      <w:r w:rsidR="00A35AF8">
        <w:rPr>
          <w:rFonts w:eastAsia="Times New Roman" w:cstheme="minorHAnsi"/>
          <w:lang w:val="en-CA"/>
        </w:rPr>
        <w:t>”)</w:t>
      </w:r>
      <w:r w:rsidR="006C5350" w:rsidRPr="0075319E">
        <w:rPr>
          <w:rFonts w:eastAsia="Times New Roman" w:cstheme="minorHAnsi"/>
          <w:lang w:val="en-CA"/>
        </w:rPr>
        <w:t>. Each Unit will consist of one common share and one common share purchase warrant (each a “</w:t>
      </w:r>
      <w:r w:rsidR="006C5350" w:rsidRPr="00A35AF8">
        <w:rPr>
          <w:rFonts w:eastAsia="Times New Roman" w:cstheme="minorHAnsi"/>
          <w:b/>
          <w:lang w:val="en-CA"/>
        </w:rPr>
        <w:t>Warrant</w:t>
      </w:r>
      <w:r w:rsidR="006C5350" w:rsidRPr="0075319E">
        <w:rPr>
          <w:rFonts w:eastAsia="Times New Roman" w:cstheme="minorHAnsi"/>
          <w:lang w:val="en-CA"/>
        </w:rPr>
        <w:t>”). Each Warrant entitles the holder to purchase one additional common share of the Company at a price of $0.0</w:t>
      </w:r>
      <w:r w:rsidR="00A35AF8">
        <w:rPr>
          <w:rFonts w:eastAsia="Times New Roman" w:cstheme="minorHAnsi"/>
          <w:lang w:val="en-CA"/>
        </w:rPr>
        <w:t>7</w:t>
      </w:r>
      <w:r w:rsidR="006C5350" w:rsidRPr="0075319E">
        <w:rPr>
          <w:rFonts w:eastAsia="Times New Roman" w:cstheme="minorHAnsi"/>
          <w:lang w:val="en-CA"/>
        </w:rPr>
        <w:t xml:space="preserve">5 per share for a period of </w:t>
      </w:r>
      <w:r w:rsidR="00A35AF8">
        <w:rPr>
          <w:rFonts w:eastAsia="Times New Roman" w:cstheme="minorHAnsi"/>
          <w:lang w:val="en-CA"/>
        </w:rPr>
        <w:t>three years</w:t>
      </w:r>
      <w:r w:rsidR="006C5350" w:rsidRPr="0075319E">
        <w:rPr>
          <w:rFonts w:eastAsia="Times New Roman" w:cstheme="minorHAnsi"/>
          <w:lang w:val="en-CA"/>
        </w:rPr>
        <w:t xml:space="preserve"> from the date of </w:t>
      </w:r>
      <w:r w:rsidR="00A35AF8">
        <w:rPr>
          <w:rFonts w:eastAsia="Times New Roman" w:cstheme="minorHAnsi"/>
          <w:lang w:val="en-CA"/>
        </w:rPr>
        <w:t>issuance.</w:t>
      </w:r>
      <w:bookmarkStart w:id="0" w:name="_GoBack"/>
      <w:bookmarkEnd w:id="0"/>
    </w:p>
    <w:p w14:paraId="17CABB52" w14:textId="332C5D8D" w:rsidR="00A35AF8" w:rsidRDefault="00A35AF8" w:rsidP="006C5350">
      <w:pPr>
        <w:jc w:val="both"/>
        <w:rPr>
          <w:rFonts w:eastAsia="Times New Roman" w:cstheme="minorHAnsi"/>
          <w:lang w:val="en-CA"/>
        </w:rPr>
      </w:pPr>
      <w:r>
        <w:rPr>
          <w:rFonts w:eastAsia="Times New Roman" w:cstheme="minorHAnsi"/>
          <w:lang w:val="en-CA"/>
        </w:rPr>
        <w:t>The Warrants will contain an acceleration provision which will provide that, should the Company’s common shares trade at or above $0.30 for a period of ten or more consecutive trading days (the “</w:t>
      </w:r>
      <w:r w:rsidRPr="00A35AF8">
        <w:rPr>
          <w:rFonts w:eastAsia="Times New Roman" w:cstheme="minorHAnsi"/>
          <w:b/>
          <w:lang w:val="en-CA"/>
        </w:rPr>
        <w:t>Acceleration Condition</w:t>
      </w:r>
      <w:r>
        <w:rPr>
          <w:rFonts w:eastAsia="Times New Roman" w:cstheme="minorHAnsi"/>
          <w:lang w:val="en-CA"/>
        </w:rPr>
        <w:t>”), the expiry date of the Warrants will be accelerat</w:t>
      </w:r>
      <w:r w:rsidR="00D043BD">
        <w:rPr>
          <w:rFonts w:eastAsia="Times New Roman" w:cstheme="minorHAnsi"/>
          <w:lang w:val="en-CA"/>
        </w:rPr>
        <w:t xml:space="preserve">ed to 30 days from the date that the Company provides </w:t>
      </w:r>
      <w:r>
        <w:rPr>
          <w:rFonts w:eastAsia="Times New Roman" w:cstheme="minorHAnsi"/>
          <w:lang w:val="en-CA"/>
        </w:rPr>
        <w:t xml:space="preserve">notice (whether by written notice </w:t>
      </w:r>
      <w:r w:rsidR="00D043BD">
        <w:rPr>
          <w:rFonts w:eastAsia="Times New Roman" w:cstheme="minorHAnsi"/>
          <w:lang w:val="en-CA"/>
        </w:rPr>
        <w:t xml:space="preserve">to the holder or </w:t>
      </w:r>
      <w:r>
        <w:rPr>
          <w:rFonts w:eastAsia="Times New Roman" w:cstheme="minorHAnsi"/>
          <w:lang w:val="en-CA"/>
        </w:rPr>
        <w:t>the issuance of a press release) that the Acceleration Condition has been satisfied.</w:t>
      </w:r>
    </w:p>
    <w:p w14:paraId="628A5383" w14:textId="4D8F2FEA" w:rsidR="00A35AF8" w:rsidRDefault="00A35AF8" w:rsidP="00A35AF8">
      <w:pPr>
        <w:pStyle w:val="Standard"/>
        <w:jc w:val="both"/>
        <w:rPr>
          <w:rFonts w:asciiTheme="minorHAnsi" w:eastAsia="Times New Roman" w:hAnsiTheme="minorHAnsi" w:cstheme="minorHAnsi"/>
          <w:kern w:val="0"/>
          <w:sz w:val="22"/>
          <w:szCs w:val="22"/>
          <w:lang w:val="en-CA" w:eastAsia="en-US" w:bidi="ar-SA"/>
        </w:rPr>
      </w:pPr>
      <w:r w:rsidRPr="00A35AF8">
        <w:rPr>
          <w:rFonts w:asciiTheme="minorHAnsi" w:eastAsia="Times New Roman" w:hAnsiTheme="minorHAnsi" w:cstheme="minorHAnsi"/>
          <w:kern w:val="0"/>
          <w:sz w:val="22"/>
          <w:szCs w:val="22"/>
          <w:lang w:val="en-CA" w:eastAsia="en-US" w:bidi="ar-SA"/>
        </w:rPr>
        <w:t xml:space="preserve">In connection with the Private Placement, the Company may </w:t>
      </w:r>
      <w:r>
        <w:rPr>
          <w:rFonts w:asciiTheme="minorHAnsi" w:eastAsia="Times New Roman" w:hAnsiTheme="minorHAnsi" w:cstheme="minorHAnsi"/>
          <w:kern w:val="0"/>
          <w:sz w:val="22"/>
          <w:szCs w:val="22"/>
          <w:lang w:val="en-CA" w:eastAsia="en-US" w:bidi="ar-SA"/>
        </w:rPr>
        <w:t xml:space="preserve">issue certain </w:t>
      </w:r>
      <w:r w:rsidRPr="00A35AF8">
        <w:rPr>
          <w:rFonts w:asciiTheme="minorHAnsi" w:eastAsia="Times New Roman" w:hAnsiTheme="minorHAnsi" w:cstheme="minorHAnsi"/>
          <w:kern w:val="0"/>
          <w:sz w:val="22"/>
          <w:szCs w:val="22"/>
          <w:lang w:val="en-CA" w:eastAsia="en-US" w:bidi="ar-SA"/>
        </w:rPr>
        <w:t>eligible finders (</w:t>
      </w:r>
      <w:r>
        <w:rPr>
          <w:rFonts w:asciiTheme="minorHAnsi" w:eastAsia="Times New Roman" w:hAnsiTheme="minorHAnsi" w:cstheme="minorHAnsi"/>
          <w:kern w:val="0"/>
          <w:sz w:val="22"/>
          <w:szCs w:val="22"/>
          <w:lang w:val="en-CA" w:eastAsia="en-US" w:bidi="ar-SA"/>
        </w:rPr>
        <w:t xml:space="preserve">each a </w:t>
      </w:r>
      <w:r w:rsidRPr="00A35AF8">
        <w:rPr>
          <w:rFonts w:asciiTheme="minorHAnsi" w:eastAsia="Times New Roman" w:hAnsiTheme="minorHAnsi" w:cstheme="minorHAnsi"/>
          <w:kern w:val="0"/>
          <w:sz w:val="22"/>
          <w:szCs w:val="22"/>
          <w:lang w:val="en-CA" w:eastAsia="en-US" w:bidi="ar-SA"/>
        </w:rPr>
        <w:t>“</w:t>
      </w:r>
      <w:r w:rsidRPr="00A35AF8">
        <w:rPr>
          <w:rFonts w:asciiTheme="minorHAnsi" w:eastAsia="Times New Roman" w:hAnsiTheme="minorHAnsi" w:cstheme="minorHAnsi"/>
          <w:b/>
          <w:kern w:val="0"/>
          <w:sz w:val="22"/>
          <w:szCs w:val="22"/>
          <w:lang w:val="en-CA" w:eastAsia="en-US" w:bidi="ar-SA"/>
        </w:rPr>
        <w:t>Finder</w:t>
      </w:r>
      <w:r w:rsidRPr="00A35AF8">
        <w:rPr>
          <w:rFonts w:asciiTheme="minorHAnsi" w:eastAsia="Times New Roman" w:hAnsiTheme="minorHAnsi" w:cstheme="minorHAnsi"/>
          <w:kern w:val="0"/>
          <w:sz w:val="22"/>
          <w:szCs w:val="22"/>
          <w:lang w:val="en-CA" w:eastAsia="en-US" w:bidi="ar-SA"/>
        </w:rPr>
        <w:t xml:space="preserve">”) </w:t>
      </w:r>
      <w:r>
        <w:rPr>
          <w:rFonts w:asciiTheme="minorHAnsi" w:eastAsia="Times New Roman" w:hAnsiTheme="minorHAnsi" w:cstheme="minorHAnsi"/>
          <w:kern w:val="0"/>
          <w:sz w:val="22"/>
          <w:szCs w:val="22"/>
          <w:lang w:val="en-CA" w:eastAsia="en-US" w:bidi="ar-SA"/>
        </w:rPr>
        <w:t>warrants (each a “</w:t>
      </w:r>
      <w:r w:rsidRPr="00A35AF8">
        <w:rPr>
          <w:rFonts w:asciiTheme="minorHAnsi" w:eastAsia="Times New Roman" w:hAnsiTheme="minorHAnsi" w:cstheme="minorHAnsi"/>
          <w:b/>
          <w:kern w:val="0"/>
          <w:sz w:val="22"/>
          <w:szCs w:val="22"/>
          <w:lang w:val="en-CA" w:eastAsia="en-US" w:bidi="ar-SA"/>
        </w:rPr>
        <w:t>Finder’s Warrant</w:t>
      </w:r>
      <w:r>
        <w:rPr>
          <w:rFonts w:asciiTheme="minorHAnsi" w:eastAsia="Times New Roman" w:hAnsiTheme="minorHAnsi" w:cstheme="minorHAnsi"/>
          <w:kern w:val="0"/>
          <w:sz w:val="22"/>
          <w:szCs w:val="22"/>
          <w:lang w:val="en-CA" w:eastAsia="en-US" w:bidi="ar-SA"/>
        </w:rPr>
        <w:t>”) equal to</w:t>
      </w:r>
      <w:r w:rsidRPr="00A35AF8">
        <w:rPr>
          <w:rFonts w:asciiTheme="minorHAnsi" w:eastAsia="Times New Roman" w:hAnsiTheme="minorHAnsi" w:cstheme="minorHAnsi"/>
          <w:kern w:val="0"/>
          <w:sz w:val="22"/>
          <w:szCs w:val="22"/>
          <w:lang w:val="en-CA" w:eastAsia="en-US" w:bidi="ar-SA"/>
        </w:rPr>
        <w:t xml:space="preserve"> 6% of the </w:t>
      </w:r>
      <w:r>
        <w:rPr>
          <w:rFonts w:asciiTheme="minorHAnsi" w:eastAsia="Times New Roman" w:hAnsiTheme="minorHAnsi" w:cstheme="minorHAnsi"/>
          <w:kern w:val="0"/>
          <w:sz w:val="22"/>
          <w:szCs w:val="22"/>
          <w:lang w:val="en-CA" w:eastAsia="en-US" w:bidi="ar-SA"/>
        </w:rPr>
        <w:t>number of Units placed by the Finder and pay such Finder a fee equal to 6% of the gross proceeds raised by the Finder.  Each Finder’s</w:t>
      </w:r>
      <w:r w:rsidRPr="00A35AF8">
        <w:rPr>
          <w:rFonts w:asciiTheme="minorHAnsi" w:eastAsia="Times New Roman" w:hAnsiTheme="minorHAnsi" w:cstheme="minorHAnsi"/>
          <w:kern w:val="0"/>
          <w:sz w:val="22"/>
          <w:szCs w:val="22"/>
          <w:lang w:val="en-CA" w:eastAsia="en-US" w:bidi="ar-SA"/>
        </w:rPr>
        <w:t xml:space="preserve"> Warrant </w:t>
      </w:r>
      <w:r>
        <w:rPr>
          <w:rFonts w:asciiTheme="minorHAnsi" w:eastAsia="Times New Roman" w:hAnsiTheme="minorHAnsi" w:cstheme="minorHAnsi"/>
          <w:kern w:val="0"/>
          <w:sz w:val="22"/>
          <w:szCs w:val="22"/>
          <w:lang w:val="en-CA" w:eastAsia="en-US" w:bidi="ar-SA"/>
        </w:rPr>
        <w:t>will be exercisable into one common share at a price of $0.075 for three years from the date of issuance.</w:t>
      </w:r>
    </w:p>
    <w:p w14:paraId="0CA4E0DF" w14:textId="77777777" w:rsidR="00A35AF8" w:rsidRPr="00A35AF8" w:rsidRDefault="00A35AF8" w:rsidP="00A35AF8">
      <w:pPr>
        <w:pStyle w:val="Standard"/>
        <w:jc w:val="both"/>
        <w:rPr>
          <w:rFonts w:asciiTheme="minorHAnsi" w:eastAsia="Times New Roman" w:hAnsiTheme="minorHAnsi" w:cstheme="minorHAnsi"/>
          <w:kern w:val="0"/>
          <w:sz w:val="22"/>
          <w:szCs w:val="22"/>
          <w:lang w:val="en-CA" w:eastAsia="en-US" w:bidi="ar-SA"/>
        </w:rPr>
      </w:pPr>
    </w:p>
    <w:p w14:paraId="5FE94087" w14:textId="1F93F527" w:rsidR="006C5350" w:rsidRPr="0075319E" w:rsidRDefault="006C5350" w:rsidP="006C5350">
      <w:pPr>
        <w:widowControl w:val="0"/>
        <w:autoSpaceDE w:val="0"/>
        <w:autoSpaceDN w:val="0"/>
        <w:adjustRightInd w:val="0"/>
        <w:spacing w:after="320"/>
        <w:jc w:val="both"/>
        <w:rPr>
          <w:rFonts w:cstheme="minorHAnsi"/>
        </w:rPr>
      </w:pPr>
      <w:r w:rsidRPr="0075319E">
        <w:rPr>
          <w:rFonts w:eastAsia="Times New Roman" w:cstheme="minorHAnsi"/>
          <w:lang w:val="en-CA"/>
        </w:rPr>
        <w:t xml:space="preserve">The proceeds from the sale of Units will be </w:t>
      </w:r>
      <w:r w:rsidR="00A35AF8">
        <w:rPr>
          <w:rFonts w:eastAsia="Times New Roman" w:cstheme="minorHAnsi"/>
          <w:lang w:val="en-CA"/>
        </w:rPr>
        <w:t>used for</w:t>
      </w:r>
      <w:r w:rsidRPr="0075319E">
        <w:rPr>
          <w:rFonts w:eastAsia="Times New Roman" w:cstheme="minorHAnsi"/>
          <w:lang w:val="en-CA"/>
        </w:rPr>
        <w:t xml:space="preserve"> working capital</w:t>
      </w:r>
      <w:r w:rsidR="00A35AF8">
        <w:rPr>
          <w:rFonts w:eastAsia="Times New Roman" w:cstheme="minorHAnsi"/>
          <w:lang w:val="en-CA"/>
        </w:rPr>
        <w:t xml:space="preserve">, payment of existing payables and the review of possible new acquisitions. </w:t>
      </w:r>
      <w:r w:rsidRPr="0075319E">
        <w:rPr>
          <w:rFonts w:eastAsia="Times New Roman" w:cstheme="minorHAnsi"/>
          <w:lang w:val="en-CA"/>
        </w:rPr>
        <w:t>The securities to be issued under the placement will be subj</w:t>
      </w:r>
      <w:r w:rsidR="0075319E" w:rsidRPr="0075319E">
        <w:rPr>
          <w:rFonts w:eastAsia="Times New Roman" w:cstheme="minorHAnsi"/>
          <w:lang w:val="en-CA"/>
        </w:rPr>
        <w:t>ect to a four-month hold period in accordance with applicable securities laws and, if required, the policies of the o</w:t>
      </w:r>
      <w:r w:rsidRPr="0075319E">
        <w:rPr>
          <w:rFonts w:eastAsia="Times New Roman" w:cstheme="minorHAnsi"/>
          <w:lang w:val="en-CA"/>
        </w:rPr>
        <w:t xml:space="preserve">f the Canadian Securities Exchange.  </w:t>
      </w:r>
    </w:p>
    <w:p w14:paraId="03D3D1C3" w14:textId="7FC356C7" w:rsidR="00D452BD" w:rsidRPr="0075319E" w:rsidRDefault="00D452BD" w:rsidP="006C5350">
      <w:pPr>
        <w:jc w:val="both"/>
        <w:rPr>
          <w:rFonts w:cstheme="minorHAnsi"/>
          <w:u w:val="single"/>
        </w:rPr>
      </w:pPr>
      <w:r w:rsidRPr="0075319E">
        <w:rPr>
          <w:rFonts w:cstheme="minorHAnsi"/>
          <w:u w:val="single"/>
        </w:rPr>
        <w:t>About New Tech Minerals Corp.</w:t>
      </w:r>
    </w:p>
    <w:p w14:paraId="2857F15E" w14:textId="14EF8172" w:rsidR="00C27245" w:rsidRPr="0075319E" w:rsidRDefault="00D452BD" w:rsidP="00D452BD">
      <w:pPr>
        <w:jc w:val="both"/>
        <w:rPr>
          <w:rFonts w:cstheme="minorHAnsi"/>
          <w:b/>
          <w:bCs/>
          <w:color w:val="000000"/>
        </w:rPr>
      </w:pPr>
      <w:r w:rsidRPr="0075319E">
        <w:rPr>
          <w:rFonts w:cstheme="minorHAnsi"/>
        </w:rPr>
        <w:t xml:space="preserve">New Tech is engaged in the exploration and development of promising </w:t>
      </w:r>
      <w:r w:rsidR="00F623BE">
        <w:rPr>
          <w:rFonts w:cstheme="minorHAnsi"/>
        </w:rPr>
        <w:t>potash and cobalt projects</w:t>
      </w:r>
      <w:r w:rsidRPr="0075319E">
        <w:rPr>
          <w:rFonts w:cstheme="minorHAnsi"/>
        </w:rPr>
        <w:t xml:space="preserve"> in America, including the </w:t>
      </w:r>
      <w:r w:rsidR="00637357" w:rsidRPr="0075319E">
        <w:rPr>
          <w:rFonts w:cstheme="minorHAnsi"/>
        </w:rPr>
        <w:t>Pa</w:t>
      </w:r>
      <w:r w:rsidR="00F623BE">
        <w:rPr>
          <w:rFonts w:cstheme="minorHAnsi"/>
        </w:rPr>
        <w:t xml:space="preserve">radox Basin Potash project in Utah, </w:t>
      </w:r>
      <w:r w:rsidRPr="0075319E">
        <w:rPr>
          <w:rFonts w:cstheme="minorHAnsi"/>
        </w:rPr>
        <w:t xml:space="preserve">and </w:t>
      </w:r>
      <w:r w:rsidR="00F623BE">
        <w:rPr>
          <w:rFonts w:cstheme="minorHAnsi"/>
        </w:rPr>
        <w:t>the Tule cobalt project</w:t>
      </w:r>
      <w:r w:rsidRPr="0075319E">
        <w:rPr>
          <w:rFonts w:cstheme="minorHAnsi"/>
        </w:rPr>
        <w:t xml:space="preserve"> in </w:t>
      </w:r>
      <w:proofErr w:type="gramStart"/>
      <w:r w:rsidRPr="0075319E">
        <w:rPr>
          <w:rFonts w:cstheme="minorHAnsi"/>
        </w:rPr>
        <w:t>Nevada</w:t>
      </w:r>
      <w:r w:rsidR="00F623BE">
        <w:rPr>
          <w:rFonts w:cstheme="minorHAnsi"/>
        </w:rPr>
        <w:t xml:space="preserve"> .</w:t>
      </w:r>
      <w:proofErr w:type="gramEnd"/>
    </w:p>
    <w:p w14:paraId="029ED99F" w14:textId="77777777" w:rsidR="00D452BD" w:rsidRPr="00D452BD" w:rsidRDefault="00D452BD" w:rsidP="00D452BD">
      <w:pPr>
        <w:jc w:val="both"/>
        <w:rPr>
          <w:rFonts w:cstheme="minorHAnsi"/>
          <w:b/>
          <w:bCs/>
          <w:color w:val="000000"/>
          <w:sz w:val="24"/>
          <w:szCs w:val="24"/>
        </w:rPr>
      </w:pPr>
      <w:r w:rsidRPr="00D452BD">
        <w:rPr>
          <w:rFonts w:cstheme="minorHAnsi"/>
          <w:b/>
          <w:bCs/>
          <w:color w:val="000000"/>
          <w:sz w:val="24"/>
          <w:szCs w:val="24"/>
        </w:rPr>
        <w:t>On behalf of the Board of Directors</w:t>
      </w:r>
    </w:p>
    <w:p w14:paraId="230F57BE" w14:textId="77777777" w:rsidR="00D452BD" w:rsidRPr="00D452BD" w:rsidRDefault="00D452BD" w:rsidP="00D452BD">
      <w:pPr>
        <w:autoSpaceDE w:val="0"/>
        <w:autoSpaceDN w:val="0"/>
        <w:adjustRightInd w:val="0"/>
        <w:spacing w:after="0" w:line="240" w:lineRule="auto"/>
        <w:jc w:val="both"/>
        <w:rPr>
          <w:rFonts w:cstheme="minorHAnsi"/>
          <w:color w:val="000000"/>
          <w:sz w:val="24"/>
          <w:szCs w:val="24"/>
        </w:rPr>
      </w:pPr>
      <w:r w:rsidRPr="00D452BD">
        <w:rPr>
          <w:rFonts w:cstheme="minorHAnsi"/>
          <w:color w:val="000000"/>
          <w:sz w:val="24"/>
          <w:szCs w:val="24"/>
        </w:rPr>
        <w:t>“</w:t>
      </w:r>
      <w:r w:rsidRPr="00D452BD">
        <w:rPr>
          <w:rFonts w:cstheme="minorHAnsi"/>
          <w:i/>
          <w:color w:val="000000"/>
          <w:sz w:val="24"/>
          <w:szCs w:val="24"/>
        </w:rPr>
        <w:t>Jonathan George</w:t>
      </w:r>
      <w:r w:rsidRPr="00D452BD">
        <w:rPr>
          <w:rFonts w:cstheme="minorHAnsi"/>
          <w:color w:val="000000"/>
          <w:sz w:val="24"/>
          <w:szCs w:val="24"/>
        </w:rPr>
        <w:t>”</w:t>
      </w:r>
    </w:p>
    <w:p w14:paraId="1EA5E999" w14:textId="77777777" w:rsidR="00D452BD" w:rsidRPr="00D452BD" w:rsidRDefault="00D452BD" w:rsidP="00D452BD">
      <w:pPr>
        <w:autoSpaceDE w:val="0"/>
        <w:autoSpaceDN w:val="0"/>
        <w:adjustRightInd w:val="0"/>
        <w:spacing w:after="0" w:line="240" w:lineRule="auto"/>
        <w:jc w:val="both"/>
        <w:rPr>
          <w:rFonts w:cstheme="minorHAnsi"/>
          <w:b/>
          <w:bCs/>
          <w:color w:val="000000"/>
          <w:sz w:val="24"/>
          <w:szCs w:val="24"/>
        </w:rPr>
      </w:pPr>
    </w:p>
    <w:p w14:paraId="5DFF4754" w14:textId="0F84672C" w:rsidR="00D452BD" w:rsidRPr="00D452BD" w:rsidRDefault="00D452BD" w:rsidP="00D452BD">
      <w:pPr>
        <w:autoSpaceDE w:val="0"/>
        <w:autoSpaceDN w:val="0"/>
        <w:adjustRightInd w:val="0"/>
        <w:spacing w:after="0" w:line="240" w:lineRule="auto"/>
        <w:jc w:val="both"/>
        <w:rPr>
          <w:rFonts w:cstheme="minorHAnsi"/>
          <w:b/>
          <w:bCs/>
          <w:color w:val="000000"/>
          <w:sz w:val="24"/>
          <w:szCs w:val="24"/>
        </w:rPr>
      </w:pPr>
      <w:r w:rsidRPr="00D452BD">
        <w:rPr>
          <w:rFonts w:cstheme="minorHAnsi"/>
          <w:b/>
          <w:bCs/>
          <w:color w:val="000000"/>
          <w:sz w:val="24"/>
          <w:szCs w:val="24"/>
        </w:rPr>
        <w:t xml:space="preserve">Jonathan George, </w:t>
      </w:r>
      <w:r w:rsidR="00637357">
        <w:rPr>
          <w:rFonts w:cstheme="minorHAnsi"/>
          <w:b/>
          <w:bCs/>
          <w:color w:val="000000"/>
          <w:sz w:val="24"/>
          <w:szCs w:val="24"/>
        </w:rPr>
        <w:t xml:space="preserve">President &amp; </w:t>
      </w:r>
      <w:r w:rsidRPr="00D452BD">
        <w:rPr>
          <w:rFonts w:cstheme="minorHAnsi"/>
          <w:b/>
          <w:bCs/>
          <w:color w:val="000000"/>
          <w:sz w:val="24"/>
          <w:szCs w:val="24"/>
        </w:rPr>
        <w:t>CEO</w:t>
      </w:r>
    </w:p>
    <w:p w14:paraId="25605CED" w14:textId="77777777" w:rsidR="00D452BD" w:rsidRPr="00D452BD" w:rsidRDefault="00D452BD" w:rsidP="00D452BD">
      <w:pPr>
        <w:autoSpaceDE w:val="0"/>
        <w:autoSpaceDN w:val="0"/>
        <w:adjustRightInd w:val="0"/>
        <w:spacing w:after="0" w:line="240" w:lineRule="auto"/>
        <w:jc w:val="both"/>
        <w:rPr>
          <w:rFonts w:cstheme="minorHAnsi"/>
          <w:i/>
          <w:iCs/>
          <w:color w:val="000000"/>
          <w:sz w:val="24"/>
          <w:szCs w:val="24"/>
        </w:rPr>
      </w:pPr>
    </w:p>
    <w:p w14:paraId="7CD9A9CA" w14:textId="77777777" w:rsidR="00D452BD" w:rsidRPr="00D452BD" w:rsidRDefault="00D452BD" w:rsidP="00D452BD">
      <w:pPr>
        <w:spacing w:after="0" w:line="240" w:lineRule="auto"/>
        <w:jc w:val="both"/>
        <w:rPr>
          <w:rFonts w:eastAsia="Calibri" w:cstheme="minorHAnsi"/>
          <w:i/>
          <w:lang w:val="en-CA"/>
        </w:rPr>
      </w:pPr>
      <w:r w:rsidRPr="00D452BD">
        <w:rPr>
          <w:rFonts w:eastAsia="Calibri" w:cstheme="minorHAnsi"/>
          <w:i/>
          <w:lang w:val="en-CA"/>
        </w:rPr>
        <w:t xml:space="preserve">Neither the OTCQX nor the Canadian Securities Exchange nor its Regulation Services Provider (as that term is defined in the policies of the Canadian Securities Exchange) accepts responsibility for the adequacy or accuracy of this release. </w:t>
      </w:r>
    </w:p>
    <w:p w14:paraId="4553A557" w14:textId="77777777" w:rsidR="00D452BD" w:rsidRPr="00D452BD" w:rsidRDefault="00D452BD" w:rsidP="00D452BD">
      <w:pPr>
        <w:spacing w:after="0" w:line="240" w:lineRule="auto"/>
        <w:jc w:val="both"/>
        <w:rPr>
          <w:rFonts w:eastAsia="Calibri" w:cstheme="minorHAnsi"/>
          <w:i/>
          <w:lang w:val="en-CA"/>
        </w:rPr>
      </w:pPr>
    </w:p>
    <w:p w14:paraId="346B53E8" w14:textId="24EB2728" w:rsidR="00637357" w:rsidRPr="00D452BD" w:rsidRDefault="00D452BD" w:rsidP="00637357">
      <w:pPr>
        <w:spacing w:after="0" w:line="240" w:lineRule="auto"/>
        <w:jc w:val="both"/>
        <w:rPr>
          <w:rFonts w:eastAsia="Calibri" w:cstheme="minorHAnsi"/>
          <w:i/>
          <w:iCs/>
          <w:lang w:val="en-CA"/>
        </w:rPr>
      </w:pPr>
      <w:r w:rsidRPr="00D452BD">
        <w:rPr>
          <w:rFonts w:eastAsia="Calibri" w:cstheme="minorHAnsi"/>
          <w:i/>
          <w:iCs/>
          <w:lang w:val="en-CA"/>
        </w:rPr>
        <w:lastRenderedPageBreak/>
        <w:t>Statements in this press release other than purely historical information, including statements relating to the Company’s future plans and objectives or expected results, are "Forward-Looking Statements" within the meaning of Section 21E of the United States Securities Exchange Act of 1934, as amended and</w:t>
      </w:r>
      <w:r w:rsidR="00637357" w:rsidRPr="00637357">
        <w:rPr>
          <w:rFonts w:eastAsia="Calibri" w:cstheme="minorHAnsi"/>
          <w:i/>
          <w:iCs/>
          <w:lang w:val="en-CA"/>
        </w:rPr>
        <w:t xml:space="preserve"> </w:t>
      </w:r>
      <w:r w:rsidR="00637357">
        <w:rPr>
          <w:rFonts w:eastAsia="Calibri" w:cstheme="minorHAnsi"/>
          <w:i/>
          <w:iCs/>
          <w:lang w:val="en-CA"/>
        </w:rPr>
        <w:t>C</w:t>
      </w:r>
      <w:r w:rsidR="00637357" w:rsidRPr="00D452BD">
        <w:rPr>
          <w:rFonts w:eastAsia="Calibri" w:cstheme="minorHAnsi"/>
          <w:i/>
          <w:iCs/>
          <w:lang w:val="en-CA"/>
        </w:rPr>
        <w:t xml:space="preserve">anadian securities laws. Forward Looking Statements are based on numerous assumptions and are subject to all of the risks and uncertainties inherent in the Company’s business, including risks inherent in resource exploration and development. As a result, actual results may vary materially from those described in the Forward Looking Statements. </w:t>
      </w:r>
    </w:p>
    <w:p w14:paraId="147EA91A" w14:textId="77777777" w:rsidR="00637357" w:rsidRPr="00D452BD" w:rsidRDefault="00637357" w:rsidP="00637357">
      <w:pPr>
        <w:spacing w:after="0" w:line="240" w:lineRule="auto"/>
        <w:jc w:val="both"/>
        <w:rPr>
          <w:rFonts w:eastAsia="Calibri" w:cstheme="minorHAnsi"/>
          <w:i/>
          <w:iCs/>
          <w:lang w:val="en-CA"/>
        </w:rPr>
      </w:pPr>
    </w:p>
    <w:p w14:paraId="5A29F84D" w14:textId="77777777" w:rsidR="00637357" w:rsidRPr="00D452BD" w:rsidRDefault="00637357" w:rsidP="00637357">
      <w:pPr>
        <w:spacing w:after="0" w:line="240" w:lineRule="auto"/>
        <w:jc w:val="both"/>
        <w:rPr>
          <w:rFonts w:eastAsia="Calibri" w:cstheme="minorHAnsi"/>
          <w:i/>
          <w:iCs/>
          <w:lang w:val="en-CA"/>
        </w:rPr>
      </w:pPr>
      <w:r w:rsidRPr="00D452BD">
        <w:rPr>
          <w:rFonts w:eastAsia="Calibri" w:cstheme="minorHAnsi"/>
          <w:i/>
          <w:iCs/>
          <w:lang w:val="en-CA"/>
        </w:rPr>
        <w:t xml:space="preserve">Key assumptions upon which the Company’s forward-looking statements and information are based include: the price of potash will rise and not fall significantly; the Company’s ability to secure new financing to continue its exploration and development activities; there being no significant changes in the ability of the Company to comply with environmental, safety and other regulatory requirements; the Company’s ability to obtain regulatory approvals in a timely manner; and the Company’s ability to achieve its growth strategy. </w:t>
      </w:r>
      <w:proofErr w:type="gramStart"/>
      <w:r w:rsidRPr="00D452BD">
        <w:rPr>
          <w:rFonts w:eastAsia="Calibri" w:cstheme="minorHAnsi"/>
          <w:i/>
          <w:iCs/>
          <w:lang w:val="en-CA"/>
        </w:rPr>
        <w:t>These assumptions should be considered carefully by readers</w:t>
      </w:r>
      <w:proofErr w:type="gramEnd"/>
      <w:r w:rsidRPr="00D452BD">
        <w:rPr>
          <w:rFonts w:eastAsia="Calibri" w:cstheme="minorHAnsi"/>
          <w:i/>
          <w:iCs/>
          <w:lang w:val="en-CA"/>
        </w:rPr>
        <w:t>. Readers are further cautioned that the foregoing list of assumptions is not exhaustive. Although the Company believes that the assumptions on which the forward-looking statements or information are made are reasonable, based on the information available to the Company on the date such statements were made, no assurances can be given as to whether these assumptions will prove to be correct.</w:t>
      </w:r>
    </w:p>
    <w:p w14:paraId="3FB595CA" w14:textId="528073E6" w:rsidR="00D452BD" w:rsidRPr="00D452BD" w:rsidRDefault="00D452BD" w:rsidP="00D452BD">
      <w:pPr>
        <w:jc w:val="both"/>
        <w:rPr>
          <w:rFonts w:cstheme="minorHAnsi"/>
        </w:rPr>
      </w:pPr>
      <w:r w:rsidRPr="00D452BD">
        <w:rPr>
          <w:rFonts w:eastAsia="Calibri" w:cstheme="minorHAnsi"/>
          <w:i/>
          <w:iCs/>
          <w:lang w:val="en-CA"/>
        </w:rPr>
        <w:t xml:space="preserve"> </w:t>
      </w:r>
    </w:p>
    <w:p w14:paraId="344048FD" w14:textId="77777777" w:rsidR="009F1EFA" w:rsidRPr="00D452BD" w:rsidRDefault="009F1EFA" w:rsidP="00D452BD"/>
    <w:sectPr w:rsidR="009F1EFA" w:rsidRPr="00D452BD" w:rsidSect="000165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798E" w14:textId="77777777" w:rsidR="00FB4C34" w:rsidRDefault="00FB4C34" w:rsidP="00BE1300">
      <w:pPr>
        <w:spacing w:after="0" w:line="240" w:lineRule="auto"/>
      </w:pPr>
      <w:r>
        <w:separator/>
      </w:r>
    </w:p>
  </w:endnote>
  <w:endnote w:type="continuationSeparator" w:id="0">
    <w:p w14:paraId="75F37D44" w14:textId="77777777" w:rsidR="00FB4C34" w:rsidRDefault="00FB4C34" w:rsidP="00BE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669B3C" w14:textId="77777777" w:rsidR="00D043BD" w:rsidRDefault="00D043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62E825" w14:textId="77777777" w:rsidR="00FD3895" w:rsidRDefault="00D96EEB">
    <w:pPr>
      <w:pStyle w:val="Footer"/>
      <w:ind w:left="-144"/>
    </w:pPr>
    <w:r>
      <w:rPr>
        <w:noProof/>
        <w:lang w:val="en-GB" w:eastAsia="en-GB"/>
      </w:rPr>
      <w:pict w14:anchorId="345C4B3B">
        <v:shapetype id="_x0000_t202" coordsize="21600,21600" o:spt="202" path="m0,0l0,21600,21600,21600,21600,0xe">
          <v:stroke joinstyle="miter"/>
          <v:path gradientshapeok="t" o:connecttype="rect"/>
        </v:shapetype>
        <v:shape id="zzmpTrailer_1078_19" o:spid="_x0000_s2049" type="#_x0000_t202" style="position:absolute;left:0;text-align:left;margin-left:0;margin-top:0;width:201.6pt;height:50.4pt;z-index:-25165004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14:paraId="53BEEC00" w14:textId="618A872F" w:rsidR="00FD3895" w:rsidRDefault="00FD3895" w:rsidP="00FD3895">
                <w:pPr>
                  <w:pStyle w:val="MacPacTrailer"/>
                  <w:spacing w:line="20" w:lineRule="exact"/>
                </w:pPr>
              </w:p>
              <w:p w14:paraId="5E70A679" w14:textId="1EB75EC3" w:rsidR="00FD3895" w:rsidRDefault="00FD3895">
                <w:pPr>
                  <w:pStyle w:val="MacPacTrailer"/>
                </w:pPr>
                <w:r>
                  <w:t>WSLEGAL\085564\00001\25327327v1</w:t>
                </w:r>
              </w:p>
              <w:p w14:paraId="22AF4E12" w14:textId="558DEBD4" w:rsidR="00FD3895" w:rsidRDefault="00FD3895" w:rsidP="00FD3895">
                <w:pPr>
                  <w:pStyle w:val="MacPacTrailer"/>
                  <w:spacing w:line="20" w:lineRule="exact"/>
                </w:pPr>
              </w:p>
              <w:p w14:paraId="3A52C169" w14:textId="23CDD5EF" w:rsidR="00FD3895" w:rsidRDefault="00FD3895" w:rsidP="00FD3895">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6FAFA1" w14:textId="77777777" w:rsidR="00FD3895" w:rsidRDefault="00D96EEB">
    <w:pPr>
      <w:pStyle w:val="Footer"/>
      <w:ind w:left="-144"/>
    </w:pPr>
    <w:r>
      <w:rPr>
        <w:noProof/>
        <w:lang w:val="en-GB" w:eastAsia="en-GB"/>
      </w:rPr>
      <w:pict w14:anchorId="769FE9EA">
        <v:shapetype id="_x0000_t202" coordsize="21600,21600" o:spt="202" path="m0,0l0,21600,21600,21600,21600,0xe">
          <v:stroke joinstyle="miter"/>
          <v:path gradientshapeok="t" o:connecttype="rect"/>
        </v:shapetype>
        <v:shape id="zzmpTrailer_1078_1B" o:spid="_x0000_s2050" type="#_x0000_t202" style="position:absolute;left:0;text-align:left;margin-left:0;margin-top:0;width:201.6pt;height:50.4pt;z-index:-25164800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14:paraId="6FDD9D55" w14:textId="523BC44F" w:rsidR="00FD3895" w:rsidRDefault="00FD3895" w:rsidP="00FD3895">
                <w:pPr>
                  <w:pStyle w:val="MacPacTrailer"/>
                  <w:spacing w:line="20" w:lineRule="exact"/>
                </w:pPr>
              </w:p>
              <w:p w14:paraId="23E9B24D" w14:textId="33115417" w:rsidR="00FD3895" w:rsidRDefault="00FD3895">
                <w:pPr>
                  <w:pStyle w:val="MacPacTrailer"/>
                </w:pPr>
                <w:r>
                  <w:t>WSLEGAL\085564\00001\25327327v1</w:t>
                </w:r>
              </w:p>
              <w:p w14:paraId="576A0784" w14:textId="5AE0138D" w:rsidR="00FD3895" w:rsidRDefault="00FD3895" w:rsidP="00FD3895">
                <w:pPr>
                  <w:pStyle w:val="MacPacTrailer"/>
                  <w:spacing w:line="20" w:lineRule="exact"/>
                </w:pPr>
              </w:p>
              <w:p w14:paraId="19AF411A" w14:textId="4CF56565" w:rsidR="00FD3895" w:rsidRDefault="00FD3895" w:rsidP="00FD3895">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1E397" w14:textId="77777777" w:rsidR="00FB4C34" w:rsidRDefault="00FB4C34" w:rsidP="00BE1300">
      <w:pPr>
        <w:spacing w:after="0" w:line="240" w:lineRule="auto"/>
      </w:pPr>
      <w:r>
        <w:separator/>
      </w:r>
    </w:p>
  </w:footnote>
  <w:footnote w:type="continuationSeparator" w:id="0">
    <w:p w14:paraId="33C6A7D8" w14:textId="77777777" w:rsidR="00FB4C34" w:rsidRDefault="00FB4C34" w:rsidP="00BE13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0238AD" w14:textId="77777777" w:rsidR="00D043BD" w:rsidRDefault="00D043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6FC22" w14:textId="77777777" w:rsidR="00BE1300" w:rsidRPr="00627422" w:rsidRDefault="00E84DF1" w:rsidP="00BE1300">
    <w:pPr>
      <w:pStyle w:val="Header"/>
      <w:tabs>
        <w:tab w:val="clear" w:pos="4680"/>
        <w:tab w:val="clear" w:pos="9360"/>
      </w:tabs>
      <w:rPr>
        <w:sz w:val="20"/>
        <w:szCs w:val="20"/>
      </w:rPr>
    </w:pPr>
    <w:r>
      <w:rPr>
        <w:noProof/>
      </w:rPr>
      <mc:AlternateContent>
        <mc:Choice Requires="wps">
          <w:drawing>
            <wp:anchor distT="0" distB="0" distL="114300" distR="114300" simplePos="0" relativeHeight="251660288" behindDoc="0" locked="0" layoutInCell="1" allowOverlap="1" wp14:anchorId="1DD0956F" wp14:editId="66018688">
              <wp:simplePos x="0" y="0"/>
              <wp:positionH relativeFrom="column">
                <wp:posOffset>4319270</wp:posOffset>
              </wp:positionH>
              <wp:positionV relativeFrom="paragraph">
                <wp:posOffset>-635</wp:posOffset>
              </wp:positionV>
              <wp:extent cx="2197100" cy="7512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1205"/>
                      </a:xfrm>
                      <a:prstGeom prst="rect">
                        <a:avLst/>
                      </a:prstGeom>
                      <a:noFill/>
                      <a:ln w="9525">
                        <a:noFill/>
                        <a:miter lim="800000"/>
                        <a:headEnd/>
                        <a:tailEnd/>
                      </a:ln>
                    </wps:spPr>
                    <wps:txbx>
                      <w:txbxContent>
                        <w:p w14:paraId="7A140912" w14:textId="77777777" w:rsidR="00BE1300" w:rsidRPr="007F6413" w:rsidRDefault="009F7FE6" w:rsidP="00D452BD">
                          <w:pPr>
                            <w:spacing w:after="0" w:line="240" w:lineRule="auto"/>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spacing w:after="0" w:line="240" w:lineRule="auto"/>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spacing w:after="0" w:line="240" w:lineRule="auto"/>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spacing w:after="0" w:line="240" w:lineRule="auto"/>
                            <w:jc w:val="right"/>
                            <w:rPr>
                              <w:sz w:val="21"/>
                              <w:szCs w:val="21"/>
                            </w:rPr>
                          </w:pPr>
                          <w:r w:rsidRPr="00D452BD">
                            <w:rPr>
                              <w:sz w:val="21"/>
                              <w:szCs w:val="21"/>
                            </w:rPr>
                            <w:t>www.</w:t>
                          </w:r>
                          <w:r w:rsidR="00D452BD" w:rsidRPr="00D452BD">
                            <w:rPr>
                              <w:sz w:val="21"/>
                              <w:szCs w:val="21"/>
                            </w:rPr>
                            <w:t>newtechminerals.ca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DD0956F" id="_x0000_t202" coordsize="21600,21600" o:spt="202" path="m,l,21600r21600,l21600,xe">
              <v:stroke joinstyle="miter"/>
              <v:path gradientshapeok="t" o:connecttype="rect"/>
            </v:shapetype>
            <v:shape id="Text Box 2" o:spid="_x0000_s1026" type="#_x0000_t202" style="position:absolute;margin-left:340.1pt;margin-top:-.05pt;width:173pt;height:71.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" filled="f" stroked="f">
              <v:textbox style="mso-fit-shape-to-text:t">
                <w:txbxContent>
                  <w:p w14:paraId="7A140912" w14:textId="77777777" w:rsidR="00BE1300" w:rsidRPr="007F6413" w:rsidRDefault="009F7FE6" w:rsidP="00D452BD">
                    <w:pPr>
                      <w:spacing w:after="0" w:line="240" w:lineRule="auto"/>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spacing w:after="0" w:line="240" w:lineRule="auto"/>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spacing w:after="0" w:line="240" w:lineRule="auto"/>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spacing w:after="0" w:line="240" w:lineRule="auto"/>
                      <w:jc w:val="right"/>
                      <w:rPr>
                        <w:sz w:val="21"/>
                        <w:szCs w:val="21"/>
                      </w:rPr>
                    </w:pPr>
                    <w:r w:rsidRPr="00D452BD">
                      <w:rPr>
                        <w:sz w:val="21"/>
                        <w:szCs w:val="21"/>
                      </w:rPr>
                      <w:t>www.</w:t>
                    </w:r>
                    <w:r w:rsidR="00D452BD" w:rsidRPr="00D452BD">
                      <w:rPr>
                        <w:sz w:val="21"/>
                        <w:szCs w:val="21"/>
                      </w:rPr>
                      <w:t>newtechminerals.ca</w:t>
                    </w:r>
                  </w:p>
                </w:txbxContent>
              </v:textbox>
            </v:shape>
          </w:pict>
        </mc:Fallback>
      </mc:AlternateContent>
    </w:r>
    <w:r w:rsidR="00BE1300">
      <w:tab/>
    </w:r>
    <w:r w:rsidR="00D452BD" w:rsidRPr="005300DB">
      <w:rPr>
        <w:noProof/>
      </w:rPr>
      <w:drawing>
        <wp:inline distT="0" distB="0" distL="0" distR="0" wp14:anchorId="63930CFC" wp14:editId="1B6609DF">
          <wp:extent cx="3599180" cy="7505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8027" cy="752415"/>
                  </a:xfrm>
                  <a:prstGeom prst="rect">
                    <a:avLst/>
                  </a:prstGeom>
                  <a:noFill/>
                  <a:ln>
                    <a:noFill/>
                  </a:ln>
                </pic:spPr>
              </pic:pic>
            </a:graphicData>
          </a:graphic>
        </wp:inline>
      </w:drawing>
    </w:r>
    <w:r w:rsidR="00BE1300">
      <w:tab/>
    </w:r>
  </w:p>
  <w:p w14:paraId="134381F1" w14:textId="77777777" w:rsidR="00BE1300" w:rsidRPr="00627422" w:rsidRDefault="00BE1300" w:rsidP="00BE1300">
    <w:pPr>
      <w:pStyle w:val="Header"/>
      <w:tabs>
        <w:tab w:val="left" w:pos="6946"/>
      </w:tabs>
      <w:rPr>
        <w:sz w:val="20"/>
        <w:szCs w:val="20"/>
      </w:rPr>
    </w:pPr>
    <w:r>
      <w:tab/>
    </w:r>
  </w:p>
  <w:p w14:paraId="1FDCA902" w14:textId="77777777" w:rsidR="00BE1300" w:rsidRDefault="00C21F4B">
    <w:pPr>
      <w:pStyle w:val="Header"/>
    </w:pPr>
    <w:r>
      <w:rPr>
        <w:noProof/>
      </w:rPr>
      <mc:AlternateContent>
        <mc:Choice Requires="wps">
          <w:drawing>
            <wp:anchor distT="0" distB="0" distL="114300" distR="114300" simplePos="0" relativeHeight="251662336" behindDoc="0" locked="0" layoutInCell="1" allowOverlap="1" wp14:anchorId="34958030" wp14:editId="6663728C">
              <wp:simplePos x="0" y="0"/>
              <wp:positionH relativeFrom="column">
                <wp:posOffset>0</wp:posOffset>
              </wp:positionH>
              <wp:positionV relativeFrom="paragraph">
                <wp:posOffset>148590</wp:posOffset>
              </wp:positionV>
              <wp:extent cx="268922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54000"/>
                      </a:xfrm>
                      <a:prstGeom prst="rect">
                        <a:avLst/>
                      </a:prstGeom>
                      <a:noFill/>
                      <a:ln w="9525">
                        <a:noFill/>
                        <a:miter lim="800000"/>
                        <a:headEnd/>
                        <a:tailEnd/>
                      </a:ln>
                    </wps:spPr>
                    <wps:txb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958030" id="_x0000_s1027" type="#_x0000_t202" style="position:absolute;margin-left:0;margin-top:11.7pt;width:211.7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BvCw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" filled="f" stroked="f">
              <v:textbo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v:textbox>
            </v:shape>
          </w:pict>
        </mc:Fallback>
      </mc:AlternateContent>
    </w:r>
    <w:r>
      <w:rPr>
        <w:noProof/>
      </w:rPr>
      <mc:AlternateContent>
        <mc:Choice Requires="wps">
          <w:drawing>
            <wp:anchor distT="4294967294" distB="4294967294" distL="114300" distR="114300" simplePos="0" relativeHeight="251664384" behindDoc="0" locked="0" layoutInCell="1" allowOverlap="1" wp14:anchorId="102E5F25" wp14:editId="6B63919F">
              <wp:simplePos x="0" y="0"/>
              <wp:positionH relativeFrom="column">
                <wp:posOffset>-533400</wp:posOffset>
              </wp:positionH>
              <wp:positionV relativeFrom="paragraph">
                <wp:posOffset>160654</wp:posOffset>
              </wp:positionV>
              <wp:extent cx="699135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w="12700">
                        <a:solidFill>
                          <a:srgbClr val="F4825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E5A79B" id="Straight Connector 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2pt,12.65pt" to="50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" strokecolor="#f4825a" strokeweight="1pt">
              <v:stroke joinstyle="miter"/>
              <o:lock v:ext="edit" shapetype="f"/>
            </v:line>
          </w:pict>
        </mc:Fallback>
      </mc:AlternateContent>
    </w:r>
  </w:p>
  <w:p w14:paraId="6F4C7CE1" w14:textId="77777777" w:rsidR="00BE1300" w:rsidRDefault="00BE13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378F5D" w14:textId="77777777" w:rsidR="00D043BD" w:rsidRDefault="00D043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FCD"/>
    <w:multiLevelType w:val="hybridMultilevel"/>
    <w:tmpl w:val="4D88D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teTempFile" w:val="C:\Users\Natalie\AppData\Local\Temp\39b8892d-3156-45cb-82bc-018106fb9e11.docx"/>
    <w:docVar w:name="zzmp10LastTrailerInserted" w:val="^`~#mp!@⌍Qc#⌆├┭38A|Ŝm}æ⌌•I⌒‮Ø£pð⌖,K‧Ý&quot;*⌆æ.!x5ÂFØ(«J⌚ä{þ@,7E(êÅƆâ™⌃ïìJt­•⌜veˎj⌒⌐⌒Ý}Û+UÅsYõB-ÁÜEW~èƚ⌉4 T⌠LS⌂­⌃‧£ßÉ.[⌠„,em⌌fÄým¯›k⌉ë‡[É¨6=TEì⌍ü⌐µ+?l÷Åã·Ƈúe0;¿⌊—B3'C⌉«¾6ŨÚä«O⌓[Ü⌓W]EáZ;6^_011"/>
    <w:docVar w:name="zzmp10LastTrailerInserted_1078" w:val="^`~#mp!@⌍Qc#⌆├┭38A|Ŝm}æ⌌•I⌒‮Ø£pð⌖,K‧Ý&quot;*⌆æ.!x5ÂFØ(«J⌚ä{þ@,7E(êÅƆâ™⌃ïìJt­•⌜veˎj⌒⌐⌒Ý}Û+UÅsYõB-ÁÜEW~èƚ⌉4 T⌠LS⌂­⌃‧£ßÉ.[⌠„,em⌌fÄým¯›k⌉ë‡[É¨6=TEì⌍ü⌐µ+?l÷Åã·Ƈúe0;¿⌊—B3'C⌉«¾6ŨÚä«O⌓[Ü⌓W]EáZ;6^_011"/>
    <w:docVar w:name="zzmp10mSEGsValidated" w:val="1"/>
    <w:docVar w:name="zzmpCompatibilityMode" w:val="15"/>
  </w:docVars>
  <w:rsids>
    <w:rsidRoot w:val="00A86E21"/>
    <w:rsid w:val="000156A2"/>
    <w:rsid w:val="000165E7"/>
    <w:rsid w:val="00071552"/>
    <w:rsid w:val="000931D7"/>
    <w:rsid w:val="000A6E3D"/>
    <w:rsid w:val="000C0B86"/>
    <w:rsid w:val="000C6776"/>
    <w:rsid w:val="000D25B4"/>
    <w:rsid w:val="000F7E83"/>
    <w:rsid w:val="00100B83"/>
    <w:rsid w:val="001014D4"/>
    <w:rsid w:val="00105392"/>
    <w:rsid w:val="00113F10"/>
    <w:rsid w:val="00153285"/>
    <w:rsid w:val="00163752"/>
    <w:rsid w:val="00173C71"/>
    <w:rsid w:val="001D5960"/>
    <w:rsid w:val="001E4BBB"/>
    <w:rsid w:val="00221B9E"/>
    <w:rsid w:val="002222C4"/>
    <w:rsid w:val="0022580D"/>
    <w:rsid w:val="002535AB"/>
    <w:rsid w:val="002600D9"/>
    <w:rsid w:val="00263864"/>
    <w:rsid w:val="002805E9"/>
    <w:rsid w:val="002B0D6A"/>
    <w:rsid w:val="002F3603"/>
    <w:rsid w:val="00300B5B"/>
    <w:rsid w:val="003216B0"/>
    <w:rsid w:val="00357BBF"/>
    <w:rsid w:val="00364E87"/>
    <w:rsid w:val="003970E6"/>
    <w:rsid w:val="003B32A5"/>
    <w:rsid w:val="003D2E0E"/>
    <w:rsid w:val="00401C13"/>
    <w:rsid w:val="00463274"/>
    <w:rsid w:val="004911F2"/>
    <w:rsid w:val="004B2080"/>
    <w:rsid w:val="005726D6"/>
    <w:rsid w:val="005729D3"/>
    <w:rsid w:val="005F42F7"/>
    <w:rsid w:val="00637357"/>
    <w:rsid w:val="00642D2B"/>
    <w:rsid w:val="00662614"/>
    <w:rsid w:val="0067415E"/>
    <w:rsid w:val="00682E4C"/>
    <w:rsid w:val="00696429"/>
    <w:rsid w:val="006C119C"/>
    <w:rsid w:val="006C5350"/>
    <w:rsid w:val="006D0791"/>
    <w:rsid w:val="006E0E52"/>
    <w:rsid w:val="006E5506"/>
    <w:rsid w:val="00711A4F"/>
    <w:rsid w:val="00715AF2"/>
    <w:rsid w:val="0075319E"/>
    <w:rsid w:val="007672F1"/>
    <w:rsid w:val="007A549C"/>
    <w:rsid w:val="007B6BA6"/>
    <w:rsid w:val="007F6514"/>
    <w:rsid w:val="008056CF"/>
    <w:rsid w:val="00851D97"/>
    <w:rsid w:val="0086104B"/>
    <w:rsid w:val="00867DA2"/>
    <w:rsid w:val="00872B75"/>
    <w:rsid w:val="008A3D4F"/>
    <w:rsid w:val="008F33A3"/>
    <w:rsid w:val="008F4D3F"/>
    <w:rsid w:val="00931141"/>
    <w:rsid w:val="00940A84"/>
    <w:rsid w:val="00951F64"/>
    <w:rsid w:val="00965CF5"/>
    <w:rsid w:val="009C2E38"/>
    <w:rsid w:val="009F1EFA"/>
    <w:rsid w:val="009F429E"/>
    <w:rsid w:val="009F7FE6"/>
    <w:rsid w:val="00A03120"/>
    <w:rsid w:val="00A118A3"/>
    <w:rsid w:val="00A146D6"/>
    <w:rsid w:val="00A21038"/>
    <w:rsid w:val="00A35AF8"/>
    <w:rsid w:val="00A86E21"/>
    <w:rsid w:val="00A909B3"/>
    <w:rsid w:val="00A97EDC"/>
    <w:rsid w:val="00AD36CD"/>
    <w:rsid w:val="00AE5362"/>
    <w:rsid w:val="00AF2A09"/>
    <w:rsid w:val="00B1568C"/>
    <w:rsid w:val="00B314AC"/>
    <w:rsid w:val="00B56B7B"/>
    <w:rsid w:val="00B65D14"/>
    <w:rsid w:val="00B954F3"/>
    <w:rsid w:val="00BB496F"/>
    <w:rsid w:val="00BD5A4B"/>
    <w:rsid w:val="00BE0C41"/>
    <w:rsid w:val="00BE1300"/>
    <w:rsid w:val="00BF0857"/>
    <w:rsid w:val="00C13685"/>
    <w:rsid w:val="00C21F4B"/>
    <w:rsid w:val="00C27245"/>
    <w:rsid w:val="00CC65B6"/>
    <w:rsid w:val="00CD542B"/>
    <w:rsid w:val="00D00BC9"/>
    <w:rsid w:val="00D043BD"/>
    <w:rsid w:val="00D11750"/>
    <w:rsid w:val="00D1602C"/>
    <w:rsid w:val="00D17FF4"/>
    <w:rsid w:val="00D27A6C"/>
    <w:rsid w:val="00D300AE"/>
    <w:rsid w:val="00D452BD"/>
    <w:rsid w:val="00D57A9F"/>
    <w:rsid w:val="00D64480"/>
    <w:rsid w:val="00D66F16"/>
    <w:rsid w:val="00D96EEB"/>
    <w:rsid w:val="00E00A1A"/>
    <w:rsid w:val="00E06889"/>
    <w:rsid w:val="00E109CB"/>
    <w:rsid w:val="00E84DF1"/>
    <w:rsid w:val="00EA70CF"/>
    <w:rsid w:val="00ED359E"/>
    <w:rsid w:val="00ED4338"/>
    <w:rsid w:val="00EF28D3"/>
    <w:rsid w:val="00EF4495"/>
    <w:rsid w:val="00EF48E6"/>
    <w:rsid w:val="00F12B7F"/>
    <w:rsid w:val="00F41699"/>
    <w:rsid w:val="00F623BE"/>
    <w:rsid w:val="00FA10C3"/>
    <w:rsid w:val="00FB1263"/>
    <w:rsid w:val="00FB4C34"/>
    <w:rsid w:val="00FD3895"/>
    <w:rsid w:val="00FD5863"/>
    <w:rsid w:val="00FE1DB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122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spacing w:after="0" w:line="240" w:lineRule="auto"/>
      <w:jc w:val="center"/>
    </w:pPr>
    <w:rPr>
      <w:rFonts w:ascii="Times New Roman" w:eastAsia="Calibri" w:hAnsi="Times New Roman"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ind w:left="720"/>
      <w:contextualSpacing/>
    </w:pPr>
  </w:style>
  <w:style w:type="paragraph" w:styleId="BalloonText">
    <w:name w:val="Balloon Text"/>
    <w:basedOn w:val="Normal"/>
    <w:link w:val="BalloonTextChar"/>
    <w:uiPriority w:val="99"/>
    <w:semiHidden/>
    <w:unhideWhenUsed/>
    <w:rsid w:val="006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57"/>
    <w:rPr>
      <w:rFonts w:ascii="Segoe UI" w:hAnsi="Segoe UI" w:cs="Segoe UI"/>
      <w:sz w:val="18"/>
      <w:szCs w:val="18"/>
    </w:rPr>
  </w:style>
  <w:style w:type="paragraph" w:customStyle="1" w:styleId="MacPacTrailer">
    <w:name w:val="MacPac Trailer"/>
    <w:rsid w:val="00FD3895"/>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D3895"/>
    <w:rPr>
      <w:color w:val="808080"/>
    </w:rPr>
  </w:style>
  <w:style w:type="paragraph" w:customStyle="1" w:styleId="Standard">
    <w:name w:val="Standard"/>
    <w:rsid w:val="00A35AF8"/>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spacing w:after="0" w:line="240" w:lineRule="auto"/>
      <w:jc w:val="center"/>
    </w:pPr>
    <w:rPr>
      <w:rFonts w:ascii="Times New Roman" w:eastAsia="Calibri" w:hAnsi="Times New Roman"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ind w:left="720"/>
      <w:contextualSpacing/>
    </w:pPr>
  </w:style>
  <w:style w:type="paragraph" w:styleId="BalloonText">
    <w:name w:val="Balloon Text"/>
    <w:basedOn w:val="Normal"/>
    <w:link w:val="BalloonTextChar"/>
    <w:uiPriority w:val="99"/>
    <w:semiHidden/>
    <w:unhideWhenUsed/>
    <w:rsid w:val="006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57"/>
    <w:rPr>
      <w:rFonts w:ascii="Segoe UI" w:hAnsi="Segoe UI" w:cs="Segoe UI"/>
      <w:sz w:val="18"/>
      <w:szCs w:val="18"/>
    </w:rPr>
  </w:style>
  <w:style w:type="paragraph" w:customStyle="1" w:styleId="MacPacTrailer">
    <w:name w:val="MacPac Trailer"/>
    <w:rsid w:val="00FD3895"/>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D3895"/>
    <w:rPr>
      <w:color w:val="808080"/>
    </w:rPr>
  </w:style>
  <w:style w:type="paragraph" w:customStyle="1" w:styleId="Standard">
    <w:name w:val="Standard"/>
    <w:rsid w:val="00A35AF8"/>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77580">
      <w:bodyDiv w:val="1"/>
      <w:marLeft w:val="0"/>
      <w:marRight w:val="0"/>
      <w:marTop w:val="0"/>
      <w:marBottom w:val="0"/>
      <w:divBdr>
        <w:top w:val="none" w:sz="0" w:space="0" w:color="auto"/>
        <w:left w:val="none" w:sz="0" w:space="0" w:color="auto"/>
        <w:bottom w:val="none" w:sz="0" w:space="0" w:color="auto"/>
        <w:right w:val="none" w:sz="0" w:space="0" w:color="auto"/>
      </w:divBdr>
    </w:div>
    <w:div w:id="21212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Ausburn</dc:creator>
  <cp:lastModifiedBy>jonathan george</cp:lastModifiedBy>
  <cp:revision>2</cp:revision>
  <cp:lastPrinted>2018-01-10T00:42:00Z</cp:lastPrinted>
  <dcterms:created xsi:type="dcterms:W3CDTF">2020-08-13T18:08:00Z</dcterms:created>
  <dcterms:modified xsi:type="dcterms:W3CDTF">2020-08-13T18:08:00Z</dcterms:modified>
</cp:coreProperties>
</file>