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p w:rsidR="00D452BD" w:rsidRPr="00D452BD" w:rsidP="00D452BD" w14:paraId="597D66A5" w14:textId="77777777">
      <w:pPr>
        <w:jc w:val="center"/>
        <w:rPr>
          <w:rFonts w:cstheme="minorHAnsi"/>
          <w:b/>
          <w:sz w:val="24"/>
          <w:szCs w:val="24"/>
        </w:rPr>
      </w:pPr>
      <w:r w:rsidRPr="00D452BD">
        <w:rPr>
          <w:rFonts w:cstheme="minorHAnsi"/>
          <w:b/>
          <w:bCs/>
          <w:sz w:val="24"/>
          <w:szCs w:val="24"/>
          <w:lang w:val="en-CA"/>
        </w:rPr>
        <w:t>NEWS RELEASE</w:t>
      </w:r>
    </w:p>
    <w:p w:rsidR="00C27245" w:rsidRPr="0075319E" w:rsidP="0075319E" w14:paraId="12F7D41B" w14:textId="31B084CA">
      <w:pPr>
        <w:jc w:val="center"/>
        <w:rPr>
          <w:rFonts w:cstheme="minorHAnsi"/>
          <w:b/>
          <w:color w:val="000000" w:themeColor="text1"/>
          <w:sz w:val="28"/>
          <w:szCs w:val="28"/>
        </w:rPr>
      </w:pPr>
      <w:r w:rsidRPr="0075319E">
        <w:rPr>
          <w:rFonts w:cstheme="minorHAnsi"/>
          <w:b/>
          <w:color w:val="000000" w:themeColor="text1"/>
          <w:sz w:val="28"/>
          <w:szCs w:val="28"/>
        </w:rPr>
        <w:t xml:space="preserve">New Tech Minerals </w:t>
      </w:r>
      <w:r w:rsidRPr="0075319E" w:rsidR="006C5350">
        <w:rPr>
          <w:rFonts w:cstheme="minorHAnsi"/>
          <w:b/>
          <w:color w:val="000000" w:themeColor="text1"/>
          <w:sz w:val="28"/>
          <w:szCs w:val="28"/>
        </w:rPr>
        <w:t>Announces Non-Brokered Private Placement</w:t>
      </w:r>
    </w:p>
    <w:p w:rsidR="006C5350" w:rsidRPr="0075319E" w:rsidP="006C5350" w14:paraId="4BCC82D1" w14:textId="30FA3104">
      <w:pPr>
        <w:jc w:val="both"/>
        <w:rPr>
          <w:rFonts w:eastAsia="Times New Roman" w:cstheme="minorHAnsi"/>
          <w:lang w:val="en-CA"/>
        </w:rPr>
      </w:pPr>
      <w:r w:rsidRPr="0075319E">
        <w:rPr>
          <w:rFonts w:cstheme="minorHAnsi"/>
          <w:color w:val="000000" w:themeColor="text1"/>
        </w:rPr>
        <w:t>Vancouver, B</w:t>
      </w:r>
      <w:r w:rsidRPr="000C6776">
        <w:rPr>
          <w:rFonts w:cstheme="minorHAnsi"/>
          <w:color w:val="000000" w:themeColor="text1"/>
        </w:rPr>
        <w:t xml:space="preserve">.C., </w:t>
      </w:r>
      <w:r w:rsidR="00F4468D">
        <w:rPr>
          <w:rFonts w:cstheme="minorHAnsi"/>
          <w:color w:val="000000" w:themeColor="text1"/>
        </w:rPr>
        <w:t>August</w:t>
      </w:r>
      <w:r w:rsidR="000A1400">
        <w:rPr>
          <w:rFonts w:cstheme="minorHAnsi"/>
          <w:color w:val="000000" w:themeColor="text1"/>
        </w:rPr>
        <w:t xml:space="preserve"> 17</w:t>
      </w:r>
      <w:r w:rsidR="00F4468D">
        <w:rPr>
          <w:rFonts w:cstheme="minorHAnsi"/>
          <w:color w:val="000000" w:themeColor="text1"/>
        </w:rPr>
        <w:t>, 2021</w:t>
      </w:r>
      <w:r w:rsidRPr="000C6776">
        <w:rPr>
          <w:rFonts w:cstheme="minorHAnsi"/>
          <w:color w:val="000000" w:themeColor="text1"/>
        </w:rPr>
        <w:t>:</w:t>
      </w:r>
      <w:r w:rsidRPr="0075319E">
        <w:rPr>
          <w:rFonts w:cstheme="minorHAnsi"/>
          <w:color w:val="000000" w:themeColor="text1"/>
        </w:rPr>
        <w:t xml:space="preserve"> </w:t>
      </w:r>
      <w:r w:rsidRPr="0075319E" w:rsidR="00C27245">
        <w:rPr>
          <w:rFonts w:cstheme="minorHAnsi"/>
          <w:b/>
          <w:color w:val="000000" w:themeColor="text1"/>
        </w:rPr>
        <w:t>New Tech Minerals Corp</w:t>
      </w:r>
      <w:r w:rsidR="00804067">
        <w:rPr>
          <w:rFonts w:cstheme="minorHAnsi"/>
          <w:b/>
          <w:color w:val="000000" w:themeColor="text1"/>
        </w:rPr>
        <w:t>.</w:t>
      </w:r>
      <w:bookmarkStart w:id="0" w:name="_GoBack"/>
      <w:bookmarkEnd w:id="0"/>
      <w:r w:rsidRPr="0075319E" w:rsidR="00C27245">
        <w:rPr>
          <w:rFonts w:cstheme="minorHAnsi"/>
          <w:b/>
          <w:color w:val="000000" w:themeColor="text1"/>
        </w:rPr>
        <w:t xml:space="preserve"> (NTM-CSE)</w:t>
      </w:r>
      <w:r w:rsidRPr="0075319E" w:rsidR="00C27245">
        <w:rPr>
          <w:rFonts w:cstheme="minorHAnsi"/>
          <w:color w:val="000000" w:themeColor="text1"/>
        </w:rPr>
        <w:t xml:space="preserve"> (“New Tech” or the </w:t>
      </w:r>
      <w:r w:rsidRPr="0075319E">
        <w:rPr>
          <w:rFonts w:cstheme="minorHAnsi"/>
          <w:color w:val="000000" w:themeColor="text1"/>
        </w:rPr>
        <w:t>“</w:t>
      </w:r>
      <w:r w:rsidRPr="0075319E" w:rsidR="00C27245">
        <w:rPr>
          <w:rFonts w:cstheme="minorHAnsi"/>
          <w:color w:val="000000" w:themeColor="text1"/>
        </w:rPr>
        <w:t>Company”), announce</w:t>
      </w:r>
      <w:r w:rsidRPr="0075319E">
        <w:rPr>
          <w:rFonts w:cstheme="minorHAnsi"/>
          <w:color w:val="000000" w:themeColor="text1"/>
        </w:rPr>
        <w:t>s a non-broke</w:t>
      </w:r>
      <w:r w:rsidR="00F4468D">
        <w:rPr>
          <w:rFonts w:cstheme="minorHAnsi"/>
          <w:color w:val="000000" w:themeColor="text1"/>
        </w:rPr>
        <w:t>red private placement of up to 20</w:t>
      </w:r>
      <w:r w:rsidRPr="0075319E">
        <w:rPr>
          <w:rFonts w:cstheme="minorHAnsi"/>
          <w:color w:val="000000" w:themeColor="text1"/>
        </w:rPr>
        <w:t>,000,000 units (each a “Unit”)</w:t>
      </w:r>
      <w:r w:rsidRPr="0075319E" w:rsidR="00C27245">
        <w:rPr>
          <w:rFonts w:cstheme="minorHAnsi"/>
          <w:color w:val="000000" w:themeColor="text1"/>
        </w:rPr>
        <w:t xml:space="preserve"> </w:t>
      </w:r>
      <w:r w:rsidRPr="0075319E">
        <w:rPr>
          <w:rFonts w:eastAsia="Times New Roman" w:cstheme="minorHAnsi"/>
          <w:lang w:val="en-CA"/>
        </w:rPr>
        <w:t>at a price of $0.</w:t>
      </w:r>
      <w:r w:rsidR="00B314AC">
        <w:rPr>
          <w:rFonts w:eastAsia="Times New Roman" w:cstheme="minorHAnsi"/>
          <w:lang w:val="en-CA"/>
        </w:rPr>
        <w:t>0</w:t>
      </w:r>
      <w:r w:rsidR="00F4468D">
        <w:rPr>
          <w:rFonts w:eastAsia="Times New Roman" w:cstheme="minorHAnsi"/>
          <w:lang w:val="en-CA"/>
        </w:rPr>
        <w:t xml:space="preserve">5 </w:t>
      </w:r>
      <w:r w:rsidRPr="0075319E">
        <w:rPr>
          <w:rFonts w:eastAsia="Times New Roman" w:cstheme="minorHAnsi"/>
          <w:lang w:val="en-CA"/>
        </w:rPr>
        <w:t>per Unit for gross proceeds of up to $</w:t>
      </w:r>
      <w:r w:rsidR="00F4468D">
        <w:rPr>
          <w:rFonts w:eastAsia="Times New Roman" w:cstheme="minorHAnsi"/>
          <w:lang w:val="en-CA"/>
        </w:rPr>
        <w:t>1,000,</w:t>
      </w:r>
      <w:r w:rsidRPr="0075319E">
        <w:rPr>
          <w:rFonts w:eastAsia="Times New Roman" w:cstheme="minorHAnsi"/>
          <w:lang w:val="en-CA"/>
        </w:rPr>
        <w:t xml:space="preserve">000. Each Unit will consist of one common share and one common share purchase warrant (each a “Warrant”). Each Warrant entitles the holder to purchase one additional common share of the Company at a price of </w:t>
      </w:r>
      <w:r w:rsidRPr="0075319E" w:rsidR="0075319E">
        <w:rPr>
          <w:rFonts w:eastAsia="Times New Roman" w:cstheme="minorHAnsi"/>
          <w:lang w:val="en-CA"/>
        </w:rPr>
        <w:t>CDN</w:t>
      </w:r>
      <w:r w:rsidRPr="0075319E">
        <w:rPr>
          <w:rFonts w:eastAsia="Times New Roman" w:cstheme="minorHAnsi"/>
          <w:lang w:val="en-CA"/>
        </w:rPr>
        <w:t>$0.0</w:t>
      </w:r>
      <w:r w:rsidR="00F4468D">
        <w:rPr>
          <w:rFonts w:eastAsia="Times New Roman" w:cstheme="minorHAnsi"/>
          <w:lang w:val="en-CA"/>
        </w:rPr>
        <w:t>75</w:t>
      </w:r>
      <w:r w:rsidRPr="0075319E">
        <w:rPr>
          <w:rFonts w:eastAsia="Times New Roman" w:cstheme="minorHAnsi"/>
          <w:lang w:val="en-CA"/>
        </w:rPr>
        <w:t xml:space="preserve"> per share for a period of 36 months from the date of closing. </w:t>
      </w:r>
      <w:r w:rsidR="00F4468D">
        <w:rPr>
          <w:rFonts w:eastAsia="Times New Roman" w:cstheme="minorHAnsi"/>
          <w:lang w:val="en-CA"/>
        </w:rPr>
        <w:t>A finder’s fee of up to 6</w:t>
      </w:r>
      <w:r w:rsidR="000C6776">
        <w:rPr>
          <w:rFonts w:eastAsia="Times New Roman" w:cstheme="minorHAnsi"/>
          <w:lang w:val="en-CA"/>
        </w:rPr>
        <w:t xml:space="preserve">% </w:t>
      </w:r>
      <w:r w:rsidR="00F4468D">
        <w:rPr>
          <w:rFonts w:eastAsia="Times New Roman" w:cstheme="minorHAnsi"/>
          <w:lang w:val="en-CA"/>
        </w:rPr>
        <w:t xml:space="preserve">cash and 6% warrants (having the same terms as the Warrants) </w:t>
      </w:r>
      <w:r w:rsidR="000C6776">
        <w:rPr>
          <w:rFonts w:eastAsia="Times New Roman" w:cstheme="minorHAnsi"/>
          <w:lang w:val="en-CA"/>
        </w:rPr>
        <w:t xml:space="preserve">may be paid in connection with </w:t>
      </w:r>
      <w:r w:rsidR="0022580D">
        <w:rPr>
          <w:rFonts w:eastAsia="Times New Roman" w:cstheme="minorHAnsi"/>
          <w:lang w:val="en-CA"/>
        </w:rPr>
        <w:t>a portion of th</w:t>
      </w:r>
      <w:r w:rsidR="000C6776">
        <w:rPr>
          <w:rFonts w:eastAsia="Times New Roman" w:cstheme="minorHAnsi"/>
          <w:lang w:val="en-CA"/>
        </w:rPr>
        <w:t xml:space="preserve">is </w:t>
      </w:r>
      <w:r w:rsidR="0022580D">
        <w:rPr>
          <w:rFonts w:eastAsia="Times New Roman" w:cstheme="minorHAnsi"/>
          <w:lang w:val="en-CA"/>
        </w:rPr>
        <w:t xml:space="preserve">private </w:t>
      </w:r>
      <w:r w:rsidR="000C6776">
        <w:rPr>
          <w:rFonts w:eastAsia="Times New Roman" w:cstheme="minorHAnsi"/>
          <w:lang w:val="en-CA"/>
        </w:rPr>
        <w:t>placement.</w:t>
      </w:r>
    </w:p>
    <w:p w:rsidR="006C5350" w:rsidRPr="0075319E" w:rsidP="006C5350" w14:paraId="5FE94087" w14:textId="35CAEF39">
      <w:pPr>
        <w:widowControl w:val="0"/>
        <w:autoSpaceDE w:val="0"/>
        <w:autoSpaceDN w:val="0"/>
        <w:adjustRightInd w:val="0"/>
        <w:spacing w:after="320"/>
        <w:jc w:val="both"/>
        <w:rPr>
          <w:rFonts w:cstheme="minorHAnsi"/>
        </w:rPr>
      </w:pPr>
      <w:r w:rsidRPr="0075319E">
        <w:rPr>
          <w:rFonts w:eastAsia="Times New Roman" w:cstheme="minorHAnsi"/>
          <w:lang w:val="en-CA"/>
        </w:rPr>
        <w:t>The proceeds from the sale of Units will be added to working capital in furtherance of the Company’s business.  The securities to be issued under the placement will be subj</w:t>
      </w:r>
      <w:r w:rsidRPr="0075319E" w:rsidR="0075319E">
        <w:rPr>
          <w:rFonts w:eastAsia="Times New Roman" w:cstheme="minorHAnsi"/>
          <w:lang w:val="en-CA"/>
        </w:rPr>
        <w:t xml:space="preserve">ect to a four-month </w:t>
      </w:r>
      <w:r w:rsidR="00F4468D">
        <w:rPr>
          <w:rFonts w:eastAsia="Times New Roman" w:cstheme="minorHAnsi"/>
          <w:lang w:val="en-CA"/>
        </w:rPr>
        <w:t xml:space="preserve">statutory </w:t>
      </w:r>
      <w:r w:rsidRPr="0075319E" w:rsidR="0075319E">
        <w:rPr>
          <w:rFonts w:eastAsia="Times New Roman" w:cstheme="minorHAnsi"/>
          <w:lang w:val="en-CA"/>
        </w:rPr>
        <w:t>hold period in accordance with applicable securities laws</w:t>
      </w:r>
      <w:r w:rsidRPr="0075319E">
        <w:rPr>
          <w:rFonts w:eastAsia="Times New Roman" w:cstheme="minorHAnsi"/>
          <w:lang w:val="en-CA"/>
        </w:rPr>
        <w:t xml:space="preserve">.  </w:t>
      </w:r>
    </w:p>
    <w:p w:rsidR="00D452BD" w:rsidRPr="00D452BD" w:rsidP="00D452BD" w14:paraId="029ED99F" w14:textId="77777777">
      <w:pPr>
        <w:jc w:val="both"/>
        <w:rPr>
          <w:rFonts w:cstheme="minorHAnsi"/>
          <w:b/>
          <w:bCs/>
          <w:color w:val="000000"/>
          <w:sz w:val="24"/>
          <w:szCs w:val="24"/>
        </w:rPr>
      </w:pPr>
      <w:r w:rsidRPr="00D452BD">
        <w:rPr>
          <w:rFonts w:cstheme="minorHAnsi"/>
          <w:b/>
          <w:bCs/>
          <w:color w:val="000000"/>
          <w:sz w:val="24"/>
          <w:szCs w:val="24"/>
        </w:rPr>
        <w:t>On behalf of the Board of Directors</w:t>
      </w:r>
    </w:p>
    <w:p w:rsidR="00D452BD" w:rsidRPr="00D452BD" w:rsidP="00D452BD" w14:paraId="230F57BE" w14:textId="77777777">
      <w:pPr>
        <w:autoSpaceDE w:val="0"/>
        <w:autoSpaceDN w:val="0"/>
        <w:adjustRightInd w:val="0"/>
        <w:spacing w:after="0" w:line="240" w:lineRule="auto"/>
        <w:jc w:val="both"/>
        <w:rPr>
          <w:rFonts w:cstheme="minorHAnsi"/>
          <w:color w:val="000000"/>
          <w:sz w:val="24"/>
          <w:szCs w:val="24"/>
        </w:rPr>
      </w:pPr>
      <w:r w:rsidRPr="00D452BD">
        <w:rPr>
          <w:rFonts w:cstheme="minorHAnsi"/>
          <w:color w:val="000000"/>
          <w:sz w:val="24"/>
          <w:szCs w:val="24"/>
        </w:rPr>
        <w:t>“</w:t>
      </w:r>
      <w:r w:rsidRPr="00D452BD">
        <w:rPr>
          <w:rFonts w:cstheme="minorHAnsi"/>
          <w:i/>
          <w:color w:val="000000"/>
          <w:sz w:val="24"/>
          <w:szCs w:val="24"/>
        </w:rPr>
        <w:t>Jonathan George</w:t>
      </w:r>
      <w:r w:rsidRPr="00D452BD">
        <w:rPr>
          <w:rFonts w:cstheme="minorHAnsi"/>
          <w:color w:val="000000"/>
          <w:sz w:val="24"/>
          <w:szCs w:val="24"/>
        </w:rPr>
        <w:t>”</w:t>
      </w:r>
    </w:p>
    <w:p w:rsidR="00D452BD" w:rsidRPr="00D452BD" w:rsidP="00D452BD" w14:paraId="1EA5E999" w14:textId="77777777">
      <w:pPr>
        <w:autoSpaceDE w:val="0"/>
        <w:autoSpaceDN w:val="0"/>
        <w:adjustRightInd w:val="0"/>
        <w:spacing w:after="0" w:line="240" w:lineRule="auto"/>
        <w:jc w:val="both"/>
        <w:rPr>
          <w:rFonts w:cstheme="minorHAnsi"/>
          <w:b/>
          <w:bCs/>
          <w:color w:val="000000"/>
          <w:sz w:val="24"/>
          <w:szCs w:val="24"/>
        </w:rPr>
      </w:pPr>
    </w:p>
    <w:p w:rsidR="00D452BD" w:rsidRPr="00D452BD" w:rsidP="00D452BD" w14:paraId="5DFF4754" w14:textId="0F84672C">
      <w:pPr>
        <w:autoSpaceDE w:val="0"/>
        <w:autoSpaceDN w:val="0"/>
        <w:adjustRightInd w:val="0"/>
        <w:spacing w:after="0" w:line="240" w:lineRule="auto"/>
        <w:jc w:val="both"/>
        <w:rPr>
          <w:rFonts w:cstheme="minorHAnsi"/>
          <w:b/>
          <w:bCs/>
          <w:color w:val="000000"/>
          <w:sz w:val="24"/>
          <w:szCs w:val="24"/>
        </w:rPr>
      </w:pPr>
      <w:r w:rsidRPr="00D452BD">
        <w:rPr>
          <w:rFonts w:cstheme="minorHAnsi"/>
          <w:b/>
          <w:bCs/>
          <w:color w:val="000000"/>
          <w:sz w:val="24"/>
          <w:szCs w:val="24"/>
        </w:rPr>
        <w:t xml:space="preserve">Jonathan George, </w:t>
      </w:r>
      <w:r w:rsidR="00637357">
        <w:rPr>
          <w:rFonts w:cstheme="minorHAnsi"/>
          <w:b/>
          <w:bCs/>
          <w:color w:val="000000"/>
          <w:sz w:val="24"/>
          <w:szCs w:val="24"/>
        </w:rPr>
        <w:t xml:space="preserve">President &amp; </w:t>
      </w:r>
      <w:r w:rsidRPr="00D452BD">
        <w:rPr>
          <w:rFonts w:cstheme="minorHAnsi"/>
          <w:b/>
          <w:bCs/>
          <w:color w:val="000000"/>
          <w:sz w:val="24"/>
          <w:szCs w:val="24"/>
        </w:rPr>
        <w:t>CEO</w:t>
      </w:r>
    </w:p>
    <w:p w:rsidR="00D452BD" w:rsidRPr="00D452BD" w:rsidP="00D452BD" w14:paraId="25605CED" w14:textId="77777777">
      <w:pPr>
        <w:autoSpaceDE w:val="0"/>
        <w:autoSpaceDN w:val="0"/>
        <w:adjustRightInd w:val="0"/>
        <w:spacing w:after="0" w:line="240" w:lineRule="auto"/>
        <w:jc w:val="both"/>
        <w:rPr>
          <w:rFonts w:cstheme="minorHAnsi"/>
          <w:i/>
          <w:iCs/>
          <w:color w:val="000000"/>
          <w:sz w:val="24"/>
          <w:szCs w:val="24"/>
        </w:rPr>
      </w:pPr>
    </w:p>
    <w:p w:rsidR="00D452BD" w:rsidRPr="00D452BD" w:rsidP="00D452BD" w14:paraId="7CD9A9CA" w14:textId="77777777">
      <w:pPr>
        <w:spacing w:after="0" w:line="240" w:lineRule="auto"/>
        <w:jc w:val="both"/>
        <w:rPr>
          <w:rFonts w:eastAsia="Calibri" w:cstheme="minorHAnsi"/>
          <w:i/>
          <w:lang w:val="en-CA"/>
        </w:rPr>
      </w:pPr>
      <w:r w:rsidRPr="00D452BD">
        <w:rPr>
          <w:rFonts w:eastAsia="Calibri" w:cstheme="minorHAnsi"/>
          <w:i/>
          <w:lang w:val="en-CA"/>
        </w:rPr>
        <w:t xml:space="preserve">Neither the OTCQX nor the Canadian Securities Exchange nor its Regulation Services Provider (as that term is defined in the policies of the Canadian Securities Exchange) accepts responsibility for the adequacy or accuracy of this release. </w:t>
      </w:r>
    </w:p>
    <w:p w:rsidR="00D452BD" w:rsidRPr="00D452BD" w:rsidP="00D452BD" w14:paraId="4553A557" w14:textId="77777777">
      <w:pPr>
        <w:spacing w:after="0" w:line="240" w:lineRule="auto"/>
        <w:jc w:val="both"/>
        <w:rPr>
          <w:rFonts w:eastAsia="Calibri" w:cstheme="minorHAnsi"/>
          <w:i/>
          <w:lang w:val="en-CA"/>
        </w:rPr>
      </w:pPr>
    </w:p>
    <w:p w:rsidR="00D452BD" w:rsidRPr="00F4468D" w:rsidP="00F4468D" w14:paraId="3FB595CA" w14:textId="0F4243A5">
      <w:pPr>
        <w:spacing w:after="0" w:line="240" w:lineRule="auto"/>
        <w:jc w:val="both"/>
        <w:rPr>
          <w:rFonts w:eastAsia="Calibri" w:cstheme="minorHAnsi"/>
          <w:i/>
          <w:iCs/>
          <w:lang w:val="en-CA"/>
        </w:rPr>
      </w:pPr>
      <w:r w:rsidRPr="00F4468D">
        <w:rPr>
          <w:rFonts w:eastAsia="Calibri" w:cstheme="minorHAnsi"/>
          <w:i/>
          <w:iCs/>
          <w:lang w:val="en-CA"/>
        </w:rPr>
        <w:t>This press release contains forward-looking information (within the meaning of applicable Canadian securit</w:t>
      </w:r>
      <w:r>
        <w:rPr>
          <w:rFonts w:eastAsia="Calibri" w:cstheme="minorHAnsi"/>
          <w:i/>
          <w:iCs/>
          <w:lang w:val="en-CA"/>
        </w:rPr>
        <w:t xml:space="preserve">ies </w:t>
      </w:r>
      <w:r w:rsidRPr="00F4468D">
        <w:rPr>
          <w:rFonts w:eastAsia="Calibri" w:cstheme="minorHAnsi"/>
          <w:i/>
          <w:iCs/>
          <w:lang w:val="en-CA"/>
        </w:rPr>
        <w:t>legislation) that involves various risks and uncertainties regarding future events. S</w:t>
      </w:r>
      <w:r>
        <w:rPr>
          <w:rFonts w:eastAsia="Calibri" w:cstheme="minorHAnsi"/>
          <w:i/>
          <w:iCs/>
          <w:lang w:val="en-CA"/>
        </w:rPr>
        <w:t xml:space="preserve">uch forward-looking information </w:t>
      </w:r>
      <w:r w:rsidRPr="00F4468D">
        <w:rPr>
          <w:rFonts w:eastAsia="Calibri" w:cstheme="minorHAnsi"/>
          <w:i/>
          <w:iCs/>
          <w:lang w:val="en-CA"/>
        </w:rPr>
        <w:t>includes statements based on current expectations involving a number of risks and uncertainties and such forward</w:t>
      </w:r>
      <w:r>
        <w:rPr>
          <w:rFonts w:eastAsia="Calibri" w:cstheme="minorHAnsi"/>
          <w:i/>
          <w:iCs/>
          <w:lang w:val="en-CA"/>
        </w:rPr>
        <w:t xml:space="preserve"> </w:t>
      </w:r>
      <w:r w:rsidRPr="00F4468D">
        <w:rPr>
          <w:rFonts w:eastAsia="Calibri" w:cstheme="minorHAnsi"/>
          <w:i/>
          <w:iCs/>
          <w:lang w:val="en-CA"/>
        </w:rPr>
        <w:t>looking statements are not guarantees of future performance of the Company, a</w:t>
      </w:r>
      <w:r>
        <w:rPr>
          <w:rFonts w:eastAsia="Calibri" w:cstheme="minorHAnsi"/>
          <w:i/>
          <w:iCs/>
          <w:lang w:val="en-CA"/>
        </w:rPr>
        <w:t xml:space="preserve">nd include, without limitation, </w:t>
      </w:r>
      <w:r w:rsidRPr="00F4468D">
        <w:rPr>
          <w:rFonts w:eastAsia="Calibri" w:cstheme="minorHAnsi"/>
          <w:i/>
          <w:iCs/>
          <w:lang w:val="en-CA"/>
        </w:rPr>
        <w:t xml:space="preserve">statements relating to </w:t>
      </w:r>
      <w:r>
        <w:rPr>
          <w:rFonts w:eastAsia="Calibri" w:cstheme="minorHAnsi"/>
          <w:i/>
          <w:iCs/>
          <w:lang w:val="en-CA"/>
        </w:rPr>
        <w:t xml:space="preserve">completion of the Private Placement and the use of proceeds of the Private Placement. There are </w:t>
      </w:r>
      <w:r w:rsidRPr="00F4468D">
        <w:rPr>
          <w:rFonts w:eastAsia="Calibri" w:cstheme="minorHAnsi"/>
          <w:i/>
          <w:iCs/>
          <w:lang w:val="en-CA"/>
        </w:rPr>
        <w:t>numerous risks and uncertainties that could cause actual results and the Company's</w:t>
      </w:r>
      <w:r>
        <w:rPr>
          <w:rFonts w:eastAsia="Calibri" w:cstheme="minorHAnsi"/>
          <w:i/>
          <w:iCs/>
          <w:lang w:val="en-CA"/>
        </w:rPr>
        <w:t xml:space="preserve"> plans and objectives to differ </w:t>
      </w:r>
      <w:r w:rsidRPr="00F4468D">
        <w:rPr>
          <w:rFonts w:eastAsia="Calibri" w:cstheme="minorHAnsi"/>
          <w:i/>
          <w:iCs/>
          <w:lang w:val="en-CA"/>
        </w:rPr>
        <w:t>materially from those expressed in the forward-looking information in this news release</w:t>
      </w:r>
      <w:r>
        <w:rPr>
          <w:rFonts w:eastAsia="Calibri" w:cstheme="minorHAnsi"/>
          <w:i/>
          <w:iCs/>
          <w:lang w:val="en-CA"/>
        </w:rPr>
        <w:t xml:space="preserve">, including without limitation, (i) the risk that the Company will not be able to locate suitable purchasers for the Private Placement (ii) management's discretion to reallocate the proceeds of the Private Placement; </w:t>
      </w:r>
      <w:r w:rsidRPr="00F4468D">
        <w:rPr>
          <w:rFonts w:eastAsia="Calibri" w:cstheme="minorHAnsi"/>
          <w:i/>
          <w:iCs/>
          <w:lang w:val="en-CA"/>
        </w:rPr>
        <w:t>(iii) results of exploration activities and development of mineral properties; (i) risks relati</w:t>
      </w:r>
      <w:r>
        <w:rPr>
          <w:rFonts w:eastAsia="Calibri" w:cstheme="minorHAnsi"/>
          <w:i/>
          <w:iCs/>
          <w:lang w:val="en-CA"/>
        </w:rPr>
        <w:t xml:space="preserve">ng to the estimation of mineral </w:t>
      </w:r>
      <w:r w:rsidRPr="00F4468D">
        <w:rPr>
          <w:rFonts w:eastAsia="Calibri" w:cstheme="minorHAnsi"/>
          <w:i/>
          <w:iCs/>
          <w:lang w:val="en-CA"/>
        </w:rPr>
        <w:t xml:space="preserve">resources; (v) stock market volatility and capital market fluctuations; and (vi) general </w:t>
      </w:r>
      <w:r>
        <w:rPr>
          <w:rFonts w:eastAsia="Calibri" w:cstheme="minorHAnsi"/>
          <w:i/>
          <w:iCs/>
          <w:lang w:val="en-CA"/>
        </w:rPr>
        <w:t xml:space="preserve">market and industry conditions. </w:t>
      </w:r>
      <w:r w:rsidRPr="00F4468D">
        <w:rPr>
          <w:rFonts w:eastAsia="Calibri" w:cstheme="minorHAnsi"/>
          <w:i/>
          <w:iCs/>
          <w:lang w:val="en-CA"/>
        </w:rPr>
        <w:t>Actual results and future events could differ materially from those anticipated in such information. This forward</w:t>
      </w:r>
      <w:r>
        <w:rPr>
          <w:rFonts w:eastAsia="Calibri" w:cstheme="minorHAnsi"/>
          <w:i/>
          <w:iCs/>
          <w:lang w:val="en-CA"/>
        </w:rPr>
        <w:t xml:space="preserve"> </w:t>
      </w:r>
      <w:r w:rsidRPr="00F4468D">
        <w:rPr>
          <w:rFonts w:eastAsia="Calibri" w:cstheme="minorHAnsi"/>
          <w:i/>
          <w:iCs/>
          <w:lang w:val="en-CA"/>
        </w:rPr>
        <w:t>looking information is based on estimates and opinions of management on the date hereof and is expressly</w:t>
      </w:r>
      <w:r>
        <w:rPr>
          <w:rFonts w:eastAsia="Calibri" w:cstheme="minorHAnsi"/>
          <w:i/>
          <w:iCs/>
          <w:lang w:val="en-CA"/>
        </w:rPr>
        <w:t xml:space="preserve"> </w:t>
      </w:r>
      <w:r>
        <w:rPr>
          <w:rFonts w:eastAsia="Calibri" w:cstheme="minorHAnsi"/>
          <w:i/>
          <w:iCs/>
          <w:lang w:val="en-CA"/>
        </w:rPr>
        <w:t>qualified</w:t>
      </w:r>
      <w:r>
        <w:rPr>
          <w:rFonts w:eastAsia="Calibri" w:cstheme="minorHAnsi"/>
          <w:i/>
          <w:iCs/>
          <w:lang w:val="en-CA"/>
        </w:rPr>
        <w:t xml:space="preserve"> </w:t>
      </w:r>
      <w:r w:rsidRPr="00F4468D">
        <w:rPr>
          <w:rFonts w:eastAsia="Calibri" w:cstheme="minorHAnsi"/>
          <w:i/>
          <w:iCs/>
          <w:lang w:val="en-CA"/>
        </w:rPr>
        <w:t>by this notice. Risks and uncertainties about the Company's business are more f</w:t>
      </w:r>
      <w:r>
        <w:rPr>
          <w:rFonts w:eastAsia="Calibri" w:cstheme="minorHAnsi"/>
          <w:i/>
          <w:iCs/>
          <w:lang w:val="en-CA"/>
        </w:rPr>
        <w:t xml:space="preserve">ully discussed in the Company's </w:t>
      </w:r>
      <w:r w:rsidRPr="00F4468D">
        <w:rPr>
          <w:rFonts w:eastAsia="Calibri" w:cstheme="minorHAnsi"/>
          <w:i/>
          <w:iCs/>
          <w:lang w:val="en-CA"/>
        </w:rPr>
        <w:t>disclosure materials filed with the securities regulatory authorities in Canad</w:t>
      </w:r>
      <w:r>
        <w:rPr>
          <w:rFonts w:eastAsia="Calibri" w:cstheme="minorHAnsi"/>
          <w:i/>
          <w:iCs/>
          <w:lang w:val="en-CA"/>
        </w:rPr>
        <w:t xml:space="preserve">a at </w:t>
      </w:r>
      <w:r>
        <w:rPr>
          <w:rFonts w:eastAsia="Calibri" w:cstheme="minorHAnsi"/>
          <w:i/>
          <w:iCs/>
          <w:lang w:val="en-CA"/>
        </w:rPr>
        <w:t xml:space="preserve">www.sedar.com. The Company </w:t>
      </w:r>
      <w:r w:rsidRPr="00F4468D">
        <w:rPr>
          <w:rFonts w:eastAsia="Calibri" w:cstheme="minorHAnsi"/>
          <w:i/>
          <w:iCs/>
          <w:lang w:val="en-CA"/>
        </w:rPr>
        <w:t>assumes no obligation to update any forward-looking information or to update the r</w:t>
      </w:r>
      <w:r>
        <w:rPr>
          <w:rFonts w:eastAsia="Calibri" w:cstheme="minorHAnsi"/>
          <w:i/>
          <w:iCs/>
          <w:lang w:val="en-CA"/>
        </w:rPr>
        <w:t xml:space="preserve">easons why actual results could </w:t>
      </w:r>
      <w:r w:rsidRPr="00F4468D">
        <w:rPr>
          <w:rFonts w:eastAsia="Calibri" w:cstheme="minorHAnsi"/>
          <w:i/>
          <w:iCs/>
          <w:lang w:val="en-CA"/>
        </w:rPr>
        <w:t>differ from such information unless required by applicable law</w:t>
      </w:r>
      <w:r w:rsidRPr="00D452BD">
        <w:rPr>
          <w:rFonts w:eastAsia="Calibri" w:cstheme="minorHAnsi"/>
          <w:i/>
          <w:iCs/>
          <w:lang w:val="en-CA"/>
        </w:rPr>
        <w:t xml:space="preserve"> </w:t>
      </w:r>
    </w:p>
    <w:p w:rsidR="009F1EFA" w:rsidRPr="00D452BD" w:rsidP="00D452BD" w14:paraId="344048FD" w14:textId="77777777"/>
    <w:sectPr w:rsidSect="000165E7">
      <w:headerReference w:type="default" r:id="rId4"/>
      <w:footerReference w:type="default" r:id="rId5"/>
      <w:footerReference w:type="firs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400" w14:paraId="1C58C2A8" w14:textId="77777777">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9" o:spid="_x0000_s2052" type="#_x0000_t202" style="width:201.6pt;height:50.4pt;margin-top:0;margin-left:0;mso-height-percent:0;mso-height-relative:page;mso-position-horizontal-relative:margin;mso-position-vertical:bottom;mso-position-vertical-relative:page;mso-width-percent:0;mso-width-relative:page;mso-wrap-distance-bottom:0;mso-wrap-distance-left:9pt;mso-wrap-distance-right:9pt;mso-wrap-distance-top:0;mso-wrap-style:square;position:absolute;visibility:visible;v-text-anchor:top;z-index:-251652096" filled="f" stroked="f">
          <v:textbox inset="0,0,0,0">
            <w:txbxContent>
              <w:p w:rsidR="000A1400" w:rsidP="000A1400" w14:paraId="4214A041" w14:textId="2CCE8459">
                <w:pPr>
                  <w:pStyle w:val="MacPacTrailer"/>
                  <w:spacing w:line="20" w:lineRule="exact"/>
                </w:pPr>
              </w:p>
              <w:p w:rsidR="000A1400" w14:paraId="2C54AC4A" w14:textId="1760AB31">
                <w:pPr>
                  <w:pStyle w:val="MacPacTrailer"/>
                </w:pPr>
                <w:r>
                  <w:t>WSLEGAL\085564\00001\28271808v1</w:t>
                </w:r>
              </w:p>
              <w:p w:rsidR="000A1400" w:rsidP="000A1400" w14:paraId="47626215" w14:textId="2545F9D2">
                <w:pPr>
                  <w:pStyle w:val="MacPacTrailer"/>
                  <w:spacing w:line="20" w:lineRule="exact"/>
                </w:pPr>
              </w:p>
              <w:p w:rsidR="000A1400" w:rsidP="000A1400" w14:paraId="2459993F" w14:textId="5705888B">
                <w:pPr>
                  <w:pStyle w:val="MacPacTrailer"/>
                  <w:spacing w:line="20" w:lineRule="exact"/>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400" w14:paraId="0186F4FF" w14:textId="77777777">
    <w:pPr>
      <w:pStyle w:val="Footer"/>
      <w:ind w:left="-144"/>
    </w:pPr>
    <w:r>
      <w:rPr>
        <w:noProof/>
        <w:lang w:val="en-GB" w:eastAsia="en-GB"/>
      </w:rPr>
      <w:pict>
        <v:shapetype id="_x0000_t202" coordsize="21600,21600" o:spt="202" path="m,l,21600r21600,l21600,xe">
          <v:stroke joinstyle="miter"/>
          <v:path gradientshapeok="t" o:connecttype="rect"/>
        </v:shapetype>
        <v:shape id="zzmpTrailer_1078_1B" o:spid="_x0000_s2053" type="#_x0000_t202" style="width:201.6pt;height:50.4pt;margin-top:0;margin-left:0;mso-height-percent:0;mso-height-relative:page;mso-position-horizontal-relative:margin;mso-position-vertical:bottom;mso-position-vertical-relative:page;mso-width-percent:0;mso-width-relative:page;mso-wrap-distance-bottom:0;mso-wrap-distance-left:9pt;mso-wrap-distance-right:9pt;mso-wrap-distance-top:0;mso-wrap-style:square;position:absolute;visibility:visible;v-text-anchor:top;z-index:-251651072" filled="f" stroked="f">
          <v:textbox inset="0,0,0,0">
            <w:txbxContent>
              <w:p w:rsidR="000A1400" w:rsidP="000A1400" w14:paraId="7AC576F9" w14:textId="4B9DC34E">
                <w:pPr>
                  <w:pStyle w:val="MacPacTrailer"/>
                  <w:spacing w:line="20" w:lineRule="exact"/>
                </w:pPr>
              </w:p>
              <w:p w:rsidR="000A1400" w14:paraId="04722BBE" w14:textId="763FE3B4">
                <w:pPr>
                  <w:pStyle w:val="MacPacTrailer"/>
                </w:pPr>
                <w:r>
                  <w:t>WSLEGAL\085564\00001\28271808v1</w:t>
                </w:r>
              </w:p>
              <w:p w:rsidR="000A1400" w:rsidP="000A1400" w14:paraId="2B04C01D" w14:textId="6106605A">
                <w:pPr>
                  <w:pStyle w:val="MacPacTrailer"/>
                  <w:spacing w:line="20" w:lineRule="exact"/>
                </w:pPr>
              </w:p>
              <w:p w:rsidR="000A1400" w:rsidP="000A1400" w14:paraId="704AD2D4" w14:textId="492F01FB">
                <w:pPr>
                  <w:pStyle w:val="MacPacTrailer"/>
                  <w:spacing w:line="20" w:lineRule="exact"/>
                </w:pPr>
              </w:p>
            </w:txbxContent>
          </v:textbox>
          <w10:wrap anchorx="margin"/>
        </v:shape>
      </w:pic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1300" w:rsidRPr="00627422" w:rsidP="00BE1300" w14:paraId="5946FC22" w14:textId="77777777">
    <w:pPr>
      <w:pStyle w:val="Header"/>
      <w:tabs>
        <w:tab w:val="clear" w:pos="4680"/>
        <w:tab w:val="clear" w:pos="9360"/>
      </w:tabs>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4319270</wp:posOffset>
              </wp:positionH>
              <wp:positionV relativeFrom="paragraph">
                <wp:posOffset>-635</wp:posOffset>
              </wp:positionV>
              <wp:extent cx="2197100" cy="1645920"/>
              <wp:effectExtent l="0" t="0" r="0" b="0"/>
              <wp:wrapNone/>
              <wp:docPr id="30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97100" cy="1645920"/>
                      </a:xfrm>
                      <a:prstGeom prst="rect">
                        <a:avLst/>
                      </a:prstGeom>
                      <a:noFill/>
                      <a:ln w="9525">
                        <a:noFill/>
                        <a:miter lim="800000"/>
                        <a:headEnd/>
                        <a:tailEnd/>
                      </a:ln>
                    </wps:spPr>
                    <wps:txbx>
                      <w:txbxContent>
                        <w:p w:rsidR="00BE1300" w:rsidRPr="007F6413" w:rsidP="00D452BD" w14:textId="77777777">
                          <w:pPr>
                            <w:spacing w:after="0" w:line="240" w:lineRule="auto"/>
                            <w:jc w:val="right"/>
                            <w:rPr>
                              <w:sz w:val="21"/>
                              <w:szCs w:val="21"/>
                            </w:rPr>
                          </w:pPr>
                          <w:r>
                            <w:rPr>
                              <w:sz w:val="21"/>
                              <w:szCs w:val="21"/>
                            </w:rPr>
                            <w:t>880-580 Hornby</w:t>
                          </w:r>
                          <w:r>
                            <w:rPr>
                              <w:sz w:val="21"/>
                              <w:szCs w:val="21"/>
                            </w:rPr>
                            <w:t xml:space="preserve"> Street</w:t>
                          </w:r>
                        </w:p>
                        <w:p w:rsidR="00BE1300" w:rsidRPr="00D452BD" w:rsidP="00D452BD" w14:textId="77777777">
                          <w:pPr>
                            <w:spacing w:after="0" w:line="240" w:lineRule="auto"/>
                            <w:jc w:val="right"/>
                            <w:rPr>
                              <w:sz w:val="21"/>
                              <w:szCs w:val="21"/>
                            </w:rPr>
                          </w:pPr>
                          <w:r w:rsidRPr="00D452BD">
                            <w:rPr>
                              <w:sz w:val="21"/>
                              <w:szCs w:val="21"/>
                            </w:rPr>
                            <w:t>Vancouver, BC, Canada, V6</w:t>
                          </w:r>
                          <w:r w:rsidRPr="00D452BD" w:rsidR="009F7FE6">
                            <w:rPr>
                              <w:sz w:val="21"/>
                              <w:szCs w:val="21"/>
                            </w:rPr>
                            <w:t>C 3B6</w:t>
                          </w:r>
                        </w:p>
                        <w:p w:rsidR="00BE1300" w:rsidRPr="00D452BD" w:rsidP="00D452BD" w14:textId="77777777">
                          <w:pPr>
                            <w:spacing w:after="0" w:line="240" w:lineRule="auto"/>
                            <w:jc w:val="right"/>
                            <w:rPr>
                              <w:sz w:val="21"/>
                              <w:szCs w:val="21"/>
                            </w:rPr>
                          </w:pPr>
                          <w:r w:rsidRPr="00D452BD">
                            <w:rPr>
                              <w:sz w:val="21"/>
                              <w:szCs w:val="21"/>
                            </w:rPr>
                            <w:t>Tel:  604-</w:t>
                          </w:r>
                          <w:r w:rsidRPr="00D452BD" w:rsidR="003970E6">
                            <w:rPr>
                              <w:sz w:val="21"/>
                              <w:szCs w:val="21"/>
                            </w:rPr>
                            <w:t>803-5838</w:t>
                          </w:r>
                        </w:p>
                        <w:p w:rsidR="00BE1300" w:rsidRPr="00D452BD" w:rsidP="00D452BD" w14:textId="77777777">
                          <w:pPr>
                            <w:spacing w:after="0" w:line="240" w:lineRule="auto"/>
                            <w:jc w:val="right"/>
                            <w:rPr>
                              <w:sz w:val="21"/>
                              <w:szCs w:val="21"/>
                            </w:rPr>
                          </w:pPr>
                          <w:r w:rsidRPr="00D452BD">
                            <w:rPr>
                              <w:sz w:val="21"/>
                              <w:szCs w:val="21"/>
                            </w:rPr>
                            <w:t>www.</w:t>
                          </w:r>
                          <w:r w:rsidRPr="00D452BD" w:rsidR="00D452BD">
                            <w:rPr>
                              <w:sz w:val="21"/>
                              <w:szCs w:val="21"/>
                            </w:rPr>
                            <w:t>newtechminerals.ca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173pt;height:71.3pt;margin-top:-0.05pt;margin-left:340.1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BE1300" w:rsidRPr="007F6413" w:rsidP="00D452BD" w14:paraId="7A140912" w14:textId="77777777">
                    <w:pPr>
                      <w:spacing w:after="0" w:line="240" w:lineRule="auto"/>
                      <w:jc w:val="right"/>
                      <w:rPr>
                        <w:sz w:val="21"/>
                        <w:szCs w:val="21"/>
                      </w:rPr>
                    </w:pPr>
                    <w:r>
                      <w:rPr>
                        <w:sz w:val="21"/>
                        <w:szCs w:val="21"/>
                      </w:rPr>
                      <w:t>880-580 Hornby</w:t>
                    </w:r>
                    <w:r>
                      <w:rPr>
                        <w:sz w:val="21"/>
                        <w:szCs w:val="21"/>
                      </w:rPr>
                      <w:t xml:space="preserve"> Street</w:t>
                    </w:r>
                  </w:p>
                  <w:p w:rsidR="00BE1300" w:rsidRPr="00D452BD" w:rsidP="00D452BD" w14:paraId="6DACF4E4" w14:textId="77777777">
                    <w:pPr>
                      <w:spacing w:after="0" w:line="240" w:lineRule="auto"/>
                      <w:jc w:val="right"/>
                      <w:rPr>
                        <w:sz w:val="21"/>
                        <w:szCs w:val="21"/>
                      </w:rPr>
                    </w:pPr>
                    <w:r w:rsidRPr="00D452BD">
                      <w:rPr>
                        <w:sz w:val="21"/>
                        <w:szCs w:val="21"/>
                      </w:rPr>
                      <w:t>Vancouver, BC, Canada, V6</w:t>
                    </w:r>
                    <w:r w:rsidRPr="00D452BD" w:rsidR="009F7FE6">
                      <w:rPr>
                        <w:sz w:val="21"/>
                        <w:szCs w:val="21"/>
                      </w:rPr>
                      <w:t>C 3B6</w:t>
                    </w:r>
                  </w:p>
                  <w:p w:rsidR="00BE1300" w:rsidRPr="00D452BD" w:rsidP="00D452BD" w14:paraId="1F3BCAB0" w14:textId="77777777">
                    <w:pPr>
                      <w:spacing w:after="0" w:line="240" w:lineRule="auto"/>
                      <w:jc w:val="right"/>
                      <w:rPr>
                        <w:sz w:val="21"/>
                        <w:szCs w:val="21"/>
                      </w:rPr>
                    </w:pPr>
                    <w:r w:rsidRPr="00D452BD">
                      <w:rPr>
                        <w:sz w:val="21"/>
                        <w:szCs w:val="21"/>
                      </w:rPr>
                      <w:t>Tel:  604-</w:t>
                    </w:r>
                    <w:r w:rsidRPr="00D452BD" w:rsidR="003970E6">
                      <w:rPr>
                        <w:sz w:val="21"/>
                        <w:szCs w:val="21"/>
                      </w:rPr>
                      <w:t>803-5838</w:t>
                    </w:r>
                  </w:p>
                  <w:p w:rsidR="00BE1300" w:rsidRPr="00D452BD" w:rsidP="00D452BD" w14:paraId="53DB7F27" w14:textId="77777777">
                    <w:pPr>
                      <w:spacing w:after="0" w:line="240" w:lineRule="auto"/>
                      <w:jc w:val="right"/>
                      <w:rPr>
                        <w:sz w:val="21"/>
                        <w:szCs w:val="21"/>
                      </w:rPr>
                    </w:pPr>
                    <w:r w:rsidRPr="00D452BD">
                      <w:rPr>
                        <w:sz w:val="21"/>
                        <w:szCs w:val="21"/>
                      </w:rPr>
                      <w:t>www.</w:t>
                    </w:r>
                    <w:r w:rsidRPr="00D452BD" w:rsidR="00D452BD">
                      <w:rPr>
                        <w:sz w:val="21"/>
                        <w:szCs w:val="21"/>
                      </w:rPr>
                      <w:t>newtechminerals.ca</w:t>
                    </w:r>
                  </w:p>
                </w:txbxContent>
              </v:textbox>
            </v:shape>
          </w:pict>
        </mc:Fallback>
      </mc:AlternateContent>
    </w:r>
    <w:r>
      <w:tab/>
    </w:r>
    <w:r w:rsidRPr="005300DB" w:rsidR="00D452BD">
      <w:rPr>
        <w:noProof/>
      </w:rPr>
      <w:drawing>
        <wp:inline distT="0" distB="0" distL="0" distR="0">
          <wp:extent cx="3599180" cy="75057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379052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608027" cy="752415"/>
                  </a:xfrm>
                  <a:prstGeom prst="rect">
                    <a:avLst/>
                  </a:prstGeom>
                  <a:noFill/>
                  <a:ln>
                    <a:noFill/>
                  </a:ln>
                </pic:spPr>
              </pic:pic>
            </a:graphicData>
          </a:graphic>
        </wp:inline>
      </w:drawing>
    </w:r>
    <w:r>
      <w:tab/>
    </w:r>
  </w:p>
  <w:p w:rsidR="00BE1300" w:rsidRPr="00627422" w:rsidP="00BE1300" w14:paraId="134381F1" w14:textId="77777777">
    <w:pPr>
      <w:pStyle w:val="Header"/>
      <w:tabs>
        <w:tab w:val="left" w:pos="6946"/>
      </w:tabs>
      <w:rPr>
        <w:sz w:val="20"/>
        <w:szCs w:val="20"/>
      </w:rPr>
    </w:pPr>
    <w:r>
      <w:tab/>
    </w:r>
  </w:p>
  <w:p w:rsidR="00BE1300" w14:paraId="1FDCA902" w14:textId="77777777">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148590</wp:posOffset>
              </wp:positionV>
              <wp:extent cx="2689225" cy="2540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89225" cy="254000"/>
                      </a:xfrm>
                      <a:prstGeom prst="rect">
                        <a:avLst/>
                      </a:prstGeom>
                      <a:noFill/>
                      <a:ln w="9525">
                        <a:noFill/>
                        <a:miter lim="800000"/>
                        <a:headEnd/>
                        <a:tailEnd/>
                      </a:ln>
                    </wps:spPr>
                    <wps:txbx>
                      <w:txbxContent>
                        <w:p w:rsidR="00BE1300" w:rsidP="00BE1300" w14:textId="77777777">
                          <w:pPr>
                            <w:pStyle w:val="Header"/>
                            <w:tabs>
                              <w:tab w:val="left" w:pos="6946"/>
                            </w:tabs>
                            <w:spacing w:line="240" w:lineRule="exact"/>
                          </w:pPr>
                          <w:r>
                            <w:rPr>
                              <w:rFonts w:asciiTheme="majorHAnsi" w:hAnsiTheme="majorHAnsi"/>
                              <w:b/>
                              <w:color w:val="C13C07"/>
                              <w:sz w:val="24"/>
                              <w:szCs w:val="24"/>
                            </w:rPr>
                            <w:t>NTM</w:t>
                          </w:r>
                          <w:r w:rsidRPr="00B832FC">
                            <w:rPr>
                              <w:rFonts w:asciiTheme="majorHAnsi" w:hAnsiTheme="majorHAnsi"/>
                              <w:b/>
                              <w:color w:val="F26C3C"/>
                              <w:sz w:val="24"/>
                              <w:szCs w:val="24"/>
                            </w:rPr>
                            <w:t>:</w:t>
                          </w:r>
                          <w:r>
                            <w:rPr>
                              <w:rFonts w:asciiTheme="majorHAnsi" w:hAnsiTheme="majorHAnsi"/>
                              <w:b/>
                              <w:color w:val="F26C3C"/>
                              <w:sz w:val="24"/>
                              <w:szCs w:val="24"/>
                            </w:rPr>
                            <w:t xml:space="preserve"> </w:t>
                          </w:r>
                          <w:r w:rsidRPr="00B832FC">
                            <w:rPr>
                              <w:rFonts w:asciiTheme="majorHAnsi" w:hAnsiTheme="majorHAnsi"/>
                              <w:b/>
                              <w:color w:val="F26C3C"/>
                              <w:sz w:val="24"/>
                              <w:szCs w:val="24"/>
                            </w:rPr>
                            <w:t>CS</w:t>
                          </w:r>
                          <w:r>
                            <w:rPr>
                              <w:rFonts w:asciiTheme="majorHAnsi" w:hAnsiTheme="majorHAnsi"/>
                              <w:b/>
                              <w:color w:val="F26C3C"/>
                              <w:sz w:val="24"/>
                              <w:szCs w:val="24"/>
                            </w:rPr>
                            <w:t>E</w:t>
                          </w:r>
                        </w:p>
                        <w:p w:rsidR="00BE1300" w:rsidP="00BE1300" w14:textId="77777777">
                          <w:pPr>
                            <w:pStyle w:val="Header"/>
                            <w:tabs>
                              <w:tab w:val="left" w:pos="6946"/>
                            </w:tabs>
                            <w:spacing w:line="240" w:lineRule="exact"/>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0" type="#_x0000_t202" style="width:211.75pt;height:20pt;margin-top:11.7pt;margin-left:0;mso-height-percent:0;mso-height-relative:margin;mso-width-percent:0;mso-width-relative:margin;mso-wrap-distance-bottom:0;mso-wrap-distance-left:9pt;mso-wrap-distance-right:9pt;mso-wrap-distance-top:0;mso-wrap-style:square;position:absolute;visibility:visible;v-text-anchor:top;z-index:251661312" filled="f" stroked="f">
              <v:textbox>
                <w:txbxContent>
                  <w:p w:rsidR="00BE1300" w:rsidP="00BE1300" w14:paraId="5EAAC4E3" w14:textId="77777777">
                    <w:pPr>
                      <w:pStyle w:val="Header"/>
                      <w:tabs>
                        <w:tab w:val="left" w:pos="6946"/>
                      </w:tabs>
                      <w:spacing w:line="240" w:lineRule="exact"/>
                    </w:pPr>
                    <w:r>
                      <w:rPr>
                        <w:rFonts w:asciiTheme="majorHAnsi" w:hAnsiTheme="majorHAnsi"/>
                        <w:b/>
                        <w:color w:val="C13C07"/>
                        <w:sz w:val="24"/>
                        <w:szCs w:val="24"/>
                      </w:rPr>
                      <w:t>NTM</w:t>
                    </w:r>
                    <w:r w:rsidRPr="00B832FC">
                      <w:rPr>
                        <w:rFonts w:asciiTheme="majorHAnsi" w:hAnsiTheme="majorHAnsi"/>
                        <w:b/>
                        <w:color w:val="F26C3C"/>
                        <w:sz w:val="24"/>
                        <w:szCs w:val="24"/>
                      </w:rPr>
                      <w:t>:</w:t>
                    </w:r>
                    <w:r>
                      <w:rPr>
                        <w:rFonts w:asciiTheme="majorHAnsi" w:hAnsiTheme="majorHAnsi"/>
                        <w:b/>
                        <w:color w:val="F26C3C"/>
                        <w:sz w:val="24"/>
                        <w:szCs w:val="24"/>
                      </w:rPr>
                      <w:t xml:space="preserve"> </w:t>
                    </w:r>
                    <w:r w:rsidRPr="00B832FC">
                      <w:rPr>
                        <w:rFonts w:asciiTheme="majorHAnsi" w:hAnsiTheme="majorHAnsi"/>
                        <w:b/>
                        <w:color w:val="F26C3C"/>
                        <w:sz w:val="24"/>
                        <w:szCs w:val="24"/>
                      </w:rPr>
                      <w:t>CS</w:t>
                    </w:r>
                    <w:r>
                      <w:rPr>
                        <w:rFonts w:asciiTheme="majorHAnsi" w:hAnsiTheme="majorHAnsi"/>
                        <w:b/>
                        <w:color w:val="F26C3C"/>
                        <w:sz w:val="24"/>
                        <w:szCs w:val="24"/>
                      </w:rPr>
                      <w:t>E</w:t>
                    </w:r>
                  </w:p>
                  <w:p w:rsidR="00BE1300" w:rsidP="00BE1300" w14:paraId="58501107" w14:textId="77777777">
                    <w:pPr>
                      <w:pStyle w:val="Header"/>
                      <w:tabs>
                        <w:tab w:val="left" w:pos="6946"/>
                      </w:tabs>
                      <w:spacing w:line="240" w:lineRule="exact"/>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160654</wp:posOffset>
              </wp:positionV>
              <wp:extent cx="6991350" cy="0"/>
              <wp:effectExtent l="0" t="0" r="0" b="0"/>
              <wp:wrapNone/>
              <wp:docPr id="5"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991350" cy="0"/>
                      </a:xfrm>
                      <a:prstGeom prst="line">
                        <a:avLst/>
                      </a:prstGeom>
                      <a:ln w="12700">
                        <a:solidFill>
                          <a:srgbClr val="F4825A"/>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2051" style="mso-height-percent:0;mso-height-relative:margin;mso-width-percent:0;mso-width-relative:margin;mso-wrap-distance-left:9pt;mso-wrap-distance-right:9pt;mso-wrap-style:square;position:absolute;visibility:visible;z-index:251663360" from="-42pt,12.65pt" to="508.5pt,12.65pt" strokecolor="#f4825a" strokeweight="1pt">
              <v:stroke joinstyle="miter"/>
            </v:line>
          </w:pict>
        </mc:Fallback>
      </mc:AlternateContent>
    </w:r>
  </w:p>
  <w:p w:rsidR="00BE1300" w14:paraId="6F4C7CE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B6C6FCD"/>
    <w:multiLevelType w:val="hybridMultilevel"/>
    <w:tmpl w:val="4D88D21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21"/>
    <w:rsid w:val="000156A2"/>
    <w:rsid w:val="000165E7"/>
    <w:rsid w:val="00071552"/>
    <w:rsid w:val="000931D7"/>
    <w:rsid w:val="000A1400"/>
    <w:rsid w:val="000A6E3D"/>
    <w:rsid w:val="000C0B86"/>
    <w:rsid w:val="000C6776"/>
    <w:rsid w:val="000D25B4"/>
    <w:rsid w:val="000F7E83"/>
    <w:rsid w:val="00100B83"/>
    <w:rsid w:val="001014D4"/>
    <w:rsid w:val="00105392"/>
    <w:rsid w:val="00113F10"/>
    <w:rsid w:val="00153285"/>
    <w:rsid w:val="00163752"/>
    <w:rsid w:val="00173C71"/>
    <w:rsid w:val="001D5960"/>
    <w:rsid w:val="001E4BBB"/>
    <w:rsid w:val="00221B9E"/>
    <w:rsid w:val="002222C4"/>
    <w:rsid w:val="0022580D"/>
    <w:rsid w:val="002535AB"/>
    <w:rsid w:val="002600D9"/>
    <w:rsid w:val="00263864"/>
    <w:rsid w:val="002805E9"/>
    <w:rsid w:val="002B0D6A"/>
    <w:rsid w:val="002F3603"/>
    <w:rsid w:val="00300B5B"/>
    <w:rsid w:val="003216B0"/>
    <w:rsid w:val="00357BBF"/>
    <w:rsid w:val="00364E87"/>
    <w:rsid w:val="003970E6"/>
    <w:rsid w:val="003B32A5"/>
    <w:rsid w:val="003D2E0E"/>
    <w:rsid w:val="00401C13"/>
    <w:rsid w:val="004208FE"/>
    <w:rsid w:val="00463274"/>
    <w:rsid w:val="004911F2"/>
    <w:rsid w:val="004B2080"/>
    <w:rsid w:val="005726D6"/>
    <w:rsid w:val="005729D3"/>
    <w:rsid w:val="005F42F7"/>
    <w:rsid w:val="00627422"/>
    <w:rsid w:val="00637357"/>
    <w:rsid w:val="00642D2B"/>
    <w:rsid w:val="00662614"/>
    <w:rsid w:val="0067415E"/>
    <w:rsid w:val="00682E4C"/>
    <w:rsid w:val="00696429"/>
    <w:rsid w:val="006C119C"/>
    <w:rsid w:val="006C5350"/>
    <w:rsid w:val="006D0791"/>
    <w:rsid w:val="006E0E52"/>
    <w:rsid w:val="006E5506"/>
    <w:rsid w:val="00711A4F"/>
    <w:rsid w:val="00715AF2"/>
    <w:rsid w:val="0075319E"/>
    <w:rsid w:val="007672F1"/>
    <w:rsid w:val="007955FF"/>
    <w:rsid w:val="007A549C"/>
    <w:rsid w:val="007B6BA6"/>
    <w:rsid w:val="007F6413"/>
    <w:rsid w:val="007F6514"/>
    <w:rsid w:val="00804067"/>
    <w:rsid w:val="008056CF"/>
    <w:rsid w:val="00851D97"/>
    <w:rsid w:val="0086104B"/>
    <w:rsid w:val="00867DA2"/>
    <w:rsid w:val="00872B75"/>
    <w:rsid w:val="008A3D4F"/>
    <w:rsid w:val="008F33A3"/>
    <w:rsid w:val="008F4D3F"/>
    <w:rsid w:val="00931141"/>
    <w:rsid w:val="00940A84"/>
    <w:rsid w:val="00951F64"/>
    <w:rsid w:val="00965CF5"/>
    <w:rsid w:val="009C2E38"/>
    <w:rsid w:val="009F1EFA"/>
    <w:rsid w:val="009F429E"/>
    <w:rsid w:val="009F7FE6"/>
    <w:rsid w:val="00A03120"/>
    <w:rsid w:val="00A118A3"/>
    <w:rsid w:val="00A146D6"/>
    <w:rsid w:val="00A21038"/>
    <w:rsid w:val="00A86E21"/>
    <w:rsid w:val="00A909B3"/>
    <w:rsid w:val="00A97EDC"/>
    <w:rsid w:val="00AD36CD"/>
    <w:rsid w:val="00AE5362"/>
    <w:rsid w:val="00AF2A09"/>
    <w:rsid w:val="00B1568C"/>
    <w:rsid w:val="00B314AC"/>
    <w:rsid w:val="00B56B7B"/>
    <w:rsid w:val="00B65D14"/>
    <w:rsid w:val="00B72854"/>
    <w:rsid w:val="00B832FC"/>
    <w:rsid w:val="00B954F3"/>
    <w:rsid w:val="00BB496F"/>
    <w:rsid w:val="00BD5A4B"/>
    <w:rsid w:val="00BE0C41"/>
    <w:rsid w:val="00BE1300"/>
    <w:rsid w:val="00BF0857"/>
    <w:rsid w:val="00C13685"/>
    <w:rsid w:val="00C21F4B"/>
    <w:rsid w:val="00C27245"/>
    <w:rsid w:val="00CC65B6"/>
    <w:rsid w:val="00CD542B"/>
    <w:rsid w:val="00D00BC9"/>
    <w:rsid w:val="00D11750"/>
    <w:rsid w:val="00D1602C"/>
    <w:rsid w:val="00D27A6C"/>
    <w:rsid w:val="00D300AE"/>
    <w:rsid w:val="00D452BD"/>
    <w:rsid w:val="00D57A9F"/>
    <w:rsid w:val="00D64480"/>
    <w:rsid w:val="00D66F16"/>
    <w:rsid w:val="00E00A1A"/>
    <w:rsid w:val="00E06889"/>
    <w:rsid w:val="00E109CB"/>
    <w:rsid w:val="00E84DF1"/>
    <w:rsid w:val="00EA70CF"/>
    <w:rsid w:val="00ED359E"/>
    <w:rsid w:val="00ED4338"/>
    <w:rsid w:val="00EF28D3"/>
    <w:rsid w:val="00EF4495"/>
    <w:rsid w:val="00EF48E6"/>
    <w:rsid w:val="00F12B7F"/>
    <w:rsid w:val="00F41699"/>
    <w:rsid w:val="00F4468D"/>
    <w:rsid w:val="00FA10C3"/>
    <w:rsid w:val="00FB1263"/>
    <w:rsid w:val="00FD5863"/>
    <w:rsid w:val="00FE1DB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7C0983-BDDB-4DCB-AC30-DC9AC3F3C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300"/>
  </w:style>
  <w:style w:type="paragraph" w:styleId="Footer">
    <w:name w:val="footer"/>
    <w:basedOn w:val="Normal"/>
    <w:link w:val="FooterChar"/>
    <w:uiPriority w:val="99"/>
    <w:unhideWhenUsed/>
    <w:rsid w:val="00BE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300"/>
  </w:style>
  <w:style w:type="paragraph" w:styleId="BodyText">
    <w:name w:val="Body Text"/>
    <w:basedOn w:val="Normal"/>
    <w:link w:val="BodyTextChar"/>
    <w:semiHidden/>
    <w:rsid w:val="00A909B3"/>
    <w:pPr>
      <w:spacing w:after="0" w:line="240" w:lineRule="auto"/>
      <w:jc w:val="center"/>
    </w:pPr>
    <w:rPr>
      <w:rFonts w:ascii="Times New Roman" w:eastAsia="Calibri" w:hAnsi="Times New Roman" w:cs="Times New Roman"/>
      <w:sz w:val="16"/>
      <w:szCs w:val="20"/>
      <w:lang w:val="en-CA"/>
    </w:rPr>
  </w:style>
  <w:style w:type="character" w:customStyle="1" w:styleId="BodyTextChar">
    <w:name w:val="Body Text Char"/>
    <w:basedOn w:val="DefaultParagraphFont"/>
    <w:link w:val="BodyText"/>
    <w:semiHidden/>
    <w:rsid w:val="00A909B3"/>
    <w:rPr>
      <w:rFonts w:ascii="Times New Roman" w:eastAsia="Calibri" w:hAnsi="Times New Roman" w:cs="Times New Roman"/>
      <w:sz w:val="16"/>
      <w:szCs w:val="20"/>
      <w:lang w:val="en-CA"/>
    </w:rPr>
  </w:style>
  <w:style w:type="paragraph" w:customStyle="1" w:styleId="Style3">
    <w:name w:val="Style3"/>
    <w:basedOn w:val="Normal"/>
    <w:uiPriority w:val="99"/>
    <w:rsid w:val="009F429E"/>
    <w:pPr>
      <w:widowControl w:val="0"/>
      <w:autoSpaceDE w:val="0"/>
      <w:autoSpaceDN w:val="0"/>
      <w:adjustRightInd w:val="0"/>
      <w:spacing w:after="0" w:line="223" w:lineRule="exact"/>
      <w:ind w:firstLine="662"/>
      <w:jc w:val="both"/>
    </w:pPr>
    <w:rPr>
      <w:rFonts w:ascii="Times New Roman" w:eastAsia="Times New Roman" w:hAnsi="Times New Roman" w:cs="Times New Roman"/>
      <w:sz w:val="24"/>
      <w:szCs w:val="24"/>
      <w:lang w:val="en-CA" w:eastAsia="en-CA"/>
    </w:rPr>
  </w:style>
  <w:style w:type="character" w:customStyle="1" w:styleId="FontStyle13">
    <w:name w:val="Font Style13"/>
    <w:uiPriority w:val="99"/>
    <w:rsid w:val="009F429E"/>
    <w:rPr>
      <w:rFonts w:ascii="Times New Roman" w:hAnsi="Times New Roman" w:cs="Times New Roman"/>
      <w:sz w:val="18"/>
      <w:szCs w:val="18"/>
    </w:rPr>
  </w:style>
  <w:style w:type="paragraph" w:styleId="ListParagraph">
    <w:name w:val="List Paragraph"/>
    <w:basedOn w:val="Normal"/>
    <w:uiPriority w:val="34"/>
    <w:qFormat/>
    <w:rsid w:val="007B6BA6"/>
    <w:pPr>
      <w:ind w:left="720"/>
      <w:contextualSpacing/>
    </w:pPr>
  </w:style>
  <w:style w:type="paragraph" w:styleId="BalloonText">
    <w:name w:val="Balloon Text"/>
    <w:basedOn w:val="Normal"/>
    <w:link w:val="BalloonTextChar"/>
    <w:uiPriority w:val="99"/>
    <w:semiHidden/>
    <w:unhideWhenUsed/>
    <w:rsid w:val="00637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57"/>
    <w:rPr>
      <w:rFonts w:ascii="Segoe UI" w:hAnsi="Segoe UI" w:cs="Segoe UI"/>
      <w:sz w:val="18"/>
      <w:szCs w:val="18"/>
    </w:rPr>
  </w:style>
  <w:style w:type="paragraph" w:customStyle="1" w:styleId="MacPacTrailer">
    <w:name w:val="MacPac Trailer"/>
    <w:rsid w:val="000A1400"/>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7955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2719</Characters>
  <Application>Microsoft Office Word</Application>
  <DocSecurity>0</DocSecurity>
  <Lines>22</Lines>
  <Paragraphs>9</Paragraphs>
  <ScaleCrop>false</ScaleCrop>
  <HeadingPairs>
    <vt:vector size="2" baseType="variant">
      <vt:variant>
        <vt:lpstr/>
      </vt:variant>
      <vt:variant>
        <vt:i4>1</vt:i4>
      </vt:variant>
    </vt:vector>
  </HeadingPairs>
  <TitlesOfParts>
    <vt:vector size="1" baseType="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