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A6CC85" w14:textId="77777777" w:rsidR="008C619B" w:rsidRDefault="00863E28" w:rsidP="008C619B">
      <w:pPr>
        <w:rPr>
          <w:rFonts w:ascii="Questrial" w:eastAsia="Questrial" w:hAnsi="Questrial" w:cs="Questrial"/>
          <w:b/>
          <w:sz w:val="26"/>
          <w:szCs w:val="26"/>
        </w:rPr>
      </w:pPr>
      <w:r>
        <w:rPr>
          <w:noProof/>
        </w:rPr>
        <w:drawing>
          <wp:inline distT="0" distB="0" distL="0" distR="0" wp14:anchorId="35189482" wp14:editId="0B060F8E">
            <wp:extent cx="1828800" cy="489933"/>
            <wp:effectExtent l="0" t="0" r="0" b="571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40264" name="Netcents_LogoBusiness_S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747" cy="496080"/>
                    </a:xfrm>
                    <a:prstGeom prst="rect">
                      <a:avLst/>
                    </a:prstGeom>
                  </pic:spPr>
                </pic:pic>
              </a:graphicData>
            </a:graphic>
          </wp:inline>
        </w:drawing>
      </w:r>
    </w:p>
    <w:p w14:paraId="5400C4FC" w14:textId="77777777" w:rsidR="0063155B" w:rsidRDefault="00863E28" w:rsidP="008C619B">
      <w:pPr>
        <w:jc w:val="center"/>
        <w:rPr>
          <w:rFonts w:ascii="Times New Roman" w:eastAsia="Questrial" w:hAnsi="Times New Roman" w:cs="Times New Roman"/>
          <w:b/>
          <w:sz w:val="32"/>
          <w:szCs w:val="32"/>
        </w:rPr>
      </w:pPr>
      <w:r w:rsidRPr="00F102BA">
        <w:rPr>
          <w:rFonts w:ascii="Times New Roman" w:eastAsia="Questrial" w:hAnsi="Times New Roman" w:cs="Times New Roman"/>
          <w:b/>
          <w:sz w:val="32"/>
          <w:szCs w:val="32"/>
        </w:rPr>
        <w:t xml:space="preserve">NetCents </w:t>
      </w:r>
      <w:r>
        <w:rPr>
          <w:rFonts w:ascii="Times New Roman" w:eastAsia="Questrial" w:hAnsi="Times New Roman" w:cs="Times New Roman"/>
          <w:b/>
          <w:sz w:val="32"/>
          <w:szCs w:val="32"/>
        </w:rPr>
        <w:t xml:space="preserve">Completes Unsecured Convertible Debenture Financing </w:t>
      </w:r>
    </w:p>
    <w:p w14:paraId="3C91DA01" w14:textId="77777777" w:rsidR="00FA63E4" w:rsidRPr="00FA63E4" w:rsidRDefault="00863E28" w:rsidP="00FA63E4">
      <w:pPr>
        <w:rPr>
          <w:rFonts w:ascii="Times New Roman" w:eastAsia="Questrial" w:hAnsi="Times New Roman" w:cs="Times New Roman"/>
          <w:i/>
          <w:sz w:val="20"/>
          <w:szCs w:val="20"/>
        </w:rPr>
      </w:pPr>
      <w:r w:rsidRPr="00FA63E4">
        <w:rPr>
          <w:rFonts w:ascii="Times New Roman" w:eastAsia="Questrial" w:hAnsi="Times New Roman" w:cs="Times New Roman"/>
          <w:i/>
          <w:sz w:val="20"/>
          <w:szCs w:val="20"/>
        </w:rPr>
        <w:t>NOT FOR DISTRIBUTION TO U.S. NEWSWIRE SERVICES OR FOR DISSEMINATION IN THE UNITED STATES</w:t>
      </w:r>
    </w:p>
    <w:p w14:paraId="42653CC4" w14:textId="7B760F5B" w:rsidR="00EB5164" w:rsidRPr="00902917" w:rsidRDefault="00863E28" w:rsidP="00F102BA">
      <w:pPr>
        <w:jc w:val="both"/>
        <w:divId w:val="1344624202"/>
        <w:rPr>
          <w:rFonts w:ascii="Times New Roman" w:hAnsi="Times New Roman" w:cs="Times New Roman"/>
          <w:sz w:val="24"/>
          <w:szCs w:val="24"/>
        </w:rPr>
      </w:pPr>
      <w:bookmarkStart w:id="0" w:name="_gjdgxs" w:colFirst="0" w:colLast="0"/>
      <w:bookmarkEnd w:id="0"/>
      <w:r w:rsidRPr="0082286D">
        <w:rPr>
          <w:rFonts w:ascii="Times New Roman" w:eastAsia="Times New Roman" w:hAnsi="Times New Roman" w:cs="Times New Roman"/>
          <w:b/>
          <w:color w:val="auto"/>
          <w:sz w:val="24"/>
          <w:szCs w:val="24"/>
          <w:lang w:val="en-US"/>
        </w:rPr>
        <w:t>V</w:t>
      </w:r>
      <w:r w:rsidRPr="008B5876">
        <w:rPr>
          <w:rFonts w:ascii="Times New Roman" w:eastAsia="Times New Roman" w:hAnsi="Times New Roman" w:cs="Times New Roman"/>
          <w:b/>
          <w:color w:val="auto"/>
          <w:sz w:val="24"/>
          <w:szCs w:val="24"/>
          <w:lang w:val="en-US"/>
        </w:rPr>
        <w:t xml:space="preserve">ancouver, B.C., </w:t>
      </w:r>
      <w:r w:rsidR="001773B1">
        <w:rPr>
          <w:rFonts w:ascii="Times New Roman" w:eastAsia="Times New Roman" w:hAnsi="Times New Roman" w:cs="Times New Roman"/>
          <w:b/>
          <w:color w:val="auto"/>
          <w:sz w:val="24"/>
          <w:szCs w:val="24"/>
          <w:lang w:val="en-US"/>
        </w:rPr>
        <w:t>October 19</w:t>
      </w:r>
      <w:r w:rsidRPr="008B5876">
        <w:rPr>
          <w:rFonts w:ascii="Times New Roman" w:eastAsia="Times New Roman" w:hAnsi="Times New Roman" w:cs="Times New Roman"/>
          <w:b/>
          <w:color w:val="auto"/>
          <w:sz w:val="24"/>
          <w:szCs w:val="24"/>
          <w:lang w:val="en-US"/>
        </w:rPr>
        <w:t>, 2018 – NetCents Technology Inc.</w:t>
      </w:r>
      <w:r w:rsidRPr="008B5876">
        <w:rPr>
          <w:rFonts w:ascii="Times New Roman" w:eastAsia="Times New Roman" w:hAnsi="Times New Roman" w:cs="Times New Roman"/>
          <w:color w:val="auto"/>
          <w:sz w:val="24"/>
          <w:szCs w:val="24"/>
          <w:lang w:val="en-US"/>
        </w:rPr>
        <w:t xml:space="preserve"> </w:t>
      </w:r>
      <w:r w:rsidRPr="008B5876">
        <w:rPr>
          <w:rFonts w:ascii="Times New Roman" w:eastAsia="Times New Roman" w:hAnsi="Times New Roman" w:cs="Times New Roman"/>
          <w:color w:val="auto"/>
          <w:sz w:val="24"/>
          <w:szCs w:val="24"/>
        </w:rPr>
        <w:t>(“</w:t>
      </w:r>
      <w:r w:rsidRPr="008B5876">
        <w:rPr>
          <w:rFonts w:ascii="Times New Roman" w:eastAsia="Times New Roman" w:hAnsi="Times New Roman" w:cs="Times New Roman"/>
          <w:b/>
          <w:color w:val="auto"/>
          <w:sz w:val="24"/>
          <w:szCs w:val="24"/>
        </w:rPr>
        <w:t>NetCents</w:t>
      </w:r>
      <w:r w:rsidRPr="008B5876">
        <w:rPr>
          <w:rFonts w:ascii="Times New Roman" w:eastAsia="Times New Roman" w:hAnsi="Times New Roman" w:cs="Times New Roman"/>
          <w:color w:val="auto"/>
          <w:sz w:val="24"/>
          <w:szCs w:val="24"/>
        </w:rPr>
        <w:t>” or the “</w:t>
      </w:r>
      <w:r w:rsidRPr="008B5876">
        <w:rPr>
          <w:rFonts w:ascii="Times New Roman" w:eastAsia="Times New Roman" w:hAnsi="Times New Roman" w:cs="Times New Roman"/>
          <w:b/>
          <w:color w:val="auto"/>
          <w:sz w:val="24"/>
          <w:szCs w:val="24"/>
        </w:rPr>
        <w:t>Company</w:t>
      </w:r>
      <w:r w:rsidRPr="008B5876">
        <w:rPr>
          <w:rFonts w:ascii="Times New Roman" w:eastAsia="Times New Roman" w:hAnsi="Times New Roman" w:cs="Times New Roman"/>
          <w:color w:val="auto"/>
          <w:sz w:val="24"/>
          <w:szCs w:val="24"/>
        </w:rPr>
        <w:t>”) (</w:t>
      </w:r>
      <w:r w:rsidRPr="008B5876">
        <w:rPr>
          <w:rFonts w:ascii="Times New Roman" w:eastAsia="Times New Roman" w:hAnsi="Times New Roman" w:cs="Times New Roman"/>
          <w:b/>
          <w:color w:val="auto"/>
          <w:sz w:val="24"/>
          <w:szCs w:val="24"/>
        </w:rPr>
        <w:t>CSE: NC</w:t>
      </w:r>
      <w:r w:rsidRPr="008B5876">
        <w:rPr>
          <w:rFonts w:ascii="Times New Roman" w:eastAsia="Times New Roman" w:hAnsi="Times New Roman" w:cs="Times New Roman"/>
          <w:color w:val="auto"/>
          <w:sz w:val="24"/>
          <w:szCs w:val="24"/>
        </w:rPr>
        <w:t xml:space="preserve">) is pleased to </w:t>
      </w:r>
      <w:r w:rsidRPr="008B5876">
        <w:rPr>
          <w:rFonts w:ascii="Times New Roman" w:hAnsi="Times New Roman" w:cs="Times New Roman"/>
          <w:color w:val="auto"/>
          <w:sz w:val="24"/>
          <w:szCs w:val="24"/>
        </w:rPr>
        <w:t xml:space="preserve">announce </w:t>
      </w:r>
      <w:r>
        <w:rPr>
          <w:rFonts w:ascii="Times New Roman" w:hAnsi="Times New Roman" w:cs="Times New Roman"/>
          <w:color w:val="auto"/>
          <w:sz w:val="24"/>
          <w:szCs w:val="24"/>
        </w:rPr>
        <w:t>that further to the Company’s news releases dated August 28, 2018 and September 7, 2018, it has closed its previously announced private placement of discounted convertible debt (the “</w:t>
      </w:r>
      <w:r w:rsidRPr="00902917">
        <w:rPr>
          <w:rFonts w:ascii="Times New Roman" w:hAnsi="Times New Roman" w:cs="Times New Roman"/>
          <w:b/>
          <w:color w:val="auto"/>
          <w:sz w:val="24"/>
          <w:szCs w:val="24"/>
        </w:rPr>
        <w:t>Offering</w:t>
      </w:r>
      <w:r>
        <w:rPr>
          <w:rFonts w:ascii="Times New Roman" w:hAnsi="Times New Roman" w:cs="Times New Roman"/>
          <w:color w:val="auto"/>
          <w:sz w:val="24"/>
          <w:szCs w:val="24"/>
        </w:rPr>
        <w:t>”) for gross proceeds of $419,182 through the issuance of unsecured convertible debentures (the “</w:t>
      </w:r>
      <w:r>
        <w:rPr>
          <w:rFonts w:ascii="Times New Roman" w:hAnsi="Times New Roman" w:cs="Times New Roman"/>
          <w:b/>
          <w:color w:val="auto"/>
          <w:sz w:val="24"/>
          <w:szCs w:val="24"/>
        </w:rPr>
        <w:t>Debentures</w:t>
      </w:r>
      <w:r>
        <w:rPr>
          <w:rFonts w:ascii="Times New Roman" w:hAnsi="Times New Roman" w:cs="Times New Roman"/>
          <w:color w:val="auto"/>
          <w:sz w:val="24"/>
          <w:szCs w:val="24"/>
        </w:rPr>
        <w:t>”)</w:t>
      </w:r>
      <w:r>
        <w:rPr>
          <w:rFonts w:ascii="Times New Roman" w:hAnsi="Times New Roman" w:cs="Times New Roman"/>
          <w:sz w:val="24"/>
          <w:szCs w:val="24"/>
        </w:rPr>
        <w:t>. The principal amount of the Debentures is $</w:t>
      </w:r>
      <w:r w:rsidRPr="0044650F">
        <w:rPr>
          <w:rFonts w:ascii="Times New Roman" w:hAnsi="Times New Roman" w:cs="Times New Roman"/>
          <w:sz w:val="24"/>
          <w:szCs w:val="24"/>
        </w:rPr>
        <w:t>493,155</w:t>
      </w:r>
      <w:r>
        <w:rPr>
          <w:rFonts w:ascii="Times New Roman" w:hAnsi="Times New Roman" w:cs="Times New Roman"/>
          <w:sz w:val="24"/>
          <w:szCs w:val="24"/>
        </w:rPr>
        <w:t>, which was sold at a 15% discount to the face value.</w:t>
      </w:r>
    </w:p>
    <w:p w14:paraId="40D91454" w14:textId="77777777" w:rsidR="00D46368" w:rsidRDefault="00863E28" w:rsidP="00F102BA">
      <w:pPr>
        <w:jc w:val="both"/>
        <w:divId w:val="1344624202"/>
        <w:rPr>
          <w:rFonts w:ascii="Times New Roman" w:hAnsi="Times New Roman" w:cs="Times New Roman"/>
          <w:sz w:val="24"/>
          <w:szCs w:val="24"/>
        </w:rPr>
      </w:pPr>
      <w:r w:rsidRPr="008B5876">
        <w:rPr>
          <w:rFonts w:ascii="Times New Roman" w:hAnsi="Times New Roman" w:cs="Times New Roman"/>
          <w:sz w:val="24"/>
          <w:szCs w:val="24"/>
        </w:rPr>
        <w:t xml:space="preserve">The </w:t>
      </w:r>
      <w:r>
        <w:rPr>
          <w:rFonts w:ascii="Times New Roman" w:hAnsi="Times New Roman" w:cs="Times New Roman"/>
          <w:sz w:val="24"/>
          <w:szCs w:val="24"/>
        </w:rPr>
        <w:t>principal amount of the Debenture</w:t>
      </w:r>
      <w:r w:rsidRPr="008B5876">
        <w:rPr>
          <w:rFonts w:ascii="Times New Roman" w:hAnsi="Times New Roman" w:cs="Times New Roman"/>
          <w:sz w:val="24"/>
          <w:szCs w:val="24"/>
        </w:rPr>
        <w:t xml:space="preserve"> is repayable in full (the “</w:t>
      </w:r>
      <w:r w:rsidRPr="008B5876">
        <w:rPr>
          <w:rFonts w:ascii="Times New Roman" w:hAnsi="Times New Roman" w:cs="Times New Roman"/>
          <w:b/>
          <w:sz w:val="24"/>
          <w:szCs w:val="24"/>
        </w:rPr>
        <w:t>Maturity Date</w:t>
      </w:r>
      <w:r w:rsidRPr="008B5876">
        <w:rPr>
          <w:rFonts w:ascii="Times New Roman" w:hAnsi="Times New Roman" w:cs="Times New Roman"/>
          <w:sz w:val="24"/>
          <w:szCs w:val="24"/>
        </w:rPr>
        <w:t>”) on the earlie</w:t>
      </w:r>
      <w:r>
        <w:rPr>
          <w:rFonts w:ascii="Times New Roman" w:hAnsi="Times New Roman" w:cs="Times New Roman"/>
          <w:sz w:val="24"/>
          <w:szCs w:val="24"/>
        </w:rPr>
        <w:t>r of: (i) April 12, 2019 and</w:t>
      </w:r>
      <w:r w:rsidRPr="008B5876">
        <w:rPr>
          <w:rFonts w:ascii="Times New Roman" w:hAnsi="Times New Roman" w:cs="Times New Roman"/>
          <w:sz w:val="24"/>
          <w:szCs w:val="24"/>
        </w:rPr>
        <w:t xml:space="preserve"> (ii) </w:t>
      </w:r>
      <w:r>
        <w:rPr>
          <w:rFonts w:ascii="Times New Roman" w:hAnsi="Times New Roman" w:cs="Times New Roman"/>
          <w:sz w:val="24"/>
          <w:szCs w:val="24"/>
        </w:rPr>
        <w:t>the date the holder elects to convert the Debenture into units</w:t>
      </w:r>
      <w:r w:rsidRPr="008B5876">
        <w:rPr>
          <w:rFonts w:ascii="Times New Roman" w:hAnsi="Times New Roman" w:cs="Times New Roman"/>
          <w:sz w:val="24"/>
          <w:szCs w:val="24"/>
        </w:rPr>
        <w:t xml:space="preserve">. The </w:t>
      </w:r>
      <w:r>
        <w:rPr>
          <w:rFonts w:ascii="Times New Roman" w:hAnsi="Times New Roman" w:cs="Times New Roman"/>
          <w:sz w:val="24"/>
          <w:szCs w:val="24"/>
        </w:rPr>
        <w:t>Debentures</w:t>
      </w:r>
      <w:r w:rsidRPr="008B5876">
        <w:rPr>
          <w:rFonts w:ascii="Times New Roman" w:hAnsi="Times New Roman" w:cs="Times New Roman"/>
          <w:sz w:val="24"/>
          <w:szCs w:val="24"/>
        </w:rPr>
        <w:t xml:space="preserve"> bear interest at a rate of </w:t>
      </w:r>
      <w:r>
        <w:rPr>
          <w:rFonts w:ascii="Times New Roman" w:hAnsi="Times New Roman" w:cs="Times New Roman"/>
          <w:sz w:val="24"/>
          <w:szCs w:val="24"/>
        </w:rPr>
        <w:t>10</w:t>
      </w:r>
      <w:r w:rsidRPr="008B5876">
        <w:rPr>
          <w:rFonts w:ascii="Times New Roman" w:hAnsi="Times New Roman" w:cs="Times New Roman"/>
          <w:sz w:val="24"/>
          <w:szCs w:val="24"/>
        </w:rPr>
        <w:t>% per annum, calculated daily and payable on the Maturity Date. At any time prio</w:t>
      </w:r>
      <w:r>
        <w:rPr>
          <w:rFonts w:ascii="Times New Roman" w:hAnsi="Times New Roman" w:cs="Times New Roman"/>
          <w:sz w:val="24"/>
          <w:szCs w:val="24"/>
        </w:rPr>
        <w:t>r to the Maturity Date, the hold</w:t>
      </w:r>
      <w:r w:rsidRPr="008B5876">
        <w:rPr>
          <w:rFonts w:ascii="Times New Roman" w:hAnsi="Times New Roman" w:cs="Times New Roman"/>
          <w:sz w:val="24"/>
          <w:szCs w:val="24"/>
        </w:rPr>
        <w:t xml:space="preserve">er has the option to convert </w:t>
      </w:r>
      <w:r>
        <w:rPr>
          <w:rFonts w:ascii="Times New Roman" w:hAnsi="Times New Roman" w:cs="Times New Roman"/>
          <w:sz w:val="24"/>
          <w:szCs w:val="24"/>
        </w:rPr>
        <w:t>the principal amount of the Debenture</w:t>
      </w:r>
      <w:r w:rsidRPr="008B5876">
        <w:rPr>
          <w:rFonts w:ascii="Times New Roman" w:hAnsi="Times New Roman" w:cs="Times New Roman"/>
          <w:sz w:val="24"/>
          <w:szCs w:val="24"/>
        </w:rPr>
        <w:t xml:space="preserve"> into </w:t>
      </w:r>
      <w:r>
        <w:rPr>
          <w:rFonts w:ascii="Times New Roman" w:hAnsi="Times New Roman" w:cs="Times New Roman"/>
          <w:sz w:val="24"/>
          <w:szCs w:val="24"/>
        </w:rPr>
        <w:t>units</w:t>
      </w:r>
      <w:r w:rsidRPr="008B5876">
        <w:rPr>
          <w:rFonts w:ascii="Times New Roman" w:hAnsi="Times New Roman" w:cs="Times New Roman"/>
          <w:sz w:val="24"/>
          <w:szCs w:val="24"/>
        </w:rPr>
        <w:t xml:space="preserve"> in the capital of the Company (the “</w:t>
      </w:r>
      <w:r>
        <w:rPr>
          <w:rFonts w:ascii="Times New Roman" w:hAnsi="Times New Roman" w:cs="Times New Roman"/>
          <w:b/>
          <w:sz w:val="24"/>
          <w:szCs w:val="24"/>
        </w:rPr>
        <w:t>Units</w:t>
      </w:r>
      <w:r w:rsidRPr="008B5876">
        <w:rPr>
          <w:rFonts w:ascii="Times New Roman" w:hAnsi="Times New Roman" w:cs="Times New Roman"/>
          <w:sz w:val="24"/>
          <w:szCs w:val="24"/>
        </w:rPr>
        <w:t>”) at the</w:t>
      </w:r>
      <w:r>
        <w:rPr>
          <w:rFonts w:ascii="Times New Roman" w:hAnsi="Times New Roman" w:cs="Times New Roman"/>
          <w:sz w:val="24"/>
          <w:szCs w:val="24"/>
        </w:rPr>
        <w:t xml:space="preserve"> conversion price of $1.08 per Unit.  Each Unit will consist of one common share of the Company (a “</w:t>
      </w:r>
      <w:r>
        <w:rPr>
          <w:rFonts w:ascii="Times New Roman" w:hAnsi="Times New Roman" w:cs="Times New Roman"/>
          <w:b/>
          <w:sz w:val="24"/>
          <w:szCs w:val="24"/>
        </w:rPr>
        <w:t>Share</w:t>
      </w:r>
      <w:r>
        <w:rPr>
          <w:rFonts w:ascii="Times New Roman" w:hAnsi="Times New Roman" w:cs="Times New Roman"/>
          <w:sz w:val="24"/>
          <w:szCs w:val="24"/>
        </w:rPr>
        <w:t>”) and one common share purchase warrant (a “</w:t>
      </w:r>
      <w:r w:rsidRPr="0044650F">
        <w:rPr>
          <w:rFonts w:ascii="Times New Roman" w:hAnsi="Times New Roman" w:cs="Times New Roman"/>
          <w:b/>
          <w:sz w:val="24"/>
          <w:szCs w:val="24"/>
        </w:rPr>
        <w:t>Warrant</w:t>
      </w:r>
      <w:r>
        <w:rPr>
          <w:rFonts w:ascii="Times New Roman" w:hAnsi="Times New Roman" w:cs="Times New Roman"/>
          <w:sz w:val="24"/>
          <w:szCs w:val="24"/>
        </w:rPr>
        <w:t>”)</w:t>
      </w:r>
      <w:r w:rsidRPr="008B5876">
        <w:rPr>
          <w:rFonts w:ascii="Times New Roman" w:hAnsi="Times New Roman" w:cs="Times New Roman"/>
          <w:sz w:val="24"/>
          <w:szCs w:val="24"/>
        </w:rPr>
        <w:t>.</w:t>
      </w:r>
      <w:r>
        <w:rPr>
          <w:rFonts w:ascii="Times New Roman" w:hAnsi="Times New Roman" w:cs="Times New Roman"/>
          <w:sz w:val="24"/>
          <w:szCs w:val="24"/>
        </w:rPr>
        <w:t xml:space="preserve"> </w:t>
      </w:r>
      <w:r w:rsidRPr="008B5876">
        <w:rPr>
          <w:rFonts w:ascii="Times New Roman" w:hAnsi="Times New Roman" w:cs="Times New Roman"/>
          <w:sz w:val="24"/>
          <w:szCs w:val="24"/>
          <w:lang w:val="en-US"/>
        </w:rPr>
        <w:t xml:space="preserve">Each Warrant will entitle the </w:t>
      </w:r>
      <w:r>
        <w:rPr>
          <w:rFonts w:ascii="Times New Roman" w:hAnsi="Times New Roman" w:cs="Times New Roman"/>
          <w:sz w:val="24"/>
          <w:szCs w:val="24"/>
          <w:lang w:val="en-US"/>
        </w:rPr>
        <w:t>holder</w:t>
      </w:r>
      <w:r w:rsidRPr="008B5876">
        <w:rPr>
          <w:rFonts w:ascii="Times New Roman" w:hAnsi="Times New Roman" w:cs="Times New Roman"/>
          <w:sz w:val="24"/>
          <w:szCs w:val="24"/>
          <w:lang w:val="en-US"/>
        </w:rPr>
        <w:t xml:space="preserve"> to purchase one Share</w:t>
      </w:r>
      <w:r>
        <w:rPr>
          <w:rFonts w:ascii="Times New Roman" w:hAnsi="Times New Roman" w:cs="Times New Roman"/>
          <w:sz w:val="24"/>
          <w:szCs w:val="24"/>
          <w:lang w:val="en-US"/>
        </w:rPr>
        <w:t xml:space="preserve"> (a “</w:t>
      </w:r>
      <w:r w:rsidRPr="00627DBF">
        <w:rPr>
          <w:rFonts w:ascii="Times New Roman" w:hAnsi="Times New Roman" w:cs="Times New Roman"/>
          <w:b/>
          <w:sz w:val="24"/>
          <w:szCs w:val="24"/>
          <w:lang w:val="en-US"/>
        </w:rPr>
        <w:t>Warrant Share</w:t>
      </w:r>
      <w:r>
        <w:rPr>
          <w:rFonts w:ascii="Times New Roman" w:hAnsi="Times New Roman" w:cs="Times New Roman"/>
          <w:sz w:val="24"/>
          <w:szCs w:val="24"/>
          <w:lang w:val="en-US"/>
        </w:rPr>
        <w:t>”) at the exercise price of $1.08 per Warrant Share until October 12, 2020</w:t>
      </w:r>
      <w:r w:rsidRPr="008B5876">
        <w:rPr>
          <w:rFonts w:ascii="Times New Roman" w:hAnsi="Times New Roman" w:cs="Times New Roman"/>
          <w:sz w:val="24"/>
          <w:szCs w:val="24"/>
          <w:lang w:val="en-US"/>
        </w:rPr>
        <w:t>.</w:t>
      </w:r>
      <w:r>
        <w:rPr>
          <w:rFonts w:ascii="Times New Roman" w:hAnsi="Times New Roman" w:cs="Times New Roman"/>
          <w:sz w:val="24"/>
          <w:szCs w:val="24"/>
        </w:rPr>
        <w:t xml:space="preserve"> </w:t>
      </w:r>
      <w:r w:rsidRPr="008B5876">
        <w:rPr>
          <w:rFonts w:ascii="Times New Roman" w:hAnsi="Times New Roman" w:cs="Times New Roman"/>
          <w:sz w:val="24"/>
          <w:szCs w:val="24"/>
        </w:rPr>
        <w:t xml:space="preserve"> </w:t>
      </w:r>
      <w:r>
        <w:rPr>
          <w:rFonts w:ascii="Times New Roman" w:hAnsi="Times New Roman" w:cs="Times New Roman"/>
          <w:sz w:val="24"/>
          <w:szCs w:val="24"/>
        </w:rPr>
        <w:t xml:space="preserve">The Debentures and the securities issuable upon the conversion of the Debentures will be subject to a statutory hold period expiring on February 13, 2019. </w:t>
      </w:r>
    </w:p>
    <w:p w14:paraId="62EDAE49" w14:textId="77777777" w:rsidR="000B5A91" w:rsidRPr="008B5876" w:rsidRDefault="00863E28" w:rsidP="00F102BA">
      <w:pPr>
        <w:jc w:val="both"/>
        <w:divId w:val="1344624202"/>
        <w:rPr>
          <w:rFonts w:ascii="Times New Roman" w:hAnsi="Times New Roman" w:cs="Times New Roman"/>
          <w:sz w:val="24"/>
          <w:szCs w:val="24"/>
          <w:lang w:val="en-US"/>
        </w:rPr>
      </w:pPr>
      <w:r w:rsidRPr="008B5876">
        <w:rPr>
          <w:rFonts w:ascii="Times New Roman" w:hAnsi="Times New Roman" w:cs="Times New Roman"/>
          <w:sz w:val="24"/>
          <w:szCs w:val="24"/>
          <w:lang w:val="en-US"/>
        </w:rPr>
        <w:t xml:space="preserve">The proceeds of the </w:t>
      </w:r>
      <w:r>
        <w:rPr>
          <w:rFonts w:ascii="Times New Roman" w:hAnsi="Times New Roman" w:cs="Times New Roman"/>
          <w:sz w:val="24"/>
          <w:szCs w:val="24"/>
          <w:lang w:val="en-US"/>
        </w:rPr>
        <w:t>Offering</w:t>
      </w:r>
      <w:r w:rsidRPr="008B5876">
        <w:rPr>
          <w:rFonts w:ascii="Times New Roman" w:hAnsi="Times New Roman" w:cs="Times New Roman"/>
          <w:sz w:val="24"/>
          <w:szCs w:val="24"/>
          <w:lang w:val="en-US"/>
        </w:rPr>
        <w:t xml:space="preserve"> will be used by the Company to provide general working capital. </w:t>
      </w:r>
      <w:bookmarkStart w:id="1" w:name="_GoBack"/>
      <w:bookmarkEnd w:id="1"/>
    </w:p>
    <w:p w14:paraId="53440334" w14:textId="77777777" w:rsidR="0063155B" w:rsidRPr="008B5876" w:rsidRDefault="00863E28" w:rsidP="00F102BA">
      <w:pPr>
        <w:jc w:val="both"/>
        <w:rPr>
          <w:rFonts w:ascii="Times New Roman" w:eastAsia="Times New Roman" w:hAnsi="Times New Roman" w:cs="Times New Roman"/>
          <w:b/>
          <w:sz w:val="24"/>
          <w:szCs w:val="24"/>
          <w:u w:val="single"/>
        </w:rPr>
      </w:pPr>
      <w:r w:rsidRPr="008B5876">
        <w:rPr>
          <w:rFonts w:ascii="Times New Roman" w:eastAsia="Times New Roman" w:hAnsi="Times New Roman" w:cs="Times New Roman"/>
          <w:b/>
          <w:sz w:val="24"/>
          <w:szCs w:val="24"/>
          <w:u w:val="single"/>
        </w:rPr>
        <w:t>About NetCents</w:t>
      </w:r>
    </w:p>
    <w:p w14:paraId="733BD62D" w14:textId="77777777" w:rsidR="008B5876" w:rsidRPr="008B5876" w:rsidRDefault="00863E28" w:rsidP="00F102BA">
      <w:pPr>
        <w:jc w:val="both"/>
        <w:rPr>
          <w:rFonts w:ascii="Times New Roman" w:eastAsia="Times New Roman" w:hAnsi="Times New Roman" w:cs="Times New Roman"/>
          <w:sz w:val="24"/>
          <w:szCs w:val="24"/>
        </w:rPr>
      </w:pPr>
      <w:r w:rsidRPr="008B5876">
        <w:rPr>
          <w:rFonts w:ascii="Times New Roman" w:eastAsia="Times New Roman" w:hAnsi="Times New Roman" w:cs="Times New Roman"/>
          <w:sz w:val="24"/>
          <w:szCs w:val="24"/>
        </w:rPr>
        <w:t xml:space="preserve">NetCents is a next generation online payments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w:t>
      </w:r>
    </w:p>
    <w:p w14:paraId="599478F4" w14:textId="77777777" w:rsidR="0063155B" w:rsidRPr="008B5876" w:rsidRDefault="00863E28" w:rsidP="00F102BA">
      <w:pPr>
        <w:jc w:val="both"/>
        <w:rPr>
          <w:rFonts w:ascii="Times New Roman" w:eastAsia="Times New Roman" w:hAnsi="Times New Roman" w:cs="Times New Roman"/>
          <w:sz w:val="24"/>
          <w:szCs w:val="24"/>
        </w:rPr>
      </w:pPr>
      <w:r w:rsidRPr="008B5876">
        <w:rPr>
          <w:rFonts w:ascii="Times New Roman" w:eastAsia="Times New Roman" w:hAnsi="Times New Roman" w:cs="Times New Roman"/>
          <w:sz w:val="24"/>
          <w:szCs w:val="24"/>
        </w:rPr>
        <w:t>NetCents Technology is integrated into the Automated Clearing House ("ACH") and is registered as a Money Services Business (MSB) with FINTRAC, which ensures our consumer's security and privacy. NetCents is available for deposits from 194 Countries around the World, providing you wi</w:t>
      </w:r>
      <w:r>
        <w:rPr>
          <w:rFonts w:ascii="Times New Roman" w:eastAsia="Times New Roman" w:hAnsi="Times New Roman" w:cs="Times New Roman"/>
          <w:sz w:val="24"/>
          <w:szCs w:val="24"/>
        </w:rPr>
        <w:t>th the freedom to choose to Pay</w:t>
      </w:r>
      <w:r w:rsidRPr="008B5876">
        <w:rPr>
          <w:rFonts w:ascii="Times New Roman" w:eastAsia="Times New Roman" w:hAnsi="Times New Roman" w:cs="Times New Roman"/>
          <w:sz w:val="24"/>
          <w:szCs w:val="24"/>
        </w:rPr>
        <w:t xml:space="preserve"> Your Way. ™</w:t>
      </w:r>
    </w:p>
    <w:p w14:paraId="2FF1052E" w14:textId="77777777" w:rsidR="0043705B" w:rsidRPr="008B5876" w:rsidRDefault="00863E28">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rPr>
        <w:t xml:space="preserve">On Behalf of the Board of Directors </w:t>
      </w:r>
    </w:p>
    <w:p w14:paraId="4C6075B3" w14:textId="77777777" w:rsidR="0063155B" w:rsidRPr="008B5876" w:rsidRDefault="00863E28">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rPr>
        <w:t>NetCents Technology Inc.</w:t>
      </w:r>
    </w:p>
    <w:p w14:paraId="2B903283" w14:textId="77777777" w:rsidR="0063155B" w:rsidRPr="008B5876" w:rsidRDefault="00854F18">
      <w:pPr>
        <w:spacing w:after="0"/>
        <w:rPr>
          <w:rFonts w:ascii="Times New Roman" w:eastAsia="Times New Roman" w:hAnsi="Times New Roman" w:cs="Times New Roman"/>
          <w:sz w:val="24"/>
          <w:szCs w:val="24"/>
        </w:rPr>
      </w:pPr>
    </w:p>
    <w:p w14:paraId="55EEA74D" w14:textId="77777777" w:rsidR="0063155B" w:rsidRPr="008B5876" w:rsidRDefault="00863E28">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u w:val="single"/>
        </w:rPr>
        <w:t>“Clayton Moore”</w:t>
      </w:r>
    </w:p>
    <w:p w14:paraId="3F951B66" w14:textId="77777777" w:rsidR="0063155B" w:rsidRPr="008B5876" w:rsidRDefault="00863E28">
      <w:pPr>
        <w:spacing w:after="0"/>
        <w:rPr>
          <w:rFonts w:ascii="Times New Roman" w:eastAsia="Times New Roman" w:hAnsi="Times New Roman" w:cs="Times New Roman"/>
          <w:b/>
          <w:sz w:val="24"/>
          <w:szCs w:val="24"/>
        </w:rPr>
      </w:pPr>
      <w:r w:rsidRPr="008B5876">
        <w:rPr>
          <w:rFonts w:ascii="Times New Roman" w:eastAsia="Times New Roman" w:hAnsi="Times New Roman" w:cs="Times New Roman"/>
          <w:b/>
          <w:sz w:val="24"/>
          <w:szCs w:val="24"/>
        </w:rPr>
        <w:t>Clayton Moore, CEO, Founder and Director</w:t>
      </w:r>
    </w:p>
    <w:p w14:paraId="5648FD82" w14:textId="77777777" w:rsidR="0063155B" w:rsidRPr="008B5876" w:rsidRDefault="00863E28">
      <w:pPr>
        <w:jc w:val="both"/>
        <w:rPr>
          <w:rFonts w:ascii="Times New Roman" w:eastAsia="Questrial" w:hAnsi="Times New Roman" w:cs="Times New Roman"/>
          <w:b/>
          <w:sz w:val="24"/>
          <w:szCs w:val="24"/>
          <w:u w:val="single"/>
        </w:rPr>
      </w:pPr>
      <w:r w:rsidRPr="008B5876">
        <w:rPr>
          <w:rFonts w:ascii="Times New Roman" w:eastAsia="Questrial" w:hAnsi="Times New Roman" w:cs="Times New Roman"/>
          <w:b/>
          <w:sz w:val="24"/>
          <w:szCs w:val="24"/>
          <w:u w:val="single"/>
        </w:rPr>
        <w:lastRenderedPageBreak/>
        <w:t>Cautionary Note Regarding Forward Looking Information</w:t>
      </w:r>
    </w:p>
    <w:p w14:paraId="49323BD1" w14:textId="77777777" w:rsidR="0063155B" w:rsidRPr="008B5876" w:rsidRDefault="00863E28">
      <w:pPr>
        <w:jc w:val="both"/>
        <w:rPr>
          <w:rFonts w:ascii="Times New Roman" w:eastAsia="Questrial" w:hAnsi="Times New Roman" w:cs="Times New Roman"/>
          <w:sz w:val="24"/>
          <w:szCs w:val="24"/>
        </w:rPr>
      </w:pPr>
      <w:r w:rsidRPr="008B5876">
        <w:rPr>
          <w:rFonts w:ascii="Times New Roman" w:eastAsia="Questrial" w:hAnsi="Times New Roman" w:cs="Times New Roman"/>
          <w:sz w:val="24"/>
          <w:szCs w:val="24"/>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272DA7BB" w14:textId="77777777" w:rsidR="0037193B" w:rsidRDefault="00863E28" w:rsidP="0043705B">
      <w:pPr>
        <w:jc w:val="both"/>
        <w:rPr>
          <w:rFonts w:ascii="Times New Roman" w:eastAsia="Questrial" w:hAnsi="Times New Roman" w:cs="Times New Roman"/>
          <w:b/>
          <w:sz w:val="24"/>
          <w:szCs w:val="24"/>
        </w:rPr>
      </w:pPr>
      <w:r w:rsidRPr="0037193B">
        <w:rPr>
          <w:rFonts w:ascii="Times New Roman" w:eastAsia="Questrial" w:hAnsi="Times New Roman" w:cs="Times New Roman"/>
          <w:b/>
          <w:sz w:val="24"/>
          <w:szCs w:val="24"/>
        </w:rPr>
        <w:t>SOURCE NetCents Technology Inc.</w:t>
      </w:r>
    </w:p>
    <w:p w14:paraId="1D886C81" w14:textId="77777777" w:rsidR="0043705B" w:rsidRPr="008B5876" w:rsidRDefault="00863E28" w:rsidP="0043705B">
      <w:pPr>
        <w:jc w:val="both"/>
        <w:rPr>
          <w:rFonts w:ascii="Times New Roman" w:eastAsia="Questrial" w:hAnsi="Times New Roman" w:cs="Times New Roman"/>
          <w:sz w:val="24"/>
          <w:szCs w:val="24"/>
        </w:rPr>
      </w:pPr>
      <w:r w:rsidRPr="008B5876">
        <w:rPr>
          <w:rFonts w:ascii="Times New Roman" w:eastAsia="Questrial" w:hAnsi="Times New Roman" w:cs="Times New Roman"/>
          <w:b/>
          <w:sz w:val="24"/>
          <w:szCs w:val="24"/>
        </w:rPr>
        <w:t>For further information:</w:t>
      </w:r>
      <w:r w:rsidRPr="008B5876">
        <w:rPr>
          <w:rFonts w:ascii="Times New Roman" w:eastAsia="Questrial" w:hAnsi="Times New Roman" w:cs="Times New Roman"/>
          <w:sz w:val="24"/>
          <w:szCs w:val="24"/>
        </w:rPr>
        <w:t xml:space="preserve"> please visit the corporate website at ww</w:t>
      </w:r>
      <w:r>
        <w:rPr>
          <w:rFonts w:ascii="Times New Roman" w:eastAsia="Questrial" w:hAnsi="Times New Roman" w:cs="Times New Roman"/>
          <w:sz w:val="24"/>
          <w:szCs w:val="24"/>
        </w:rPr>
        <w:t xml:space="preserve">w.net-cents.com or contact Gord </w:t>
      </w:r>
      <w:r w:rsidRPr="008B5876">
        <w:rPr>
          <w:rFonts w:ascii="Times New Roman" w:eastAsia="Questrial" w:hAnsi="Times New Roman" w:cs="Times New Roman"/>
          <w:sz w:val="24"/>
          <w:szCs w:val="24"/>
        </w:rPr>
        <w:t>Jessop, President: gord.jessop@net-cents.com</w:t>
      </w:r>
    </w:p>
    <w:p w14:paraId="15B753DA" w14:textId="77777777" w:rsidR="008B5876" w:rsidRPr="008B5876" w:rsidRDefault="00854F18" w:rsidP="008B5876">
      <w:pPr>
        <w:jc w:val="both"/>
        <w:rPr>
          <w:rFonts w:ascii="Times New Roman" w:eastAsia="Questrial" w:hAnsi="Times New Roman" w:cs="Times New Roman"/>
          <w:sz w:val="24"/>
          <w:szCs w:val="24"/>
        </w:rPr>
      </w:pPr>
    </w:p>
    <w:sectPr w:rsidR="008B5876" w:rsidRPr="008B5876" w:rsidSect="009559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D1DE" w14:textId="77777777" w:rsidR="00854F18" w:rsidRDefault="00854F18" w:rsidP="004114BA">
      <w:pPr>
        <w:spacing w:after="0" w:line="240" w:lineRule="auto"/>
      </w:pPr>
      <w:r>
        <w:separator/>
      </w:r>
    </w:p>
  </w:endnote>
  <w:endnote w:type="continuationSeparator" w:id="0">
    <w:p w14:paraId="37FE85D2" w14:textId="77777777" w:rsidR="00854F18" w:rsidRDefault="00854F18" w:rsidP="0041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uestrial">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E260" w14:textId="77777777" w:rsidR="001947E2" w:rsidRDefault="0019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B721" w14:textId="77777777" w:rsidR="001947E2" w:rsidRDefault="00194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817A" w14:textId="77777777" w:rsidR="001947E2" w:rsidRDefault="0019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9F03" w14:textId="77777777" w:rsidR="00854F18" w:rsidRDefault="00854F18" w:rsidP="004114BA">
      <w:pPr>
        <w:spacing w:after="0" w:line="240" w:lineRule="auto"/>
      </w:pPr>
      <w:r>
        <w:separator/>
      </w:r>
    </w:p>
  </w:footnote>
  <w:footnote w:type="continuationSeparator" w:id="0">
    <w:p w14:paraId="511B73BB" w14:textId="77777777" w:rsidR="00854F18" w:rsidRDefault="00854F18" w:rsidP="0041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BFA3" w14:textId="77777777" w:rsidR="001947E2" w:rsidRDefault="0019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157A" w14:textId="77777777" w:rsidR="0063155B" w:rsidRDefault="00854F18">
    <w:pPr>
      <w:tabs>
        <w:tab w:val="right" w:pos="9360"/>
      </w:tabs>
      <w:spacing w:before="720" w:after="0" w:line="240" w:lineRule="auto"/>
      <w:rPr>
        <w:rFonts w:ascii="Times New Roman" w:eastAsia="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08B7" w14:textId="77777777" w:rsidR="001947E2" w:rsidRDefault="00194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BA"/>
    <w:rsid w:val="001773B1"/>
    <w:rsid w:val="001947E2"/>
    <w:rsid w:val="004114BA"/>
    <w:rsid w:val="004A0D18"/>
    <w:rsid w:val="005744D6"/>
    <w:rsid w:val="00854F18"/>
    <w:rsid w:val="00863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DAB164"/>
  <w15:docId w15:val="{8CB7E380-8788-3B4E-B4AA-112590B0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AC0"/>
    <w:rPr>
      <w:rFonts w:asciiTheme="minorHAnsi" w:eastAsiaTheme="minorHAnsi" w:hAnsiTheme="minorHAnsi" w:cstheme="minorBidi"/>
    </w:rPr>
  </w:style>
  <w:style w:type="paragraph" w:styleId="Heading1">
    <w:name w:val="heading 1"/>
    <w:basedOn w:val="Normal1"/>
    <w:next w:val="Normal1"/>
    <w:rsid w:val="00A7396C"/>
    <w:pPr>
      <w:keepNext/>
      <w:keepLines/>
      <w:spacing w:before="480" w:after="120"/>
      <w:contextualSpacing/>
      <w:outlineLvl w:val="0"/>
    </w:pPr>
    <w:rPr>
      <w:b/>
      <w:sz w:val="48"/>
      <w:szCs w:val="48"/>
    </w:rPr>
  </w:style>
  <w:style w:type="paragraph" w:styleId="Heading2">
    <w:name w:val="heading 2"/>
    <w:basedOn w:val="Normal1"/>
    <w:next w:val="Normal1"/>
    <w:rsid w:val="00A7396C"/>
    <w:pPr>
      <w:keepNext/>
      <w:keepLines/>
      <w:spacing w:before="360" w:after="80"/>
      <w:contextualSpacing/>
      <w:outlineLvl w:val="1"/>
    </w:pPr>
    <w:rPr>
      <w:b/>
      <w:sz w:val="36"/>
      <w:szCs w:val="36"/>
    </w:rPr>
  </w:style>
  <w:style w:type="paragraph" w:styleId="Heading3">
    <w:name w:val="heading 3"/>
    <w:basedOn w:val="Normal1"/>
    <w:next w:val="Normal1"/>
    <w:rsid w:val="00A7396C"/>
    <w:pPr>
      <w:keepNext/>
      <w:keepLines/>
      <w:spacing w:before="280" w:after="80"/>
      <w:contextualSpacing/>
      <w:outlineLvl w:val="2"/>
    </w:pPr>
    <w:rPr>
      <w:b/>
      <w:sz w:val="28"/>
      <w:szCs w:val="28"/>
    </w:rPr>
  </w:style>
  <w:style w:type="paragraph" w:styleId="Heading4">
    <w:name w:val="heading 4"/>
    <w:basedOn w:val="Normal1"/>
    <w:next w:val="Normal1"/>
    <w:rsid w:val="00A7396C"/>
    <w:pPr>
      <w:keepNext/>
      <w:keepLines/>
      <w:spacing w:before="240" w:after="40"/>
      <w:contextualSpacing/>
      <w:outlineLvl w:val="3"/>
    </w:pPr>
    <w:rPr>
      <w:b/>
      <w:sz w:val="24"/>
      <w:szCs w:val="24"/>
    </w:rPr>
  </w:style>
  <w:style w:type="paragraph" w:styleId="Heading5">
    <w:name w:val="heading 5"/>
    <w:basedOn w:val="Normal1"/>
    <w:next w:val="Normal1"/>
    <w:rsid w:val="00A7396C"/>
    <w:pPr>
      <w:keepNext/>
      <w:keepLines/>
      <w:spacing w:before="220" w:after="40"/>
      <w:contextualSpacing/>
      <w:outlineLvl w:val="4"/>
    </w:pPr>
    <w:rPr>
      <w:b/>
    </w:rPr>
  </w:style>
  <w:style w:type="paragraph" w:styleId="Heading6">
    <w:name w:val="heading 6"/>
    <w:basedOn w:val="Normal1"/>
    <w:next w:val="Normal1"/>
    <w:rsid w:val="00A739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A7396C"/>
    <w:pPr>
      <w:keepNext/>
      <w:keepLines/>
      <w:spacing w:before="480" w:after="120"/>
      <w:contextualSpacing/>
    </w:pPr>
    <w:rPr>
      <w:b/>
      <w:sz w:val="72"/>
      <w:szCs w:val="72"/>
    </w:rPr>
  </w:style>
  <w:style w:type="paragraph" w:customStyle="1" w:styleId="Normal1">
    <w:name w:val="Normal1"/>
    <w:rsid w:val="00A7396C"/>
  </w:style>
  <w:style w:type="paragraph" w:customStyle="1" w:styleId="HeaderFooter">
    <w:name w:val="Header &amp; Footer"/>
    <w:rsid w:val="00957B42"/>
    <w:pPr>
      <w:tabs>
        <w:tab w:val="right" w:pos="9360"/>
      </w:tabs>
    </w:pPr>
    <w:rPr>
      <w:rFonts w:ascii="Helvetica" w:eastAsia="ヒラギノ角ゴ Pro W3" w:hAnsi="Helvetica"/>
      <w:lang w:val="en-US"/>
    </w:rPr>
  </w:style>
  <w:style w:type="paragraph" w:customStyle="1" w:styleId="FreeForm">
    <w:name w:val="Free Form"/>
    <w:rsid w:val="00957B42"/>
    <w:rPr>
      <w:rFonts w:ascii="Helvetica" w:eastAsia="ヒラギノ角ゴ Pro W3" w:hAnsi="Helvetica"/>
      <w:sz w:val="24"/>
      <w:lang w:val="en-US"/>
    </w:rPr>
  </w:style>
  <w:style w:type="paragraph" w:customStyle="1" w:styleId="Body">
    <w:name w:val="Body"/>
    <w:rsid w:val="00957B42"/>
    <w:rPr>
      <w:rFonts w:ascii="Helvetica" w:eastAsia="ヒラギノ角ゴ Pro W3" w:hAnsi="Helvetica"/>
      <w:sz w:val="24"/>
      <w:lang w:val="en-US"/>
    </w:rPr>
  </w:style>
  <w:style w:type="paragraph" w:customStyle="1" w:styleId="header1">
    <w:name w:val="header 1"/>
    <w:basedOn w:val="FreeForm"/>
    <w:next w:val="Normal"/>
    <w:link w:val="header1Char"/>
    <w:qFormat/>
    <w:rsid w:val="007574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jc w:val="center"/>
      <w:outlineLvl w:val="0"/>
    </w:pPr>
    <w:rPr>
      <w:rFonts w:ascii="Century Gothic" w:hAnsi="Century Gothic"/>
      <w:color w:val="FF6600"/>
      <w:sz w:val="32"/>
      <w:szCs w:val="28"/>
    </w:rPr>
  </w:style>
  <w:style w:type="character" w:customStyle="1" w:styleId="header1Char">
    <w:name w:val="header 1 Char"/>
    <w:link w:val="header1"/>
    <w:rsid w:val="0075749A"/>
    <w:rPr>
      <w:rFonts w:ascii="Century Gothic" w:eastAsia="ヒラギノ角ゴ Pro W3" w:hAnsi="Century Gothic"/>
      <w:color w:val="FF6600"/>
      <w:sz w:val="32"/>
      <w:szCs w:val="28"/>
    </w:rPr>
  </w:style>
  <w:style w:type="paragraph" w:customStyle="1" w:styleId="Normal8">
    <w:name w:val="Normal_8"/>
    <w:rsid w:val="007A74C6"/>
    <w:pPr>
      <w:spacing w:before="240" w:after="240" w:line="360" w:lineRule="auto"/>
    </w:pPr>
    <w:rPr>
      <w:rFonts w:ascii="Calibri" w:hAnsi="Calibri"/>
      <w:szCs w:val="24"/>
      <w:lang w:val="en-US" w:eastAsia="ja-JP"/>
    </w:rPr>
  </w:style>
  <w:style w:type="paragraph" w:customStyle="1" w:styleId="Heading2-indaba">
    <w:name w:val="Heading 2 - indaba"/>
    <w:basedOn w:val="Normal"/>
    <w:next w:val="Normal"/>
    <w:rsid w:val="0075749A"/>
    <w:pPr>
      <w:keepNext/>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outlineLvl w:val="2"/>
    </w:pPr>
    <w:rPr>
      <w:rFonts w:ascii="Century Gothic" w:eastAsia="MS Mincho" w:hAnsi="Century Gothic" w:cs="Arial"/>
      <w:color w:val="7F7F7F"/>
      <w:sz w:val="24"/>
      <w:szCs w:val="24"/>
      <w:lang w:val="en-US" w:eastAsia="ja-JP"/>
    </w:rPr>
  </w:style>
  <w:style w:type="paragraph" w:customStyle="1" w:styleId="Normal00">
    <w:name w:val="Normal_0_0"/>
    <w:rsid w:val="007A74C6"/>
    <w:pPr>
      <w:spacing w:before="240" w:after="240" w:line="360" w:lineRule="auto"/>
    </w:pPr>
    <w:rPr>
      <w:rFonts w:ascii="Calibri" w:hAnsi="Calibri"/>
      <w:szCs w:val="24"/>
      <w:lang w:val="en-US" w:eastAsia="ja-JP"/>
    </w:rPr>
  </w:style>
  <w:style w:type="paragraph" w:customStyle="1" w:styleId="Normal5">
    <w:name w:val="Normal_5"/>
    <w:rsid w:val="007A74C6"/>
    <w:pPr>
      <w:spacing w:before="240" w:after="240" w:line="360" w:lineRule="auto"/>
    </w:pPr>
    <w:rPr>
      <w:rFonts w:ascii="Calibri" w:hAnsi="Calibri"/>
      <w:szCs w:val="24"/>
      <w:lang w:val="en-US" w:eastAsia="ja-JP"/>
    </w:rPr>
  </w:style>
  <w:style w:type="paragraph" w:styleId="BalloonText">
    <w:name w:val="Balloon Text"/>
    <w:basedOn w:val="Normal"/>
    <w:link w:val="BalloonTextChar"/>
    <w:uiPriority w:val="99"/>
    <w:semiHidden/>
    <w:unhideWhenUsed/>
    <w:rsid w:val="009E609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E6096"/>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554D42"/>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ind w:left="720"/>
      <w:contextualSpacing/>
    </w:pPr>
    <w:rPr>
      <w:rFonts w:ascii="Century Gothic" w:eastAsia="ヒラギノ角ゴ Pro W3" w:hAnsi="Century Gothic" w:cs="Times New Roman"/>
      <w:sz w:val="20"/>
      <w:szCs w:val="20"/>
      <w:lang w:val="en-US"/>
    </w:rPr>
  </w:style>
  <w:style w:type="paragraph" w:customStyle="1" w:styleId="Default">
    <w:name w:val="Default"/>
    <w:rsid w:val="00D4356F"/>
    <w:pPr>
      <w:autoSpaceDE w:val="0"/>
      <w:autoSpaceDN w:val="0"/>
      <w:adjustRightInd w:val="0"/>
    </w:pPr>
    <w:rPr>
      <w:rFonts w:ascii="Calibri" w:eastAsia="Calibri" w:hAnsi="Calibri" w:cs="Calibri"/>
      <w:sz w:val="24"/>
      <w:szCs w:val="24"/>
    </w:rPr>
  </w:style>
  <w:style w:type="paragraph" w:customStyle="1" w:styleId="header2">
    <w:name w:val="header 2"/>
    <w:basedOn w:val="header1"/>
    <w:qFormat/>
    <w:rsid w:val="0075749A"/>
    <w:pPr>
      <w:jc w:val="left"/>
    </w:pPr>
    <w:rPr>
      <w:color w:val="7F7F7F"/>
      <w:sz w:val="28"/>
      <w:szCs w:val="24"/>
    </w:rPr>
  </w:style>
  <w:style w:type="character" w:styleId="SubtleEmphasis">
    <w:name w:val="Subtle Emphasis"/>
    <w:aliases w:val="header 3"/>
    <w:uiPriority w:val="19"/>
    <w:qFormat/>
    <w:rsid w:val="009E51B1"/>
    <w:rPr>
      <w:rFonts w:ascii="Century Gothic" w:hAnsi="Century Gothic"/>
      <w:i w:val="0"/>
      <w:iCs w:val="0"/>
      <w:color w:val="000000"/>
      <w:sz w:val="26"/>
      <w:szCs w:val="24"/>
    </w:rPr>
  </w:style>
  <w:style w:type="paragraph" w:styleId="Quote">
    <w:name w:val="Quote"/>
    <w:aliases w:val="header 4"/>
    <w:basedOn w:val="Normal"/>
    <w:next w:val="Normal"/>
    <w:link w:val="QuoteChar"/>
    <w:uiPriority w:val="29"/>
    <w:qFormat/>
    <w:rsid w:val="009E51B1"/>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360" w:lineRule="auto"/>
    </w:pPr>
    <w:rPr>
      <w:rFonts w:ascii="Century Gothic" w:eastAsia="ヒラギノ角ゴ Pro W3" w:hAnsi="Century Gothic" w:cs="Times New Roman"/>
      <w:i/>
      <w:iCs/>
      <w:sz w:val="24"/>
      <w:szCs w:val="20"/>
      <w:lang w:val="en-US"/>
    </w:rPr>
  </w:style>
  <w:style w:type="character" w:customStyle="1" w:styleId="QuoteChar">
    <w:name w:val="Quote Char"/>
    <w:aliases w:val="header 4 Char"/>
    <w:link w:val="Quote"/>
    <w:uiPriority w:val="29"/>
    <w:rsid w:val="009E51B1"/>
    <w:rPr>
      <w:rFonts w:ascii="Century Gothic" w:eastAsia="ヒラギノ角ゴ Pro W3" w:hAnsi="Century Gothic"/>
      <w:i/>
      <w:iCs/>
      <w:color w:val="000000"/>
      <w:sz w:val="24"/>
    </w:rPr>
  </w:style>
  <w:style w:type="character" w:styleId="IntenseReference">
    <w:name w:val="Intense Reference"/>
    <w:aliases w:val="header 5"/>
    <w:uiPriority w:val="32"/>
    <w:qFormat/>
    <w:rsid w:val="009E51B1"/>
    <w:rPr>
      <w:rFonts w:ascii="Century Gothic" w:hAnsi="Century Gothic"/>
      <w:b w:val="0"/>
      <w:bCs w:val="0"/>
      <w:caps w:val="0"/>
      <w:smallCaps/>
      <w:color w:val="FF6600"/>
      <w:spacing w:val="5"/>
      <w:sz w:val="22"/>
      <w:szCs w:val="20"/>
      <w:u w:val="none"/>
    </w:rPr>
  </w:style>
  <w:style w:type="character" w:styleId="BookTitle">
    <w:name w:val="Book Title"/>
    <w:aliases w:val="header 6"/>
    <w:uiPriority w:val="33"/>
    <w:qFormat/>
    <w:rsid w:val="009E51B1"/>
    <w:rPr>
      <w:rFonts w:ascii="Century Gothic" w:hAnsi="Century Gothic"/>
      <w:b w:val="0"/>
      <w:bCs/>
      <w:smallCaps/>
      <w:spacing w:val="5"/>
      <w:sz w:val="22"/>
    </w:rPr>
  </w:style>
  <w:style w:type="character" w:styleId="Hyperlink">
    <w:name w:val="Hyperlink"/>
    <w:basedOn w:val="DefaultParagraphFont"/>
    <w:uiPriority w:val="99"/>
    <w:unhideWhenUsed/>
    <w:rsid w:val="00562AC0"/>
    <w:rPr>
      <w:color w:val="0000FF" w:themeColor="hyperlink"/>
      <w:u w:val="single"/>
    </w:rPr>
  </w:style>
  <w:style w:type="paragraph" w:styleId="BodyText">
    <w:name w:val="Body Text"/>
    <w:aliases w:val="BT,Names Char,bt"/>
    <w:basedOn w:val="Normal"/>
    <w:link w:val="BodyTextChar"/>
    <w:rsid w:val="00562AC0"/>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562AC0"/>
    <w:rPr>
      <w:rFonts w:ascii="Times New Roman" w:eastAsia="Times New Roman" w:hAnsi="Times New Roman"/>
      <w:sz w:val="24"/>
    </w:rPr>
  </w:style>
  <w:style w:type="paragraph" w:styleId="Subtitle">
    <w:name w:val="Subtitle"/>
    <w:basedOn w:val="Normal"/>
    <w:next w:val="Normal"/>
    <w:rsid w:val="0095598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EC"/>
    <w:rPr>
      <w:rFonts w:asciiTheme="minorHAnsi" w:eastAsiaTheme="minorHAnsi" w:hAnsiTheme="minorHAnsi" w:cstheme="minorBidi"/>
    </w:rPr>
  </w:style>
  <w:style w:type="paragraph" w:styleId="Footer">
    <w:name w:val="footer"/>
    <w:basedOn w:val="Normal"/>
    <w:link w:val="FooterChar"/>
    <w:uiPriority w:val="99"/>
    <w:unhideWhenUsed/>
    <w:rsid w:val="001A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EC"/>
    <w:rPr>
      <w:rFonts w:asciiTheme="minorHAnsi" w:eastAsiaTheme="minorHAnsi" w:hAnsiTheme="minorHAnsi" w:cstheme="minorBidi"/>
    </w:rPr>
  </w:style>
  <w:style w:type="paragraph" w:styleId="NormalWeb">
    <w:name w:val="Normal (Web)"/>
    <w:basedOn w:val="Normal"/>
    <w:uiPriority w:val="99"/>
    <w:semiHidden/>
    <w:unhideWhenUsed/>
    <w:rsid w:val="004D0B3B"/>
    <w:pPr>
      <w:widowControl/>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customStyle="1" w:styleId="xn-location">
    <w:name w:val="xn-location"/>
    <w:basedOn w:val="DefaultParagraphFont"/>
    <w:rsid w:val="004D0B3B"/>
  </w:style>
  <w:style w:type="character" w:customStyle="1" w:styleId="apple-converted-space">
    <w:name w:val="apple-converted-space"/>
    <w:basedOn w:val="DefaultParagraphFont"/>
    <w:rsid w:val="004D0B3B"/>
  </w:style>
  <w:style w:type="character" w:customStyle="1" w:styleId="xn-chron">
    <w:name w:val="xn-chron"/>
    <w:basedOn w:val="DefaultParagraphFont"/>
    <w:rsid w:val="004D0B3B"/>
  </w:style>
  <w:style w:type="character" w:customStyle="1" w:styleId="xn-money">
    <w:name w:val="xn-money"/>
    <w:basedOn w:val="DefaultParagraphFont"/>
    <w:rsid w:val="004D0B3B"/>
  </w:style>
  <w:style w:type="character" w:styleId="CommentReference">
    <w:name w:val="annotation reference"/>
    <w:basedOn w:val="DefaultParagraphFont"/>
    <w:uiPriority w:val="99"/>
    <w:semiHidden/>
    <w:unhideWhenUsed/>
    <w:rsid w:val="00B05C75"/>
    <w:rPr>
      <w:sz w:val="16"/>
      <w:szCs w:val="16"/>
    </w:rPr>
  </w:style>
  <w:style w:type="paragraph" w:styleId="CommentText">
    <w:name w:val="annotation text"/>
    <w:basedOn w:val="Normal"/>
    <w:link w:val="CommentTextChar"/>
    <w:uiPriority w:val="99"/>
    <w:semiHidden/>
    <w:unhideWhenUsed/>
    <w:rsid w:val="00B05C75"/>
    <w:pPr>
      <w:spacing w:line="240" w:lineRule="auto"/>
    </w:pPr>
    <w:rPr>
      <w:sz w:val="20"/>
      <w:szCs w:val="20"/>
    </w:rPr>
  </w:style>
  <w:style w:type="character" w:customStyle="1" w:styleId="CommentTextChar">
    <w:name w:val="Comment Text Char"/>
    <w:basedOn w:val="DefaultParagraphFont"/>
    <w:link w:val="CommentText"/>
    <w:uiPriority w:val="99"/>
    <w:semiHidden/>
    <w:rsid w:val="00B05C75"/>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05C75"/>
    <w:rPr>
      <w:b/>
      <w:bCs/>
    </w:rPr>
  </w:style>
  <w:style w:type="character" w:customStyle="1" w:styleId="CommentSubjectChar">
    <w:name w:val="Comment Subject Char"/>
    <w:basedOn w:val="CommentTextChar"/>
    <w:link w:val="CommentSubject"/>
    <w:uiPriority w:val="99"/>
    <w:semiHidden/>
    <w:rsid w:val="00B05C75"/>
    <w:rPr>
      <w:rFonts w:asciiTheme="minorHAnsi" w:eastAsiaTheme="minorHAnsi" w:hAnsiTheme="minorHAnsi" w:cstheme="minorBidi"/>
      <w:b/>
      <w:bCs/>
      <w:sz w:val="20"/>
      <w:szCs w:val="20"/>
    </w:rPr>
  </w:style>
  <w:style w:type="character" w:customStyle="1" w:styleId="DocID">
    <w:name w:val="DocID"/>
    <w:basedOn w:val="DefaultParagraphFont"/>
    <w:rsid w:val="00946866"/>
    <w:rPr>
      <w:rFonts w:ascii="Verdana" w:hAnsi="Verdana"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5527">
      <w:bodyDiv w:val="1"/>
      <w:marLeft w:val="0"/>
      <w:marRight w:val="0"/>
      <w:marTop w:val="0"/>
      <w:marBottom w:val="0"/>
      <w:divBdr>
        <w:top w:val="nil"/>
        <w:left w:val="nil"/>
        <w:bottom w:val="nil"/>
        <w:right w:val="nil"/>
      </w:divBdr>
    </w:div>
    <w:div w:id="1344624202">
      <w:bodyDiv w:val="1"/>
      <w:marLeft w:val="0"/>
      <w:marRight w:val="0"/>
      <w:marTop w:val="0"/>
      <w:marBottom w:val="0"/>
      <w:divBdr>
        <w:top w:val="nil"/>
        <w:left w:val="nil"/>
        <w:bottom w:val="nil"/>
        <w:right w:val="nil"/>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cent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2018-10-19T22:38:00Z</dcterms:created>
  <dcterms:modified xsi:type="dcterms:W3CDTF">2018-10-19T22:39:00Z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LEGAL_29911257.1</vt:lpwstr>
  </property>
</Properties>
</file>