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26EF" w14:textId="77777777" w:rsidR="0031779E" w:rsidRDefault="005175A9" w:rsidP="00014EBB">
      <w:pPr>
        <w:spacing w:before="120" w:after="120" w:line="240" w:lineRule="auto"/>
      </w:pPr>
      <w:r>
        <w:rPr>
          <w:noProof/>
          <w:lang w:val="en-US"/>
        </w:rPr>
        <w:drawing>
          <wp:inline distT="0" distB="0" distL="0" distR="0" wp14:anchorId="03229AA6" wp14:editId="0931E212">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84705" cy="560705"/>
                    </a:xfrm>
                    <a:prstGeom prst="rect">
                      <a:avLst/>
                    </a:prstGeom>
                    <a:ln/>
                  </pic:spPr>
                </pic:pic>
              </a:graphicData>
            </a:graphic>
          </wp:inline>
        </w:drawing>
      </w:r>
    </w:p>
    <w:p w14:paraId="09D8E8E6" w14:textId="77777777" w:rsidR="003508D9" w:rsidRDefault="003508D9" w:rsidP="00014EBB">
      <w:pPr>
        <w:spacing w:before="120" w:after="120" w:line="240" w:lineRule="auto"/>
        <w:jc w:val="center"/>
        <w:rPr>
          <w:b/>
          <w:sz w:val="28"/>
          <w:szCs w:val="28"/>
        </w:rPr>
      </w:pPr>
      <w:bookmarkStart w:id="0" w:name="_gjdgxs" w:colFirst="0" w:colLast="0"/>
      <w:bookmarkEnd w:id="0"/>
    </w:p>
    <w:p w14:paraId="63167FDB" w14:textId="5D59EC44" w:rsidR="0031779E" w:rsidRDefault="0000342B" w:rsidP="00014EBB">
      <w:pPr>
        <w:spacing w:before="120" w:after="120" w:line="240" w:lineRule="auto"/>
        <w:jc w:val="center"/>
        <w:rPr>
          <w:b/>
          <w:sz w:val="28"/>
          <w:szCs w:val="28"/>
        </w:rPr>
      </w:pPr>
      <w:r>
        <w:rPr>
          <w:b/>
          <w:sz w:val="28"/>
          <w:szCs w:val="28"/>
        </w:rPr>
        <w:t xml:space="preserve">NetCents Technology </w:t>
      </w:r>
      <w:r w:rsidR="00154C85">
        <w:rPr>
          <w:b/>
          <w:sz w:val="28"/>
          <w:szCs w:val="28"/>
        </w:rPr>
        <w:t xml:space="preserve">Adds </w:t>
      </w:r>
      <w:r w:rsidR="001C5589">
        <w:rPr>
          <w:b/>
          <w:sz w:val="28"/>
          <w:szCs w:val="28"/>
        </w:rPr>
        <w:t>XEM</w:t>
      </w:r>
      <w:r w:rsidR="00154C85">
        <w:rPr>
          <w:b/>
          <w:sz w:val="28"/>
          <w:szCs w:val="28"/>
        </w:rPr>
        <w:t xml:space="preserve"> to NC Exchange</w:t>
      </w:r>
    </w:p>
    <w:p w14:paraId="14AD17FF" w14:textId="77777777" w:rsidR="00C21D0A" w:rsidRDefault="00C21D0A" w:rsidP="00014EBB">
      <w:pPr>
        <w:spacing w:before="120" w:after="120" w:line="240" w:lineRule="auto"/>
        <w:jc w:val="center"/>
      </w:pPr>
    </w:p>
    <w:p w14:paraId="0BD1025A" w14:textId="01AE483C" w:rsidR="00E847DD" w:rsidRDefault="005175A9" w:rsidP="00987586">
      <w:pPr>
        <w:pStyle w:val="NormalWeb"/>
        <w:shd w:val="clear" w:color="auto" w:fill="FFFFFF"/>
        <w:spacing w:after="150"/>
        <w:rPr>
          <w:rFonts w:asciiTheme="minorHAnsi" w:hAnsiTheme="minorHAnsi" w:cstheme="minorHAnsi"/>
          <w:sz w:val="22"/>
          <w:szCs w:val="22"/>
        </w:rPr>
      </w:pPr>
      <w:r w:rsidRPr="00DD4C9A">
        <w:rPr>
          <w:rFonts w:asciiTheme="minorHAnsi" w:hAnsiTheme="minorHAnsi" w:cstheme="minorHAnsi"/>
          <w:b/>
          <w:sz w:val="22"/>
          <w:szCs w:val="22"/>
        </w:rPr>
        <w:t xml:space="preserve">VANCOUVER, B.C., </w:t>
      </w:r>
      <w:r w:rsidR="00154C85">
        <w:rPr>
          <w:rFonts w:asciiTheme="minorHAnsi" w:hAnsiTheme="minorHAnsi" w:cstheme="minorHAnsi"/>
          <w:b/>
          <w:sz w:val="22"/>
          <w:szCs w:val="22"/>
        </w:rPr>
        <w:t>August 20</w:t>
      </w:r>
      <w:r w:rsidRPr="00DD4C9A">
        <w:rPr>
          <w:rFonts w:asciiTheme="minorHAnsi" w:hAnsiTheme="minorHAnsi" w:cstheme="minorHAnsi"/>
          <w:sz w:val="22"/>
          <w:szCs w:val="22"/>
        </w:rPr>
        <w:t xml:space="preserve">– </w:t>
      </w:r>
      <w:r w:rsidRPr="00DD4C9A">
        <w:rPr>
          <w:rFonts w:asciiTheme="minorHAnsi" w:hAnsiTheme="minorHAnsi" w:cstheme="minorHAnsi"/>
          <w:b/>
          <w:sz w:val="22"/>
          <w:szCs w:val="22"/>
        </w:rPr>
        <w:t>NetCents Technology Inc.</w:t>
      </w:r>
      <w:r w:rsidRPr="00DD4C9A">
        <w:rPr>
          <w:rFonts w:asciiTheme="minorHAnsi" w:hAnsiTheme="minorHAnsi" w:cstheme="minorHAnsi"/>
          <w:sz w:val="22"/>
          <w:szCs w:val="22"/>
        </w:rPr>
        <w:t xml:space="preserve"> (“</w:t>
      </w:r>
      <w:r w:rsidRPr="00DD4C9A">
        <w:rPr>
          <w:rFonts w:asciiTheme="minorHAnsi" w:hAnsiTheme="minorHAnsi" w:cstheme="minorHAnsi"/>
          <w:b/>
          <w:sz w:val="22"/>
          <w:szCs w:val="22"/>
        </w:rPr>
        <w:t>NetCents</w:t>
      </w:r>
      <w:r w:rsidRPr="00DD4C9A">
        <w:rPr>
          <w:rFonts w:asciiTheme="minorHAnsi" w:hAnsiTheme="minorHAnsi" w:cstheme="minorHAnsi"/>
          <w:sz w:val="22"/>
          <w:szCs w:val="22"/>
        </w:rPr>
        <w:t>” or the “</w:t>
      </w:r>
      <w:r w:rsidRPr="00DD4C9A">
        <w:rPr>
          <w:rFonts w:asciiTheme="minorHAnsi" w:hAnsiTheme="minorHAnsi" w:cstheme="minorHAnsi"/>
          <w:b/>
          <w:sz w:val="22"/>
          <w:szCs w:val="22"/>
        </w:rPr>
        <w:t>Company</w:t>
      </w:r>
      <w:r w:rsidRPr="00DD4C9A">
        <w:rPr>
          <w:rFonts w:asciiTheme="minorHAnsi" w:hAnsiTheme="minorHAnsi" w:cstheme="minorHAnsi"/>
          <w:sz w:val="22"/>
          <w:szCs w:val="22"/>
        </w:rPr>
        <w:t>") (CSE: NC / Frankfurt: 26N</w:t>
      </w:r>
      <w:r w:rsidR="008C1ECF">
        <w:rPr>
          <w:rFonts w:asciiTheme="minorHAnsi" w:hAnsiTheme="minorHAnsi" w:cstheme="minorHAnsi"/>
          <w:sz w:val="22"/>
          <w:szCs w:val="22"/>
        </w:rPr>
        <w:t>)</w:t>
      </w:r>
      <w:r w:rsidR="00B624ED">
        <w:rPr>
          <w:rFonts w:asciiTheme="minorHAnsi" w:hAnsiTheme="minorHAnsi" w:cstheme="minorHAnsi"/>
          <w:sz w:val="22"/>
          <w:szCs w:val="22"/>
        </w:rPr>
        <w:t xml:space="preserve">. </w:t>
      </w:r>
      <w:r w:rsidR="002A60F1">
        <w:rPr>
          <w:rFonts w:asciiTheme="minorHAnsi" w:hAnsiTheme="minorHAnsi" w:cstheme="minorHAnsi"/>
          <w:sz w:val="22"/>
          <w:szCs w:val="22"/>
        </w:rPr>
        <w:t xml:space="preserve">NetCents Technology </w:t>
      </w:r>
      <w:r w:rsidR="001C5589">
        <w:rPr>
          <w:rFonts w:asciiTheme="minorHAnsi" w:hAnsiTheme="minorHAnsi" w:cstheme="minorHAnsi"/>
          <w:sz w:val="22"/>
          <w:szCs w:val="22"/>
        </w:rPr>
        <w:t>has entered into an agreement</w:t>
      </w:r>
      <w:r w:rsidR="00E847DD">
        <w:rPr>
          <w:rFonts w:asciiTheme="minorHAnsi" w:hAnsiTheme="minorHAnsi" w:cstheme="minorHAnsi"/>
          <w:sz w:val="22"/>
          <w:szCs w:val="22"/>
        </w:rPr>
        <w:t xml:space="preserve"> with the</w:t>
      </w:r>
      <w:r w:rsidR="002A60F1">
        <w:rPr>
          <w:rFonts w:asciiTheme="minorHAnsi" w:hAnsiTheme="minorHAnsi" w:cstheme="minorHAnsi"/>
          <w:sz w:val="22"/>
          <w:szCs w:val="22"/>
        </w:rPr>
        <w:t xml:space="preserve"> NEM.io Foundation </w:t>
      </w:r>
      <w:r w:rsidR="00E847DD">
        <w:rPr>
          <w:rFonts w:asciiTheme="minorHAnsi" w:hAnsiTheme="minorHAnsi" w:cstheme="minorHAnsi"/>
          <w:sz w:val="22"/>
          <w:szCs w:val="22"/>
        </w:rPr>
        <w:t>that will see NE</w:t>
      </w:r>
      <w:r w:rsidR="0019767B">
        <w:rPr>
          <w:rFonts w:asciiTheme="minorHAnsi" w:hAnsiTheme="minorHAnsi" w:cstheme="minorHAnsi"/>
          <w:sz w:val="22"/>
          <w:szCs w:val="22"/>
        </w:rPr>
        <w:t>M</w:t>
      </w:r>
      <w:r w:rsidR="008C1ECF">
        <w:rPr>
          <w:rFonts w:asciiTheme="minorHAnsi" w:hAnsiTheme="minorHAnsi" w:cstheme="minorHAnsi"/>
          <w:sz w:val="22"/>
          <w:szCs w:val="22"/>
        </w:rPr>
        <w:t>’s cryptocurrency, XEM,</w:t>
      </w:r>
      <w:r w:rsidR="0019767B">
        <w:rPr>
          <w:rFonts w:asciiTheme="minorHAnsi" w:hAnsiTheme="minorHAnsi" w:cstheme="minorHAnsi"/>
          <w:sz w:val="22"/>
          <w:szCs w:val="22"/>
        </w:rPr>
        <w:t xml:space="preserve"> integrated into the </w:t>
      </w:r>
      <w:r w:rsidR="008F3A87">
        <w:rPr>
          <w:rFonts w:asciiTheme="minorHAnsi" w:hAnsiTheme="minorHAnsi" w:cstheme="minorHAnsi"/>
          <w:sz w:val="22"/>
          <w:szCs w:val="22"/>
        </w:rPr>
        <w:t>NetCents ecosystem</w:t>
      </w:r>
      <w:r w:rsidR="00481F0F">
        <w:rPr>
          <w:rFonts w:asciiTheme="minorHAnsi" w:hAnsiTheme="minorHAnsi" w:cstheme="minorHAnsi"/>
          <w:sz w:val="22"/>
          <w:szCs w:val="22"/>
        </w:rPr>
        <w:t>.</w:t>
      </w:r>
    </w:p>
    <w:p w14:paraId="4D428542" w14:textId="54448D3C" w:rsidR="008F3A87" w:rsidRDefault="008F3A87" w:rsidP="00987586">
      <w:pPr>
        <w:pStyle w:val="NormalWeb"/>
        <w:shd w:val="clear" w:color="auto" w:fill="FFFFFF"/>
        <w:spacing w:after="150"/>
        <w:rPr>
          <w:rFonts w:asciiTheme="minorHAnsi" w:hAnsiTheme="minorHAnsi" w:cstheme="minorHAnsi"/>
          <w:sz w:val="22"/>
          <w:szCs w:val="22"/>
        </w:rPr>
      </w:pPr>
      <w:r>
        <w:rPr>
          <w:rFonts w:asciiTheme="minorHAnsi" w:hAnsiTheme="minorHAnsi" w:cstheme="minorHAnsi"/>
          <w:sz w:val="22"/>
          <w:szCs w:val="22"/>
        </w:rPr>
        <w:t xml:space="preserve">The first phase of the integration, </w:t>
      </w:r>
      <w:r w:rsidR="001C5589">
        <w:rPr>
          <w:rFonts w:asciiTheme="minorHAnsi" w:hAnsiTheme="minorHAnsi" w:cstheme="minorHAnsi"/>
          <w:sz w:val="22"/>
          <w:szCs w:val="22"/>
        </w:rPr>
        <w:t xml:space="preserve">into </w:t>
      </w:r>
      <w:r>
        <w:rPr>
          <w:rFonts w:asciiTheme="minorHAnsi" w:hAnsiTheme="minorHAnsi" w:cstheme="minorHAnsi"/>
          <w:sz w:val="22"/>
          <w:szCs w:val="22"/>
        </w:rPr>
        <w:t>the NC Exchange, is now live. NetCents users are</w:t>
      </w:r>
      <w:r w:rsidR="001C5589">
        <w:rPr>
          <w:rFonts w:asciiTheme="minorHAnsi" w:hAnsiTheme="minorHAnsi" w:cstheme="minorHAnsi"/>
          <w:sz w:val="22"/>
          <w:szCs w:val="22"/>
        </w:rPr>
        <w:t xml:space="preserve"> able</w:t>
      </w:r>
      <w:r>
        <w:rPr>
          <w:rFonts w:asciiTheme="minorHAnsi" w:hAnsiTheme="minorHAnsi" w:cstheme="minorHAnsi"/>
          <w:sz w:val="22"/>
          <w:szCs w:val="22"/>
        </w:rPr>
        <w:t xml:space="preserve"> </w:t>
      </w:r>
      <w:r w:rsidR="00A42330">
        <w:rPr>
          <w:rFonts w:asciiTheme="minorHAnsi" w:hAnsiTheme="minorHAnsi" w:cstheme="minorHAnsi"/>
          <w:sz w:val="22"/>
          <w:szCs w:val="22"/>
        </w:rPr>
        <w:t xml:space="preserve">to deposit, withdraw, and trade XEM </w:t>
      </w:r>
      <w:r w:rsidR="001C5589">
        <w:rPr>
          <w:rFonts w:asciiTheme="minorHAnsi" w:hAnsiTheme="minorHAnsi" w:cstheme="minorHAnsi"/>
          <w:sz w:val="22"/>
          <w:szCs w:val="22"/>
        </w:rPr>
        <w:t xml:space="preserve">for </w:t>
      </w:r>
      <w:r w:rsidR="00A42330">
        <w:rPr>
          <w:rFonts w:asciiTheme="minorHAnsi" w:hAnsiTheme="minorHAnsi" w:cstheme="minorHAnsi"/>
          <w:sz w:val="22"/>
          <w:szCs w:val="22"/>
        </w:rPr>
        <w:t>fiat and cryptocurrencies</w:t>
      </w:r>
      <w:r w:rsidR="001C5589">
        <w:rPr>
          <w:rFonts w:asciiTheme="minorHAnsi" w:hAnsiTheme="minorHAnsi" w:cstheme="minorHAnsi"/>
          <w:sz w:val="22"/>
          <w:szCs w:val="22"/>
        </w:rPr>
        <w:t xml:space="preserve"> supported by the NC Exchange</w:t>
      </w:r>
      <w:r w:rsidR="00A42330">
        <w:rPr>
          <w:rFonts w:asciiTheme="minorHAnsi" w:hAnsiTheme="minorHAnsi" w:cstheme="minorHAnsi"/>
          <w:sz w:val="22"/>
          <w:szCs w:val="22"/>
        </w:rPr>
        <w:t xml:space="preserve"> with other NC Exchange users. </w:t>
      </w:r>
    </w:p>
    <w:p w14:paraId="582B664D" w14:textId="135A6BCD" w:rsidR="00A42330" w:rsidRDefault="008F3A87" w:rsidP="00987586">
      <w:pPr>
        <w:pStyle w:val="NormalWeb"/>
        <w:shd w:val="clear" w:color="auto" w:fill="FFFFFF"/>
        <w:spacing w:after="150"/>
        <w:rPr>
          <w:rFonts w:asciiTheme="minorHAnsi" w:hAnsiTheme="minorHAnsi" w:cstheme="minorHAnsi"/>
          <w:sz w:val="22"/>
          <w:szCs w:val="22"/>
        </w:rPr>
      </w:pPr>
      <w:r>
        <w:rPr>
          <w:rFonts w:asciiTheme="minorHAnsi" w:hAnsiTheme="minorHAnsi" w:cstheme="minorHAnsi"/>
          <w:sz w:val="22"/>
          <w:szCs w:val="22"/>
        </w:rPr>
        <w:t xml:space="preserve">The Company is currently working on </w:t>
      </w:r>
      <w:r w:rsidR="001C5589">
        <w:rPr>
          <w:rFonts w:asciiTheme="minorHAnsi" w:hAnsiTheme="minorHAnsi" w:cstheme="minorHAnsi"/>
          <w:sz w:val="22"/>
          <w:szCs w:val="22"/>
        </w:rPr>
        <w:t>phase two</w:t>
      </w:r>
      <w:r>
        <w:rPr>
          <w:rFonts w:asciiTheme="minorHAnsi" w:hAnsiTheme="minorHAnsi" w:cstheme="minorHAnsi"/>
          <w:sz w:val="22"/>
          <w:szCs w:val="22"/>
        </w:rPr>
        <w:t xml:space="preserve"> of the XEM integration. </w:t>
      </w:r>
      <w:r w:rsidR="001C5589">
        <w:rPr>
          <w:rFonts w:asciiTheme="minorHAnsi" w:hAnsiTheme="minorHAnsi" w:cstheme="minorHAnsi"/>
          <w:sz w:val="22"/>
          <w:szCs w:val="22"/>
        </w:rPr>
        <w:t>Phase two</w:t>
      </w:r>
      <w:r>
        <w:rPr>
          <w:rFonts w:asciiTheme="minorHAnsi" w:hAnsiTheme="minorHAnsi" w:cstheme="minorHAnsi"/>
          <w:sz w:val="22"/>
          <w:szCs w:val="22"/>
        </w:rPr>
        <w:t xml:space="preserve"> will see XEM integrated into the NetCents Merchant Gateway and Instant Settlement program. Once the integration is completed, NetCents </w:t>
      </w:r>
      <w:r w:rsidR="00A42330">
        <w:rPr>
          <w:rFonts w:asciiTheme="minorHAnsi" w:hAnsiTheme="minorHAnsi" w:cstheme="minorHAnsi"/>
          <w:sz w:val="22"/>
          <w:szCs w:val="22"/>
        </w:rPr>
        <w:t xml:space="preserve">users </w:t>
      </w:r>
      <w:r>
        <w:rPr>
          <w:rFonts w:asciiTheme="minorHAnsi" w:hAnsiTheme="minorHAnsi" w:cstheme="minorHAnsi"/>
          <w:sz w:val="22"/>
          <w:szCs w:val="22"/>
        </w:rPr>
        <w:t xml:space="preserve">and holders of XEM in external wallets </w:t>
      </w:r>
      <w:r w:rsidR="00A42330">
        <w:rPr>
          <w:rFonts w:asciiTheme="minorHAnsi" w:hAnsiTheme="minorHAnsi" w:cstheme="minorHAnsi"/>
          <w:sz w:val="22"/>
          <w:szCs w:val="22"/>
        </w:rPr>
        <w:t>will be able to use XEM to make payments to merchants who use the NetCents merchant gateway and accept XEM.</w:t>
      </w:r>
    </w:p>
    <w:p w14:paraId="69C16AD6" w14:textId="7FC56E1C" w:rsidR="0036457E" w:rsidRDefault="0036457E" w:rsidP="00987586">
      <w:pPr>
        <w:pStyle w:val="NormalWeb"/>
        <w:shd w:val="clear" w:color="auto" w:fill="FFFFFF"/>
        <w:spacing w:after="150"/>
        <w:rPr>
          <w:rFonts w:asciiTheme="minorHAnsi" w:hAnsiTheme="minorHAnsi" w:cstheme="minorHAnsi"/>
          <w:sz w:val="22"/>
          <w:szCs w:val="22"/>
        </w:rPr>
      </w:pPr>
      <w:r>
        <w:rPr>
          <w:rFonts w:asciiTheme="minorHAnsi" w:hAnsiTheme="minorHAnsi" w:cstheme="minorHAnsi"/>
          <w:sz w:val="22"/>
          <w:szCs w:val="22"/>
        </w:rPr>
        <w:t xml:space="preserve">Through the </w:t>
      </w:r>
      <w:r w:rsidR="001C5589">
        <w:rPr>
          <w:rFonts w:asciiTheme="minorHAnsi" w:hAnsiTheme="minorHAnsi" w:cstheme="minorHAnsi"/>
          <w:sz w:val="22"/>
          <w:szCs w:val="22"/>
        </w:rPr>
        <w:t>agreement</w:t>
      </w:r>
      <w:r>
        <w:rPr>
          <w:rFonts w:asciiTheme="minorHAnsi" w:hAnsiTheme="minorHAnsi" w:cstheme="minorHAnsi"/>
          <w:sz w:val="22"/>
          <w:szCs w:val="22"/>
        </w:rPr>
        <w:t>, the Company will gain access to companies</w:t>
      </w:r>
      <w:r w:rsidR="000135F1">
        <w:rPr>
          <w:rFonts w:asciiTheme="minorHAnsi" w:hAnsiTheme="minorHAnsi" w:cstheme="minorHAnsi"/>
          <w:sz w:val="22"/>
          <w:szCs w:val="22"/>
        </w:rPr>
        <w:t xml:space="preserve"> and merchants</w:t>
      </w:r>
      <w:r>
        <w:rPr>
          <w:rFonts w:asciiTheme="minorHAnsi" w:hAnsiTheme="minorHAnsi" w:cstheme="minorHAnsi"/>
          <w:sz w:val="22"/>
          <w:szCs w:val="22"/>
        </w:rPr>
        <w:t xml:space="preserve"> powered by and working with XEM. Additionally, NetCents will be able to integrate other NEM-based coins, like </w:t>
      </w:r>
      <w:proofErr w:type="spellStart"/>
      <w:r>
        <w:rPr>
          <w:rFonts w:asciiTheme="minorHAnsi" w:hAnsiTheme="minorHAnsi" w:cstheme="minorHAnsi"/>
          <w:sz w:val="22"/>
          <w:szCs w:val="22"/>
        </w:rPr>
        <w:t>Xarcade</w:t>
      </w:r>
      <w:proofErr w:type="spellEnd"/>
      <w:r>
        <w:rPr>
          <w:rFonts w:asciiTheme="minorHAnsi" w:hAnsiTheme="minorHAnsi" w:cstheme="minorHAnsi"/>
          <w:sz w:val="22"/>
          <w:szCs w:val="22"/>
        </w:rPr>
        <w:t>, into the NetCents ecosystem.</w:t>
      </w:r>
    </w:p>
    <w:p w14:paraId="1AF19E47" w14:textId="315A94D1" w:rsidR="00154C85" w:rsidRPr="00154C85" w:rsidRDefault="0036457E" w:rsidP="00284FDE">
      <w:pPr>
        <w:pStyle w:val="Normal0"/>
      </w:pPr>
      <w:r w:rsidRPr="009309DF">
        <w:t>NEM’s cryptocurrency XEM, recognized as one of the top 10 cryptocurrencies by market capitalization, will be fully integrated into the NetCents ecosystem</w:t>
      </w:r>
      <w:r>
        <w:rPr>
          <w:rFonts w:asciiTheme="minorHAnsi" w:hAnsiTheme="minorHAnsi" w:cstheme="minorHAnsi"/>
          <w:color w:val="2F2E2F"/>
        </w:rPr>
        <w:t xml:space="preserve">. </w:t>
      </w:r>
      <w:r w:rsidR="00154C85">
        <w:t xml:space="preserve">NEM </w:t>
      </w:r>
      <w:r w:rsidR="00154C85">
        <w:t>has a $1 Billion USD market cap and</w:t>
      </w:r>
      <w:r w:rsidR="00154C85">
        <w:t xml:space="preserve"> supports 11 million trades daily, with 9 billion XEM currently in circulation.</w:t>
      </w:r>
    </w:p>
    <w:p w14:paraId="5B5EF7D1" w14:textId="0727BFB1" w:rsidR="0036457E" w:rsidRDefault="0019767B" w:rsidP="00284FDE">
      <w:pPr>
        <w:pStyle w:val="Normal0"/>
      </w:pPr>
      <w:r>
        <w:t>XEM is not a Proof of Work based cryptocurrency, like Bitcoin, but a Proof of Importance system that is not reliant on supercomputing to perform mining, allowing for lower transaction fees and faster transactions.</w:t>
      </w:r>
      <w:r w:rsidR="0036457E">
        <w:t xml:space="preserve"> This will allow </w:t>
      </w:r>
      <w:r w:rsidR="00807063">
        <w:t>customers</w:t>
      </w:r>
      <w:r w:rsidR="0036457E">
        <w:t xml:space="preserve"> to purchase from NetCents merchants at a lowe</w:t>
      </w:r>
      <w:bookmarkStart w:id="1" w:name="_GoBack"/>
      <w:bookmarkEnd w:id="1"/>
      <w:r w:rsidR="0036457E">
        <w:t>r transaction fee charged by the blockchain</w:t>
      </w:r>
      <w:r w:rsidR="00481F0F">
        <w:t xml:space="preserve"> when using external cryptocurrency wallets</w:t>
      </w:r>
      <w:r w:rsidR="0036457E">
        <w:t>.</w:t>
      </w:r>
    </w:p>
    <w:p w14:paraId="1321D738" w14:textId="77777777" w:rsidR="00D50C77" w:rsidRPr="00D50C77" w:rsidRDefault="00D50C77" w:rsidP="00D50C7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11F57296" w14:textId="5819003A" w:rsidR="00D50C77" w:rsidRPr="00E847DD" w:rsidRDefault="00E847DD" w:rsidP="00FC434E">
      <w:pPr>
        <w:pStyle w:val="NormalWeb"/>
        <w:shd w:val="clear" w:color="auto" w:fill="FFFFFF"/>
        <w:spacing w:after="150"/>
        <w:rPr>
          <w:rFonts w:asciiTheme="minorHAnsi" w:hAnsiTheme="minorHAnsi" w:cstheme="minorHAnsi"/>
          <w:b/>
          <w:sz w:val="22"/>
          <w:szCs w:val="22"/>
          <w:u w:val="single"/>
        </w:rPr>
      </w:pPr>
      <w:r w:rsidRPr="00E847DD">
        <w:rPr>
          <w:rFonts w:asciiTheme="minorHAnsi" w:hAnsiTheme="minorHAnsi" w:cstheme="minorHAnsi"/>
          <w:b/>
          <w:sz w:val="22"/>
          <w:szCs w:val="22"/>
          <w:u w:val="single"/>
        </w:rPr>
        <w:t>About the NEM Foundation</w:t>
      </w:r>
    </w:p>
    <w:p w14:paraId="63E8907D" w14:textId="77777777" w:rsidR="00E847DD" w:rsidRPr="00E847DD" w:rsidRDefault="00E847DD" w:rsidP="00E847DD">
      <w:pPr>
        <w:pStyle w:val="Normal0"/>
      </w:pPr>
      <w:r w:rsidRPr="00E847DD">
        <w:t>The NEM Foundation is endorsed by an international network, compiled of a wealth of experience in IT, entrepreneurship, business processes, trading, property and asset development, international management and academia. The business’ ethos is to provide NEM’s blockchain technology platform to enhance enterprise whilst being run by the people, for the people. NEM’s team provides this through an array of support and education, from training events and service providers to technical support for the ecosystem</w:t>
      </w:r>
    </w:p>
    <w:p w14:paraId="6BFBE6BF" w14:textId="046ED3F4" w:rsidR="00E847DD" w:rsidRPr="00E847DD" w:rsidRDefault="00E847DD" w:rsidP="00E847DD">
      <w:pPr>
        <w:pStyle w:val="Normal0"/>
      </w:pPr>
      <w:r>
        <w:lastRenderedPageBreak/>
        <w:t>Their</w:t>
      </w:r>
      <w:r w:rsidRPr="00E847DD">
        <w:t xml:space="preserve"> unique leadership approach sets a clear, rigorous course for an ever evolving influence growing in every business and region, at e</w:t>
      </w:r>
      <w:r>
        <w:t>very level. As a result, their</w:t>
      </w:r>
      <w:r w:rsidRPr="00E847DD">
        <w:t xml:space="preserve"> leadership team reflects a group of internationally diverse individuals with breadth and depth of experience across the foundation.</w:t>
      </w:r>
    </w:p>
    <w:p w14:paraId="522A8357" w14:textId="77777777" w:rsidR="00E847DD" w:rsidRDefault="00E847DD" w:rsidP="00FC434E">
      <w:pPr>
        <w:pStyle w:val="NormalWeb"/>
        <w:shd w:val="clear" w:color="auto" w:fill="FFFFFF"/>
        <w:spacing w:after="150"/>
        <w:rPr>
          <w:rFonts w:asciiTheme="minorHAnsi" w:hAnsiTheme="minorHAnsi" w:cstheme="minorHAnsi"/>
          <w:sz w:val="22"/>
          <w:szCs w:val="22"/>
        </w:rPr>
      </w:pPr>
    </w:p>
    <w:p w14:paraId="1C9C15CE" w14:textId="58B29665" w:rsidR="0031779E" w:rsidRDefault="005175A9" w:rsidP="00014EBB">
      <w:pPr>
        <w:spacing w:before="120" w:after="120" w:line="240" w:lineRule="auto"/>
        <w:rPr>
          <w:b/>
          <w:u w:val="single"/>
        </w:rPr>
      </w:pPr>
      <w:r>
        <w:rPr>
          <w:b/>
          <w:u w:val="single"/>
        </w:rPr>
        <w:t>About NetCents</w:t>
      </w:r>
      <w:r w:rsidR="004855BD">
        <w:rPr>
          <w:b/>
          <w:u w:val="single"/>
        </w:rPr>
        <w:softHyphen/>
      </w:r>
      <w:r w:rsidR="004855BD">
        <w:rPr>
          <w:b/>
          <w:u w:val="single"/>
        </w:rPr>
        <w:softHyphen/>
      </w:r>
      <w:r w:rsidR="004855BD">
        <w:rPr>
          <w:b/>
          <w:u w:val="single"/>
        </w:rPr>
        <w:softHyphen/>
      </w:r>
    </w:p>
    <w:p w14:paraId="2AFD4C90" w14:textId="77777777" w:rsidR="0031779E" w:rsidRDefault="005175A9" w:rsidP="00014EBB">
      <w:pPr>
        <w:spacing w:before="120" w:after="120" w:line="240" w:lineRule="auto"/>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526F0A27" w14:textId="22073789" w:rsidR="0031779E" w:rsidRDefault="005175A9" w:rsidP="00014EBB">
      <w:pPr>
        <w:spacing w:before="120" w:after="120" w:line="240" w:lineRule="auto"/>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08E54BD8" w14:textId="77777777" w:rsidR="0031779E" w:rsidRDefault="0031779E" w:rsidP="00014EBB">
      <w:pPr>
        <w:spacing w:before="120" w:after="120" w:line="240" w:lineRule="auto"/>
      </w:pPr>
    </w:p>
    <w:p w14:paraId="5F9B507E" w14:textId="77777777" w:rsidR="0031779E" w:rsidRPr="005175A9" w:rsidRDefault="005175A9" w:rsidP="00014EBB">
      <w:pPr>
        <w:spacing w:before="120" w:after="120" w:line="240" w:lineRule="auto"/>
      </w:pPr>
      <w:bookmarkStart w:id="2" w:name="_1fob9te" w:colFirst="0" w:colLast="0"/>
      <w:bookmarkEnd w:id="2"/>
      <w:r>
        <w:t xml:space="preserve">For more information, please visit the corporate website at </w:t>
      </w:r>
      <w:hyperlink r:id="rId6">
        <w:r>
          <w:rPr>
            <w:color w:val="0563C1"/>
            <w:u w:val="single"/>
          </w:rPr>
          <w:t>www.net-cents.com</w:t>
        </w:r>
      </w:hyperlink>
      <w:r>
        <w:t xml:space="preserve"> or contact Gord Jessop, President: </w:t>
      </w:r>
      <w:hyperlink r:id="rId7">
        <w:r>
          <w:rPr>
            <w:color w:val="0563C1"/>
            <w:u w:val="single"/>
          </w:rPr>
          <w:t>gord.jessop@net-cents.com</w:t>
        </w:r>
      </w:hyperlink>
      <w:r>
        <w:t>.</w:t>
      </w:r>
    </w:p>
    <w:p w14:paraId="646BE65C" w14:textId="77777777" w:rsidR="0031779E" w:rsidRPr="005175A9" w:rsidRDefault="0031779E" w:rsidP="00014EBB">
      <w:pPr>
        <w:spacing w:before="120" w:after="120" w:line="240" w:lineRule="auto"/>
      </w:pPr>
    </w:p>
    <w:p w14:paraId="1A71498A" w14:textId="77777777" w:rsidR="0031779E" w:rsidRDefault="005175A9" w:rsidP="00014EBB">
      <w:pPr>
        <w:spacing w:before="120" w:after="120" w:line="240" w:lineRule="auto"/>
      </w:pPr>
      <w:r>
        <w:t xml:space="preserve">On Behalf of the Board of Directors </w:t>
      </w:r>
    </w:p>
    <w:p w14:paraId="071EFF1D" w14:textId="77777777" w:rsidR="0031779E" w:rsidRPr="005175A9" w:rsidRDefault="005175A9" w:rsidP="00014EBB">
      <w:pPr>
        <w:spacing w:before="120" w:after="120" w:line="240" w:lineRule="auto"/>
      </w:pPr>
      <w:r>
        <w:t>NetCents Technology Inc.</w:t>
      </w:r>
    </w:p>
    <w:p w14:paraId="4B2DB60E" w14:textId="77777777" w:rsidR="0031779E" w:rsidRPr="005175A9" w:rsidRDefault="0031779E" w:rsidP="00014EBB">
      <w:pPr>
        <w:spacing w:before="120" w:after="120" w:line="240" w:lineRule="auto"/>
      </w:pPr>
    </w:p>
    <w:p w14:paraId="33AE0B9B" w14:textId="77777777" w:rsidR="0031779E" w:rsidRDefault="005175A9" w:rsidP="00014EBB">
      <w:pPr>
        <w:spacing w:before="120" w:after="120" w:line="240" w:lineRule="auto"/>
      </w:pPr>
      <w:r>
        <w:rPr>
          <w:u w:val="single"/>
        </w:rPr>
        <w:t>“Clayton Moore”</w:t>
      </w:r>
    </w:p>
    <w:p w14:paraId="37000EF4" w14:textId="77777777" w:rsidR="0031779E" w:rsidRDefault="005175A9" w:rsidP="00014EBB">
      <w:pPr>
        <w:spacing w:before="120" w:after="120" w:line="240" w:lineRule="auto"/>
      </w:pPr>
      <w:r>
        <w:t>Clayton Moore, CEO, Founder and Director</w:t>
      </w:r>
    </w:p>
    <w:p w14:paraId="184A71B9" w14:textId="77777777" w:rsidR="0031779E" w:rsidRDefault="0031779E" w:rsidP="00014EBB">
      <w:pPr>
        <w:spacing w:before="120" w:after="120" w:line="240" w:lineRule="auto"/>
      </w:pPr>
    </w:p>
    <w:p w14:paraId="7AF979D4" w14:textId="77777777" w:rsidR="0031779E" w:rsidRPr="005175A9" w:rsidRDefault="005175A9" w:rsidP="00014EBB">
      <w:pPr>
        <w:spacing w:before="120" w:after="120" w:line="240" w:lineRule="auto"/>
      </w:pPr>
      <w:r>
        <w:t>NetCents Technology Inc.</w:t>
      </w:r>
    </w:p>
    <w:p w14:paraId="4FC3BFFD" w14:textId="77777777" w:rsidR="0031779E" w:rsidRPr="005175A9" w:rsidRDefault="005175A9" w:rsidP="00014EBB">
      <w:pPr>
        <w:spacing w:before="120" w:after="120" w:line="240" w:lineRule="auto"/>
      </w:pPr>
      <w:r>
        <w:t xml:space="preserve">Suite 880, 505 Burrard St (Bentall 1), </w:t>
      </w:r>
    </w:p>
    <w:p w14:paraId="23A91E0F" w14:textId="77777777" w:rsidR="0031779E" w:rsidRDefault="005175A9" w:rsidP="00014EBB">
      <w:pPr>
        <w:spacing w:before="120" w:after="120" w:line="240" w:lineRule="auto"/>
      </w:pPr>
      <w:r>
        <w:t>Vancouver, BC, V7X 1M4</w:t>
      </w:r>
    </w:p>
    <w:p w14:paraId="29F2F46D" w14:textId="77777777" w:rsidR="0031779E" w:rsidRDefault="0031779E" w:rsidP="00014EBB">
      <w:pPr>
        <w:spacing w:before="120" w:after="120" w:line="240" w:lineRule="auto"/>
      </w:pPr>
    </w:p>
    <w:p w14:paraId="6897BE4E" w14:textId="77777777" w:rsidR="0031779E" w:rsidRDefault="005175A9" w:rsidP="00014EBB">
      <w:pPr>
        <w:spacing w:before="120" w:after="120" w:line="240" w:lineRule="auto"/>
      </w:pPr>
      <w:bookmarkStart w:id="3" w:name="_3znysh7" w:colFirst="0" w:colLast="0"/>
      <w:bookmarkEnd w:id="3"/>
      <w:r>
        <w:t>Cautionary Note Regarding Forward-Looking Information</w:t>
      </w:r>
    </w:p>
    <w:p w14:paraId="206CA5D5" w14:textId="77777777" w:rsidR="0031779E" w:rsidRPr="005175A9" w:rsidRDefault="005175A9" w:rsidP="00014EBB">
      <w:pPr>
        <w:spacing w:before="120" w:after="120" w:line="240" w:lineRule="auto"/>
      </w:pPr>
      <w: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w:t>
      </w:r>
      <w:r>
        <w:lastRenderedPageBreak/>
        <w:t>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5175A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F1781"/>
    <w:multiLevelType w:val="hybridMultilevel"/>
    <w:tmpl w:val="13D8A8CC"/>
    <w:lvl w:ilvl="0" w:tplc="38709C2E">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A4DA3"/>
    <w:multiLevelType w:val="hybridMultilevel"/>
    <w:tmpl w:val="A8CAE7DE"/>
    <w:lvl w:ilvl="0" w:tplc="169CB18A">
      <w:numFmt w:val="bullet"/>
      <w:lvlText w:val="-"/>
      <w:lvlJc w:val="left"/>
      <w:pPr>
        <w:ind w:left="720" w:hanging="360"/>
      </w:pPr>
      <w:rPr>
        <w:rFonts w:ascii="Calibri" w:eastAsia="Times New Roman" w:hAnsi="Calibri" w:cs="Calibri" w:hint="default"/>
        <w:b w:val="0"/>
        <w:color w:val="2F2E2F"/>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33C8F"/>
    <w:multiLevelType w:val="hybridMultilevel"/>
    <w:tmpl w:val="042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00D7A"/>
    <w:multiLevelType w:val="hybridMultilevel"/>
    <w:tmpl w:val="2C368D10"/>
    <w:lvl w:ilvl="0" w:tplc="B9127D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E"/>
    <w:rsid w:val="0000342B"/>
    <w:rsid w:val="000135F1"/>
    <w:rsid w:val="000149E9"/>
    <w:rsid w:val="00014EBB"/>
    <w:rsid w:val="000824FB"/>
    <w:rsid w:val="000E4B02"/>
    <w:rsid w:val="001132EE"/>
    <w:rsid w:val="0013395D"/>
    <w:rsid w:val="0013796A"/>
    <w:rsid w:val="0015330A"/>
    <w:rsid w:val="00154C85"/>
    <w:rsid w:val="0015731F"/>
    <w:rsid w:val="001825B6"/>
    <w:rsid w:val="00187235"/>
    <w:rsid w:val="00191DE5"/>
    <w:rsid w:val="0019767B"/>
    <w:rsid w:val="001C5589"/>
    <w:rsid w:val="001F14AF"/>
    <w:rsid w:val="002255C9"/>
    <w:rsid w:val="00237645"/>
    <w:rsid w:val="00284FDE"/>
    <w:rsid w:val="002A0D54"/>
    <w:rsid w:val="002A60F1"/>
    <w:rsid w:val="002B20A1"/>
    <w:rsid w:val="002F31FB"/>
    <w:rsid w:val="002F7B90"/>
    <w:rsid w:val="00303CC8"/>
    <w:rsid w:val="0031779E"/>
    <w:rsid w:val="003508D9"/>
    <w:rsid w:val="0036457E"/>
    <w:rsid w:val="003A0A13"/>
    <w:rsid w:val="003A5C0B"/>
    <w:rsid w:val="003B09FF"/>
    <w:rsid w:val="003B4ECF"/>
    <w:rsid w:val="003B651C"/>
    <w:rsid w:val="003D3341"/>
    <w:rsid w:val="00411273"/>
    <w:rsid w:val="00433701"/>
    <w:rsid w:val="00436024"/>
    <w:rsid w:val="0043730C"/>
    <w:rsid w:val="00481F0F"/>
    <w:rsid w:val="004855BD"/>
    <w:rsid w:val="004D2592"/>
    <w:rsid w:val="004F09B8"/>
    <w:rsid w:val="005004F9"/>
    <w:rsid w:val="00505248"/>
    <w:rsid w:val="0051545D"/>
    <w:rsid w:val="005175A9"/>
    <w:rsid w:val="005D716A"/>
    <w:rsid w:val="005E708E"/>
    <w:rsid w:val="00654DB8"/>
    <w:rsid w:val="006613A8"/>
    <w:rsid w:val="00664604"/>
    <w:rsid w:val="006B6318"/>
    <w:rsid w:val="006F4122"/>
    <w:rsid w:val="00707E80"/>
    <w:rsid w:val="00714CDE"/>
    <w:rsid w:val="0074796C"/>
    <w:rsid w:val="00797917"/>
    <w:rsid w:val="007A189A"/>
    <w:rsid w:val="007C0C14"/>
    <w:rsid w:val="00807063"/>
    <w:rsid w:val="00821C39"/>
    <w:rsid w:val="00825DD6"/>
    <w:rsid w:val="008318E9"/>
    <w:rsid w:val="008B2F2C"/>
    <w:rsid w:val="008C1ECF"/>
    <w:rsid w:val="008D30AC"/>
    <w:rsid w:val="008E3C1F"/>
    <w:rsid w:val="008E474F"/>
    <w:rsid w:val="008E6FEE"/>
    <w:rsid w:val="008F3A87"/>
    <w:rsid w:val="00916BED"/>
    <w:rsid w:val="009309DF"/>
    <w:rsid w:val="00962B51"/>
    <w:rsid w:val="00971D4E"/>
    <w:rsid w:val="00987586"/>
    <w:rsid w:val="00995C8A"/>
    <w:rsid w:val="009E32D9"/>
    <w:rsid w:val="009E35DF"/>
    <w:rsid w:val="009F72B1"/>
    <w:rsid w:val="00A0388A"/>
    <w:rsid w:val="00A03932"/>
    <w:rsid w:val="00A302FB"/>
    <w:rsid w:val="00A3133E"/>
    <w:rsid w:val="00A42330"/>
    <w:rsid w:val="00A9018B"/>
    <w:rsid w:val="00AB530A"/>
    <w:rsid w:val="00AD4A27"/>
    <w:rsid w:val="00AD76F9"/>
    <w:rsid w:val="00AF026A"/>
    <w:rsid w:val="00AF4337"/>
    <w:rsid w:val="00B234DD"/>
    <w:rsid w:val="00B40C85"/>
    <w:rsid w:val="00B42367"/>
    <w:rsid w:val="00B624ED"/>
    <w:rsid w:val="00B74BD1"/>
    <w:rsid w:val="00B759E7"/>
    <w:rsid w:val="00BB35BD"/>
    <w:rsid w:val="00BF23A5"/>
    <w:rsid w:val="00C20261"/>
    <w:rsid w:val="00C21D0A"/>
    <w:rsid w:val="00C4729F"/>
    <w:rsid w:val="00C541D8"/>
    <w:rsid w:val="00C77FBF"/>
    <w:rsid w:val="00CA0CFA"/>
    <w:rsid w:val="00CF111A"/>
    <w:rsid w:val="00CF72EB"/>
    <w:rsid w:val="00D215AB"/>
    <w:rsid w:val="00D50C77"/>
    <w:rsid w:val="00D804DF"/>
    <w:rsid w:val="00DB4379"/>
    <w:rsid w:val="00DB5328"/>
    <w:rsid w:val="00DD4C9A"/>
    <w:rsid w:val="00DF1465"/>
    <w:rsid w:val="00E31EFB"/>
    <w:rsid w:val="00E35CEA"/>
    <w:rsid w:val="00E43548"/>
    <w:rsid w:val="00E52701"/>
    <w:rsid w:val="00E55A51"/>
    <w:rsid w:val="00E847DD"/>
    <w:rsid w:val="00EF4D78"/>
    <w:rsid w:val="00F06781"/>
    <w:rsid w:val="00F35655"/>
    <w:rsid w:val="00F4639D"/>
    <w:rsid w:val="00F61068"/>
    <w:rsid w:val="00F7711F"/>
    <w:rsid w:val="00FA3694"/>
    <w:rsid w:val="00FC434E"/>
    <w:rsid w:val="00FD40B7"/>
    <w:rsid w:val="00FD6415"/>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B5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unhideWhenUsed/>
    <w:rsid w:val="003A5C0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customStyle="1" w:styleId="SignatureCompany">
    <w:name w:val="Signature Company"/>
    <w:basedOn w:val="Signature"/>
    <w:next w:val="Normal"/>
    <w:rsid w:val="009F72B1"/>
    <w:pPr>
      <w:keepNext/>
      <w:pBdr>
        <w:top w:val="none" w:sz="0" w:space="0" w:color="auto"/>
        <w:left w:val="none" w:sz="0" w:space="0" w:color="auto"/>
        <w:bottom w:val="none" w:sz="0" w:space="0" w:color="auto"/>
        <w:right w:val="none" w:sz="0" w:space="0" w:color="auto"/>
        <w:between w:val="none" w:sz="0" w:space="0" w:color="auto"/>
      </w:pBdr>
      <w:tabs>
        <w:tab w:val="decimal" w:pos="1166"/>
      </w:tabs>
      <w:spacing w:before="120" w:line="220" w:lineRule="atLeast"/>
      <w:ind w:left="0"/>
      <w:jc w:val="both"/>
    </w:pPr>
    <w:rPr>
      <w:rFonts w:ascii="Arial" w:eastAsia="Times New Roman" w:hAnsi="Arial" w:cs="Times New Roman"/>
      <w:b/>
      <w:color w:val="auto"/>
      <w:spacing w:val="-5"/>
      <w:sz w:val="20"/>
      <w:szCs w:val="20"/>
      <w:lang w:val="en-GB"/>
    </w:rPr>
  </w:style>
  <w:style w:type="paragraph" w:styleId="Signature">
    <w:name w:val="Signature"/>
    <w:basedOn w:val="Normal"/>
    <w:link w:val="SignatureChar"/>
    <w:uiPriority w:val="99"/>
    <w:semiHidden/>
    <w:unhideWhenUsed/>
    <w:rsid w:val="009F72B1"/>
    <w:pPr>
      <w:spacing w:after="0" w:line="240" w:lineRule="auto"/>
      <w:ind w:left="4252"/>
    </w:pPr>
  </w:style>
  <w:style w:type="character" w:customStyle="1" w:styleId="SignatureChar">
    <w:name w:val="Signature Char"/>
    <w:basedOn w:val="DefaultParagraphFont"/>
    <w:link w:val="Signature"/>
    <w:uiPriority w:val="99"/>
    <w:semiHidden/>
    <w:rsid w:val="009F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7333">
      <w:bodyDiv w:val="1"/>
      <w:marLeft w:val="0"/>
      <w:marRight w:val="0"/>
      <w:marTop w:val="0"/>
      <w:marBottom w:val="0"/>
      <w:divBdr>
        <w:top w:val="none" w:sz="0" w:space="0" w:color="auto"/>
        <w:left w:val="none" w:sz="0" w:space="0" w:color="auto"/>
        <w:bottom w:val="none" w:sz="0" w:space="0" w:color="auto"/>
        <w:right w:val="none" w:sz="0" w:space="0" w:color="auto"/>
      </w:divBdr>
    </w:div>
    <w:div w:id="1010988742">
      <w:bodyDiv w:val="1"/>
      <w:marLeft w:val="0"/>
      <w:marRight w:val="0"/>
      <w:marTop w:val="0"/>
      <w:marBottom w:val="0"/>
      <w:divBdr>
        <w:top w:val="none" w:sz="0" w:space="0" w:color="auto"/>
        <w:left w:val="none" w:sz="0" w:space="0" w:color="auto"/>
        <w:bottom w:val="none" w:sz="0" w:space="0" w:color="auto"/>
        <w:right w:val="none" w:sz="0" w:space="0" w:color="auto"/>
      </w:divBdr>
    </w:div>
    <w:div w:id="1074275654">
      <w:bodyDiv w:val="1"/>
      <w:marLeft w:val="0"/>
      <w:marRight w:val="0"/>
      <w:marTop w:val="0"/>
      <w:marBottom w:val="0"/>
      <w:divBdr>
        <w:top w:val="none" w:sz="0" w:space="0" w:color="auto"/>
        <w:left w:val="none" w:sz="0" w:space="0" w:color="auto"/>
        <w:bottom w:val="none" w:sz="0" w:space="0" w:color="auto"/>
        <w:right w:val="none" w:sz="0" w:space="0" w:color="auto"/>
      </w:divBdr>
    </w:div>
    <w:div w:id="1121535995">
      <w:bodyDiv w:val="1"/>
      <w:marLeft w:val="0"/>
      <w:marRight w:val="0"/>
      <w:marTop w:val="0"/>
      <w:marBottom w:val="0"/>
      <w:divBdr>
        <w:top w:val="none" w:sz="0" w:space="0" w:color="auto"/>
        <w:left w:val="none" w:sz="0" w:space="0" w:color="auto"/>
        <w:bottom w:val="none" w:sz="0" w:space="0" w:color="auto"/>
        <w:right w:val="none" w:sz="0" w:space="0" w:color="auto"/>
      </w:divBdr>
    </w:div>
    <w:div w:id="1249271582">
      <w:bodyDiv w:val="1"/>
      <w:marLeft w:val="0"/>
      <w:marRight w:val="0"/>
      <w:marTop w:val="0"/>
      <w:marBottom w:val="0"/>
      <w:divBdr>
        <w:top w:val="none" w:sz="0" w:space="0" w:color="auto"/>
        <w:left w:val="none" w:sz="0" w:space="0" w:color="auto"/>
        <w:bottom w:val="none" w:sz="0" w:space="0" w:color="auto"/>
        <w:right w:val="none" w:sz="0" w:space="0" w:color="auto"/>
      </w:divBdr>
    </w:div>
    <w:div w:id="1376004506">
      <w:bodyDiv w:val="1"/>
      <w:marLeft w:val="0"/>
      <w:marRight w:val="0"/>
      <w:marTop w:val="0"/>
      <w:marBottom w:val="0"/>
      <w:divBdr>
        <w:top w:val="none" w:sz="0" w:space="0" w:color="auto"/>
        <w:left w:val="none" w:sz="0" w:space="0" w:color="auto"/>
        <w:bottom w:val="none" w:sz="0" w:space="0" w:color="auto"/>
        <w:right w:val="none" w:sz="0" w:space="0" w:color="auto"/>
      </w:divBdr>
      <w:divsChild>
        <w:div w:id="1663662467">
          <w:marLeft w:val="0"/>
          <w:marRight w:val="0"/>
          <w:marTop w:val="0"/>
          <w:marBottom w:val="0"/>
          <w:divBdr>
            <w:top w:val="none" w:sz="0" w:space="0" w:color="auto"/>
            <w:left w:val="none" w:sz="0" w:space="0" w:color="auto"/>
            <w:bottom w:val="none" w:sz="0" w:space="0" w:color="auto"/>
            <w:right w:val="none" w:sz="0" w:space="0" w:color="auto"/>
          </w:divBdr>
        </w:div>
        <w:div w:id="1367636703">
          <w:marLeft w:val="0"/>
          <w:marRight w:val="0"/>
          <w:marTop w:val="0"/>
          <w:marBottom w:val="0"/>
          <w:divBdr>
            <w:top w:val="none" w:sz="0" w:space="0" w:color="auto"/>
            <w:left w:val="none" w:sz="0" w:space="0" w:color="auto"/>
            <w:bottom w:val="none" w:sz="0" w:space="0" w:color="auto"/>
            <w:right w:val="none" w:sz="0" w:space="0" w:color="auto"/>
          </w:divBdr>
        </w:div>
        <w:div w:id="1678653469">
          <w:marLeft w:val="0"/>
          <w:marRight w:val="0"/>
          <w:marTop w:val="0"/>
          <w:marBottom w:val="0"/>
          <w:divBdr>
            <w:top w:val="none" w:sz="0" w:space="0" w:color="auto"/>
            <w:left w:val="none" w:sz="0" w:space="0" w:color="auto"/>
            <w:bottom w:val="none" w:sz="0" w:space="0" w:color="auto"/>
            <w:right w:val="none" w:sz="0" w:space="0" w:color="auto"/>
          </w:divBdr>
        </w:div>
        <w:div w:id="961613989">
          <w:marLeft w:val="0"/>
          <w:marRight w:val="0"/>
          <w:marTop w:val="0"/>
          <w:marBottom w:val="0"/>
          <w:divBdr>
            <w:top w:val="none" w:sz="0" w:space="0" w:color="auto"/>
            <w:left w:val="none" w:sz="0" w:space="0" w:color="auto"/>
            <w:bottom w:val="none" w:sz="0" w:space="0" w:color="auto"/>
            <w:right w:val="none" w:sz="0" w:space="0" w:color="auto"/>
          </w:divBdr>
        </w:div>
        <w:div w:id="238173657">
          <w:marLeft w:val="0"/>
          <w:marRight w:val="0"/>
          <w:marTop w:val="0"/>
          <w:marBottom w:val="0"/>
          <w:divBdr>
            <w:top w:val="none" w:sz="0" w:space="0" w:color="auto"/>
            <w:left w:val="none" w:sz="0" w:space="0" w:color="auto"/>
            <w:bottom w:val="none" w:sz="0" w:space="0" w:color="auto"/>
            <w:right w:val="none" w:sz="0" w:space="0" w:color="auto"/>
          </w:divBdr>
        </w:div>
      </w:divsChild>
    </w:div>
    <w:div w:id="1555120601">
      <w:bodyDiv w:val="1"/>
      <w:marLeft w:val="0"/>
      <w:marRight w:val="0"/>
      <w:marTop w:val="0"/>
      <w:marBottom w:val="0"/>
      <w:divBdr>
        <w:top w:val="none" w:sz="0" w:space="0" w:color="auto"/>
        <w:left w:val="none" w:sz="0" w:space="0" w:color="auto"/>
        <w:bottom w:val="none" w:sz="0" w:space="0" w:color="auto"/>
        <w:right w:val="none" w:sz="0" w:space="0" w:color="auto"/>
      </w:divBdr>
    </w:div>
    <w:div w:id="1711417607">
      <w:bodyDiv w:val="1"/>
      <w:marLeft w:val="0"/>
      <w:marRight w:val="0"/>
      <w:marTop w:val="0"/>
      <w:marBottom w:val="0"/>
      <w:divBdr>
        <w:top w:val="none" w:sz="0" w:space="0" w:color="auto"/>
        <w:left w:val="none" w:sz="0" w:space="0" w:color="auto"/>
        <w:bottom w:val="none" w:sz="0" w:space="0" w:color="auto"/>
        <w:right w:val="none" w:sz="0" w:space="0" w:color="auto"/>
      </w:divBdr>
    </w:div>
    <w:div w:id="197764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2018-08-17T23:36:00Z</cp:lastPrinted>
  <dcterms:created xsi:type="dcterms:W3CDTF">2018-06-27T17:15:00Z</dcterms:created>
  <dcterms:modified xsi:type="dcterms:W3CDTF">2018-08-17T23:46:00Z</dcterms:modified>
</cp:coreProperties>
</file>