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65F16" w14:textId="77777777" w:rsidR="00E466F3" w:rsidRDefault="00E466F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11EB035B">
        <w:rPr>
          <w:color w:val="000000"/>
          <w:sz w:val="28"/>
          <w:szCs w:val="28"/>
        </w:rPr>
        <w:t>FORM 7</w:t>
      </w:r>
      <w:r>
        <w:rPr>
          <w:color w:val="000000"/>
          <w:sz w:val="28"/>
        </w:rPr>
        <w:br/>
      </w:r>
      <w:r>
        <w:rPr>
          <w:color w:val="000000"/>
          <w:sz w:val="28"/>
        </w:rPr>
        <w:br/>
      </w:r>
      <w:r w:rsidRPr="11EB035B">
        <w:rPr>
          <w:color w:val="000000"/>
          <w:sz w:val="28"/>
          <w:szCs w:val="28"/>
          <w:u w:val="single"/>
        </w:rPr>
        <w:t>MONTHLY PROGRESS REPORT</w:t>
      </w:r>
      <w:bookmarkEnd w:id="0"/>
      <w:bookmarkEnd w:id="1"/>
      <w:bookmarkEnd w:id="2"/>
      <w:bookmarkEnd w:id="3"/>
      <w:r w:rsidR="000F7719" w:rsidRPr="11EB035B">
        <w:rPr>
          <w:color w:val="000000"/>
          <w:sz w:val="28"/>
          <w:szCs w:val="28"/>
          <w:u w:val="single"/>
        </w:rPr>
        <w:t>-</w:t>
      </w:r>
      <w:r w:rsidR="007C7564">
        <w:rPr>
          <w:color w:val="000000"/>
          <w:sz w:val="28"/>
          <w:szCs w:val="28"/>
          <w:u w:val="single"/>
        </w:rPr>
        <w:t xml:space="preserve"> </w:t>
      </w:r>
      <w:r w:rsidR="0062326A">
        <w:rPr>
          <w:color w:val="000000"/>
          <w:sz w:val="28"/>
          <w:szCs w:val="28"/>
          <w:u w:val="single"/>
        </w:rPr>
        <w:t xml:space="preserve">June </w:t>
      </w:r>
      <w:r w:rsidR="00D94585">
        <w:rPr>
          <w:color w:val="000000"/>
          <w:sz w:val="28"/>
          <w:szCs w:val="28"/>
          <w:u w:val="single"/>
        </w:rPr>
        <w:t>2017</w:t>
      </w:r>
    </w:p>
    <w:p w14:paraId="6C8AB245" w14:textId="77777777" w:rsidR="000D37CD" w:rsidRPr="004D04C5" w:rsidRDefault="000D37CD" w:rsidP="000D37CD">
      <w:pPr>
        <w:pStyle w:val="BodyText"/>
        <w:tabs>
          <w:tab w:val="left" w:pos="0"/>
        </w:tabs>
        <w:rPr>
          <w:rFonts w:ascii="Arial" w:hAnsi="Arial"/>
          <w:color w:val="000000"/>
          <w:u w:val="single"/>
        </w:rPr>
      </w:pPr>
      <w:r>
        <w:rPr>
          <w:rFonts w:ascii="Arial" w:hAnsi="Arial"/>
          <w:color w:val="000000"/>
        </w:rPr>
        <w:t>Name of CNSX Issuer: Northern Sphere Mining Inc. (the “Issuer”).</w:t>
      </w:r>
    </w:p>
    <w:p w14:paraId="1FE5F4C2" w14:textId="77777777" w:rsidR="000D37CD" w:rsidRDefault="000D37CD" w:rsidP="000D37CD">
      <w:pPr>
        <w:pStyle w:val="BodyText"/>
        <w:tabs>
          <w:tab w:val="left" w:pos="7920"/>
          <w:tab w:val="left" w:pos="9180"/>
        </w:tabs>
        <w:rPr>
          <w:rFonts w:ascii="Arial" w:hAnsi="Arial"/>
          <w:color w:val="000000"/>
        </w:rPr>
      </w:pPr>
      <w:r>
        <w:rPr>
          <w:rFonts w:ascii="Arial" w:hAnsi="Arial"/>
          <w:color w:val="000000"/>
        </w:rPr>
        <w:t>Trading Symbol: NSM</w:t>
      </w:r>
    </w:p>
    <w:p w14:paraId="53EB7B56" w14:textId="77777777" w:rsidR="000D37CD" w:rsidRPr="00894793" w:rsidRDefault="200FCD89" w:rsidP="00894793">
      <w:pPr>
        <w:rPr>
          <w:rFonts w:ascii="Arial" w:hAnsi="Arial"/>
          <w:color w:val="000000"/>
          <w:sz w:val="24"/>
          <w:lang w:val="en-GB"/>
        </w:rPr>
      </w:pPr>
      <w:r w:rsidRPr="00894793">
        <w:rPr>
          <w:rFonts w:ascii="Arial" w:hAnsi="Arial"/>
          <w:color w:val="000000"/>
          <w:sz w:val="24"/>
          <w:lang w:val="en-GB"/>
        </w:rPr>
        <w:t xml:space="preserve">Number of Outstanding Listed Securities:  </w:t>
      </w:r>
      <w:r w:rsidR="00894793" w:rsidRPr="00894793">
        <w:rPr>
          <w:rFonts w:ascii="Arial" w:hAnsi="Arial"/>
          <w:color w:val="000000"/>
          <w:sz w:val="24"/>
          <w:lang w:val="en-GB"/>
        </w:rPr>
        <w:t xml:space="preserve">         </w:t>
      </w:r>
      <w:r w:rsidR="00D85AAF">
        <w:rPr>
          <w:rFonts w:ascii="Arial" w:hAnsi="Arial"/>
          <w:color w:val="000000"/>
          <w:sz w:val="24"/>
          <w:lang w:val="en-GB"/>
        </w:rPr>
        <w:t>28,506,506</w:t>
      </w:r>
      <w:r w:rsidR="00894793" w:rsidRPr="00894793">
        <w:rPr>
          <w:rFonts w:ascii="Arial" w:hAnsi="Arial"/>
          <w:color w:val="000000"/>
          <w:sz w:val="24"/>
          <w:lang w:val="en-GB"/>
        </w:rPr>
        <w:t xml:space="preserve"> </w:t>
      </w:r>
    </w:p>
    <w:p w14:paraId="0BE76950" w14:textId="77777777" w:rsidR="00E466F3" w:rsidRDefault="4743FBB9">
      <w:pPr>
        <w:pStyle w:val="BodyText"/>
        <w:tabs>
          <w:tab w:val="left" w:pos="7920"/>
          <w:tab w:val="left" w:pos="9180"/>
        </w:tabs>
        <w:rPr>
          <w:rFonts w:ascii="Arial" w:hAnsi="Arial"/>
          <w:color w:val="000000"/>
        </w:rPr>
      </w:pPr>
      <w:r w:rsidRPr="4743FBB9">
        <w:rPr>
          <w:rFonts w:ascii="Arial" w:eastAsia="Arial" w:hAnsi="Arial" w:cs="Arial"/>
          <w:color w:val="000000" w:themeColor="text1"/>
        </w:rPr>
        <w:t xml:space="preserve">Date: </w:t>
      </w:r>
      <w:r w:rsidR="008C4599">
        <w:rPr>
          <w:rFonts w:ascii="Arial" w:eastAsia="Arial" w:hAnsi="Arial" w:cs="Arial"/>
          <w:color w:val="000000" w:themeColor="text1"/>
        </w:rPr>
        <w:t xml:space="preserve"> </w:t>
      </w:r>
      <w:r w:rsidR="0062326A">
        <w:rPr>
          <w:rFonts w:ascii="Arial" w:eastAsia="Arial" w:hAnsi="Arial" w:cs="Arial"/>
          <w:color w:val="000000" w:themeColor="text1"/>
        </w:rPr>
        <w:t xml:space="preserve">July </w:t>
      </w:r>
      <w:r w:rsidR="00C80EEC">
        <w:rPr>
          <w:rFonts w:ascii="Arial" w:eastAsia="Arial" w:hAnsi="Arial" w:cs="Arial"/>
          <w:color w:val="000000" w:themeColor="text1"/>
        </w:rPr>
        <w:t>5</w:t>
      </w:r>
      <w:r w:rsidRPr="4743FBB9">
        <w:rPr>
          <w:rFonts w:ascii="Arial" w:eastAsia="Arial" w:hAnsi="Arial" w:cs="Arial"/>
          <w:color w:val="000000" w:themeColor="text1"/>
        </w:rPr>
        <w:t>,</w:t>
      </w:r>
      <w:r w:rsidRPr="4743FBB9">
        <w:rPr>
          <w:rFonts w:ascii="Arial" w:eastAsia="Arial" w:hAnsi="Arial" w:cs="Arial"/>
          <w:color w:val="000000" w:themeColor="text1"/>
          <w:u w:val="single"/>
        </w:rPr>
        <w:t xml:space="preserve"> 201</w:t>
      </w:r>
      <w:r w:rsidR="001B13C2">
        <w:rPr>
          <w:rFonts w:ascii="Arial" w:eastAsia="Arial" w:hAnsi="Arial" w:cs="Arial"/>
          <w:color w:val="000000" w:themeColor="text1"/>
          <w:u w:val="single"/>
        </w:rPr>
        <w:t>7</w:t>
      </w:r>
    </w:p>
    <w:p w14:paraId="47BFD816" w14:textId="77777777" w:rsidR="00E466F3" w:rsidRDefault="00E466F3">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w:t>
      </w:r>
      <w:bookmarkStart w:id="5" w:name="_GoBack"/>
      <w:bookmarkEnd w:id="5"/>
      <w:r>
        <w:rPr>
          <w:rFonts w:ascii="Arial" w:hAnsi="Arial"/>
          <w:color w:val="000000"/>
        </w:rPr>
        <w:t>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14:paraId="25D19C69" w14:textId="77777777" w:rsidR="00E466F3" w:rsidRDefault="00E466F3">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CNSX Policies. The discussion in this report must be factual, balanced and non-promotional.</w:t>
      </w:r>
    </w:p>
    <w:p w14:paraId="756A2881" w14:textId="77777777" w:rsidR="00E466F3" w:rsidRDefault="00E466F3">
      <w:pPr>
        <w:pStyle w:val="BodyText"/>
        <w:tabs>
          <w:tab w:val="left" w:pos="7920"/>
          <w:tab w:val="left" w:pos="9180"/>
        </w:tabs>
        <w:rPr>
          <w:rFonts w:ascii="Arial" w:hAnsi="Arial"/>
          <w:color w:val="000000"/>
        </w:rPr>
      </w:pPr>
      <w:r>
        <w:rPr>
          <w:rFonts w:ascii="Arial" w:hAnsi="Arial"/>
          <w:b/>
          <w:color w:val="000000"/>
        </w:rPr>
        <w:t>General Instructions</w:t>
      </w:r>
    </w:p>
    <w:p w14:paraId="04A0DE32" w14:textId="77777777" w:rsidR="00E466F3" w:rsidRDefault="00E466F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A78C50F" w14:textId="77777777" w:rsidR="00E466F3" w:rsidRDefault="00E466F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62CA052" w14:textId="77777777" w:rsidR="00E466F3" w:rsidRDefault="00E466F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90F5BC2" w14:textId="77777777" w:rsidR="00E466F3" w:rsidRDefault="00E466F3">
      <w:pPr>
        <w:pStyle w:val="List"/>
        <w:keepLines/>
        <w:spacing w:before="120"/>
        <w:ind w:left="0" w:firstLine="0"/>
        <w:rPr>
          <w:rFonts w:ascii="Arial" w:hAnsi="Arial"/>
          <w:b/>
        </w:rPr>
      </w:pPr>
      <w:r>
        <w:rPr>
          <w:rFonts w:ascii="Arial" w:hAnsi="Arial"/>
          <w:b/>
        </w:rPr>
        <w:t>Report on Business</w:t>
      </w:r>
    </w:p>
    <w:p w14:paraId="4D3FDF97" w14:textId="77777777" w:rsidR="00E466F3" w:rsidRDefault="00E466F3" w:rsidP="00857042">
      <w:pPr>
        <w:pStyle w:val="List"/>
        <w:numPr>
          <w:ilvl w:val="0"/>
          <w:numId w:val="28"/>
        </w:numPr>
        <w:spacing w:before="120"/>
        <w:ind w:left="709" w:hanging="709"/>
        <w:jc w:val="both"/>
        <w:rPr>
          <w:rFonts w:ascii="Arial" w:hAnsi="Arial" w:cs="Arial"/>
          <w:szCs w:val="24"/>
        </w:rPr>
      </w:pPr>
      <w:r>
        <w:rPr>
          <w:rFonts w:ascii="Arial" w:hAnsi="Arial"/>
        </w:rPr>
        <w:t>Provide a general overview and discussion of the d</w:t>
      </w:r>
      <w:r>
        <w:rPr>
          <w:rFonts w:ascii="Arial" w:hAnsi="Arial" w:cs="Arial"/>
          <w:szCs w:val="24"/>
        </w:rPr>
        <w:t xml:space="preserve">evelopment of the Issuer’s business and operations over the previous month.  Where the Issuer was inactive disclose this fact. </w:t>
      </w:r>
    </w:p>
    <w:p w14:paraId="267193F3" w14:textId="77777777" w:rsidR="009B6825" w:rsidRDefault="009B6825" w:rsidP="006E3FAC">
      <w:pPr>
        <w:autoSpaceDE w:val="0"/>
        <w:autoSpaceDN w:val="0"/>
        <w:adjustRightInd w:val="0"/>
        <w:ind w:left="720"/>
        <w:jc w:val="both"/>
        <w:rPr>
          <w:rFonts w:ascii="Arial" w:hAnsi="Arial" w:cs="Arial"/>
          <w:spacing w:val="-2"/>
        </w:rPr>
      </w:pPr>
    </w:p>
    <w:p w14:paraId="6E45A0EC" w14:textId="059B47B3" w:rsidR="00805B1E" w:rsidRDefault="00805B1E" w:rsidP="006153B6">
      <w:pPr>
        <w:autoSpaceDE w:val="0"/>
        <w:autoSpaceDN w:val="0"/>
        <w:adjustRightInd w:val="0"/>
        <w:ind w:left="720"/>
        <w:jc w:val="both"/>
        <w:rPr>
          <w:rFonts w:ascii="Arial" w:hAnsi="Arial" w:cs="Arial"/>
          <w:b/>
          <w:sz w:val="24"/>
          <w:szCs w:val="24"/>
        </w:rPr>
      </w:pPr>
      <w:bookmarkStart w:id="6" w:name="_Hlk484081759"/>
      <w:r>
        <w:rPr>
          <w:rFonts w:ascii="Arial" w:hAnsi="Arial" w:cs="Arial"/>
          <w:b/>
          <w:sz w:val="24"/>
          <w:szCs w:val="24"/>
        </w:rPr>
        <w:t xml:space="preserve">In June 2017, the Company </w:t>
      </w:r>
      <w:r w:rsidR="00A230D6">
        <w:rPr>
          <w:rFonts w:ascii="Arial" w:hAnsi="Arial" w:cs="Arial"/>
          <w:b/>
          <w:sz w:val="24"/>
          <w:szCs w:val="24"/>
        </w:rPr>
        <w:t xml:space="preserve">initiated a Geochemical Survey on its Black Diamond property in Miami, Arizona.  </w:t>
      </w:r>
      <w:proofErr w:type="spellStart"/>
      <w:r w:rsidR="00A230D6">
        <w:rPr>
          <w:rFonts w:ascii="Arial" w:hAnsi="Arial" w:cs="Arial"/>
          <w:b/>
          <w:sz w:val="24"/>
          <w:szCs w:val="24"/>
        </w:rPr>
        <w:t>Godbe</w:t>
      </w:r>
      <w:proofErr w:type="spellEnd"/>
      <w:r w:rsidR="00A230D6">
        <w:rPr>
          <w:rFonts w:ascii="Arial" w:hAnsi="Arial" w:cs="Arial"/>
          <w:b/>
          <w:sz w:val="24"/>
          <w:szCs w:val="24"/>
        </w:rPr>
        <w:t xml:space="preserve"> Drilling LLC </w:t>
      </w:r>
      <w:r>
        <w:rPr>
          <w:rFonts w:ascii="Arial" w:hAnsi="Arial" w:cs="Arial"/>
          <w:b/>
          <w:sz w:val="24"/>
          <w:szCs w:val="24"/>
        </w:rPr>
        <w:t xml:space="preserve">of Wilcox Arizona </w:t>
      </w:r>
      <w:r w:rsidR="00FE1A47">
        <w:rPr>
          <w:rFonts w:ascii="Arial" w:hAnsi="Arial" w:cs="Arial"/>
          <w:b/>
          <w:sz w:val="24"/>
          <w:szCs w:val="24"/>
        </w:rPr>
        <w:t xml:space="preserve">was contracted </w:t>
      </w:r>
      <w:r>
        <w:rPr>
          <w:rFonts w:ascii="Arial" w:hAnsi="Arial" w:cs="Arial"/>
          <w:b/>
          <w:sz w:val="24"/>
          <w:szCs w:val="24"/>
        </w:rPr>
        <w:t xml:space="preserve">to complete a 4000 </w:t>
      </w:r>
      <w:proofErr w:type="spellStart"/>
      <w:r>
        <w:rPr>
          <w:rFonts w:ascii="Arial" w:hAnsi="Arial" w:cs="Arial"/>
          <w:b/>
          <w:sz w:val="24"/>
          <w:szCs w:val="24"/>
        </w:rPr>
        <w:t>ft</w:t>
      </w:r>
      <w:proofErr w:type="spellEnd"/>
      <w:r>
        <w:rPr>
          <w:rFonts w:ascii="Arial" w:hAnsi="Arial" w:cs="Arial"/>
          <w:b/>
          <w:sz w:val="24"/>
          <w:szCs w:val="24"/>
        </w:rPr>
        <w:t xml:space="preserve"> surface diamond drill program on its patented Buckeye Mine Property located within the Black Diamond Claims. The drill program will test the reported high-grade silver mineralization within and beyond the historical underground workings.</w:t>
      </w:r>
    </w:p>
    <w:p w14:paraId="003B812A" w14:textId="77777777" w:rsidR="00805B1E" w:rsidRDefault="00805B1E" w:rsidP="006153B6">
      <w:pPr>
        <w:autoSpaceDE w:val="0"/>
        <w:autoSpaceDN w:val="0"/>
        <w:adjustRightInd w:val="0"/>
        <w:ind w:left="720"/>
        <w:jc w:val="both"/>
        <w:rPr>
          <w:rFonts w:ascii="Arial" w:hAnsi="Arial" w:cs="Arial"/>
          <w:b/>
          <w:sz w:val="24"/>
          <w:szCs w:val="24"/>
        </w:rPr>
      </w:pPr>
    </w:p>
    <w:p w14:paraId="05D6CC74" w14:textId="77777777" w:rsidR="00805B1E" w:rsidRDefault="00805B1E" w:rsidP="006153B6">
      <w:pPr>
        <w:autoSpaceDE w:val="0"/>
        <w:autoSpaceDN w:val="0"/>
        <w:adjustRightInd w:val="0"/>
        <w:ind w:left="720"/>
        <w:jc w:val="both"/>
        <w:rPr>
          <w:rFonts w:ascii="Arial" w:hAnsi="Arial" w:cs="Arial"/>
          <w:b/>
          <w:sz w:val="24"/>
          <w:szCs w:val="24"/>
        </w:rPr>
      </w:pPr>
      <w:r>
        <w:rPr>
          <w:rFonts w:ascii="Arial" w:hAnsi="Arial" w:cs="Arial"/>
          <w:b/>
          <w:sz w:val="24"/>
          <w:szCs w:val="24"/>
        </w:rPr>
        <w:t xml:space="preserve">In Canada, the Company is preparing to conduct diamond drilling at its Scadding Gold Project, site of a former underground and open pit gold operation.  The primary focus of the Drill Program will be to test areas near past mining activities (underground and open pit) and to expand on favourable diamond drill results published by the Property’s previous explorer.  </w:t>
      </w:r>
    </w:p>
    <w:p w14:paraId="1C6E275B" w14:textId="77777777" w:rsidR="00805B1E" w:rsidRDefault="00805B1E" w:rsidP="006153B6">
      <w:pPr>
        <w:autoSpaceDE w:val="0"/>
        <w:autoSpaceDN w:val="0"/>
        <w:adjustRightInd w:val="0"/>
        <w:ind w:left="720"/>
        <w:jc w:val="both"/>
        <w:rPr>
          <w:rFonts w:ascii="Arial" w:hAnsi="Arial" w:cs="Arial"/>
          <w:b/>
          <w:sz w:val="24"/>
          <w:szCs w:val="24"/>
        </w:rPr>
      </w:pPr>
    </w:p>
    <w:bookmarkEnd w:id="6"/>
    <w:p w14:paraId="48E88C29" w14:textId="77777777" w:rsidR="00E466F3" w:rsidRDefault="00E466F3" w:rsidP="00F96314">
      <w:pPr>
        <w:keepNext/>
        <w:numPr>
          <w:ilvl w:val="0"/>
          <w:numId w:val="28"/>
        </w:numPr>
        <w:autoSpaceDE w:val="0"/>
        <w:autoSpaceDN w:val="0"/>
        <w:adjustRightInd w:val="0"/>
        <w:jc w:val="both"/>
        <w:rPr>
          <w:rFonts w:ascii="Arial" w:hAnsi="Arial"/>
          <w:sz w:val="24"/>
          <w:szCs w:val="24"/>
        </w:rPr>
      </w:pPr>
      <w:r w:rsidRPr="006E3FAC">
        <w:rPr>
          <w:rFonts w:ascii="Arial" w:hAnsi="Arial"/>
          <w:sz w:val="24"/>
          <w:szCs w:val="24"/>
        </w:rPr>
        <w:t xml:space="preserve">Provide a general overview and discussion of the activities of management. </w:t>
      </w:r>
    </w:p>
    <w:p w14:paraId="1C55DA19" w14:textId="77777777" w:rsidR="006153B6" w:rsidRDefault="006153B6" w:rsidP="006153B6">
      <w:pPr>
        <w:autoSpaceDE w:val="0"/>
        <w:autoSpaceDN w:val="0"/>
        <w:adjustRightInd w:val="0"/>
        <w:ind w:left="720"/>
        <w:jc w:val="both"/>
        <w:rPr>
          <w:rFonts w:ascii="Arial" w:hAnsi="Arial" w:cs="Arial"/>
          <w:b/>
          <w:sz w:val="24"/>
          <w:szCs w:val="24"/>
        </w:rPr>
      </w:pPr>
    </w:p>
    <w:p w14:paraId="249CC11C" w14:textId="77777777" w:rsidR="00D73C57" w:rsidRDefault="00F45871" w:rsidP="00D73C57">
      <w:pPr>
        <w:autoSpaceDE w:val="0"/>
        <w:autoSpaceDN w:val="0"/>
        <w:adjustRightInd w:val="0"/>
        <w:ind w:left="720"/>
        <w:jc w:val="both"/>
        <w:rPr>
          <w:rFonts w:ascii="Arial" w:eastAsia="Arial" w:hAnsi="Arial" w:cs="Arial"/>
          <w:b/>
          <w:bCs/>
          <w:sz w:val="24"/>
          <w:szCs w:val="24"/>
        </w:rPr>
      </w:pPr>
      <w:r>
        <w:rPr>
          <w:rFonts w:ascii="Arial" w:eastAsia="Arial" w:hAnsi="Arial" w:cs="Arial"/>
          <w:b/>
          <w:bCs/>
          <w:sz w:val="24"/>
          <w:szCs w:val="24"/>
        </w:rPr>
        <w:t xml:space="preserve">Management </w:t>
      </w:r>
      <w:r w:rsidR="00897A22">
        <w:rPr>
          <w:rFonts w:ascii="Arial" w:eastAsia="Arial" w:hAnsi="Arial" w:cs="Arial"/>
          <w:b/>
          <w:bCs/>
          <w:sz w:val="24"/>
          <w:szCs w:val="24"/>
        </w:rPr>
        <w:t xml:space="preserve">has </w:t>
      </w:r>
      <w:r w:rsidR="00517B29">
        <w:rPr>
          <w:rFonts w:ascii="Arial" w:eastAsia="Arial" w:hAnsi="Arial" w:cs="Arial"/>
          <w:b/>
          <w:bCs/>
          <w:sz w:val="24"/>
          <w:szCs w:val="24"/>
        </w:rPr>
        <w:t>successfully</w:t>
      </w:r>
      <w:r w:rsidR="00C44DB5">
        <w:rPr>
          <w:rFonts w:ascii="Arial" w:eastAsia="Arial" w:hAnsi="Arial" w:cs="Arial"/>
          <w:b/>
          <w:bCs/>
          <w:sz w:val="24"/>
          <w:szCs w:val="24"/>
        </w:rPr>
        <w:t xml:space="preserve"> secure</w:t>
      </w:r>
      <w:r w:rsidR="00897A22">
        <w:rPr>
          <w:rFonts w:ascii="Arial" w:eastAsia="Arial" w:hAnsi="Arial" w:cs="Arial"/>
          <w:b/>
          <w:bCs/>
          <w:sz w:val="24"/>
          <w:szCs w:val="24"/>
        </w:rPr>
        <w:t>d</w:t>
      </w:r>
      <w:r w:rsidR="00C44DB5">
        <w:rPr>
          <w:rFonts w:ascii="Arial" w:eastAsia="Arial" w:hAnsi="Arial" w:cs="Arial"/>
          <w:b/>
          <w:bCs/>
          <w:sz w:val="24"/>
          <w:szCs w:val="24"/>
        </w:rPr>
        <w:t xml:space="preserve"> additional financing</w:t>
      </w:r>
      <w:r w:rsidR="00897A22">
        <w:rPr>
          <w:rFonts w:ascii="Arial" w:eastAsia="Arial" w:hAnsi="Arial" w:cs="Arial"/>
          <w:b/>
          <w:bCs/>
          <w:sz w:val="24"/>
          <w:szCs w:val="24"/>
        </w:rPr>
        <w:t xml:space="preserve"> in </w:t>
      </w:r>
      <w:r w:rsidR="00B9438D">
        <w:rPr>
          <w:rFonts w:ascii="Arial" w:eastAsia="Arial" w:hAnsi="Arial" w:cs="Arial"/>
          <w:b/>
          <w:bCs/>
          <w:sz w:val="24"/>
          <w:szCs w:val="24"/>
        </w:rPr>
        <w:t xml:space="preserve">May </w:t>
      </w:r>
      <w:r w:rsidR="00897A22">
        <w:rPr>
          <w:rFonts w:ascii="Arial" w:eastAsia="Arial" w:hAnsi="Arial" w:cs="Arial"/>
          <w:b/>
          <w:bCs/>
          <w:sz w:val="24"/>
          <w:szCs w:val="24"/>
        </w:rPr>
        <w:t>2017</w:t>
      </w:r>
      <w:r w:rsidR="00B9438D">
        <w:rPr>
          <w:rFonts w:ascii="Arial" w:eastAsia="Arial" w:hAnsi="Arial" w:cs="Arial"/>
          <w:b/>
          <w:bCs/>
          <w:sz w:val="24"/>
          <w:szCs w:val="24"/>
        </w:rPr>
        <w:t xml:space="preserve"> </w:t>
      </w:r>
      <w:r w:rsidR="00C44DB5">
        <w:rPr>
          <w:rFonts w:ascii="Arial" w:eastAsia="Arial" w:hAnsi="Arial" w:cs="Arial"/>
          <w:b/>
          <w:bCs/>
          <w:sz w:val="24"/>
          <w:szCs w:val="24"/>
        </w:rPr>
        <w:t xml:space="preserve">and </w:t>
      </w:r>
      <w:r w:rsidR="00B9438D">
        <w:rPr>
          <w:rFonts w:ascii="Arial" w:eastAsia="Arial" w:hAnsi="Arial" w:cs="Arial"/>
          <w:b/>
          <w:bCs/>
          <w:sz w:val="24"/>
          <w:szCs w:val="24"/>
        </w:rPr>
        <w:t>will continue seeking additional financing to fund both its activities in Arizona and Scadding, Ontario</w:t>
      </w:r>
      <w:r w:rsidR="00C44DB5">
        <w:rPr>
          <w:rFonts w:ascii="Arial" w:eastAsia="Arial" w:hAnsi="Arial" w:cs="Arial"/>
          <w:b/>
          <w:bCs/>
          <w:sz w:val="24"/>
          <w:szCs w:val="24"/>
        </w:rPr>
        <w:t>.</w:t>
      </w:r>
    </w:p>
    <w:p w14:paraId="2CA90259" w14:textId="77777777" w:rsidR="00FE1A47" w:rsidRDefault="00FE1A47" w:rsidP="00D73C57">
      <w:pPr>
        <w:autoSpaceDE w:val="0"/>
        <w:autoSpaceDN w:val="0"/>
        <w:adjustRightInd w:val="0"/>
        <w:ind w:left="720"/>
        <w:jc w:val="both"/>
        <w:rPr>
          <w:rFonts w:ascii="Arial" w:eastAsia="Arial" w:hAnsi="Arial" w:cs="Arial"/>
          <w:b/>
          <w:bCs/>
          <w:sz w:val="24"/>
          <w:szCs w:val="24"/>
        </w:rPr>
      </w:pPr>
    </w:p>
    <w:p w14:paraId="6ACBEC7E" w14:textId="510C5317" w:rsidR="00FE1A47" w:rsidRDefault="00FF06C3" w:rsidP="00D73C57">
      <w:pPr>
        <w:autoSpaceDE w:val="0"/>
        <w:autoSpaceDN w:val="0"/>
        <w:adjustRightInd w:val="0"/>
        <w:ind w:left="720"/>
        <w:jc w:val="both"/>
        <w:rPr>
          <w:rFonts w:ascii="Arial" w:eastAsia="Arial" w:hAnsi="Arial" w:cs="Arial"/>
          <w:b/>
          <w:bCs/>
          <w:sz w:val="24"/>
          <w:szCs w:val="24"/>
        </w:rPr>
      </w:pPr>
      <w:r>
        <w:rPr>
          <w:rFonts w:ascii="Arial" w:eastAsia="Arial" w:hAnsi="Arial" w:cs="Arial"/>
          <w:b/>
          <w:bCs/>
          <w:sz w:val="24"/>
          <w:szCs w:val="24"/>
        </w:rPr>
        <w:t xml:space="preserve">The Company has had access to the </w:t>
      </w:r>
      <w:r w:rsidR="00FE1A47">
        <w:rPr>
          <w:rFonts w:ascii="Arial" w:eastAsia="Arial" w:hAnsi="Arial" w:cs="Arial"/>
          <w:b/>
          <w:bCs/>
          <w:sz w:val="24"/>
          <w:szCs w:val="24"/>
        </w:rPr>
        <w:t>Buckeye</w:t>
      </w:r>
      <w:r w:rsidR="00B3667E">
        <w:rPr>
          <w:rFonts w:ascii="Arial" w:eastAsia="Arial" w:hAnsi="Arial" w:cs="Arial"/>
          <w:b/>
          <w:bCs/>
          <w:sz w:val="24"/>
          <w:szCs w:val="24"/>
        </w:rPr>
        <w:t xml:space="preserve"> </w:t>
      </w:r>
      <w:r w:rsidR="00615129">
        <w:rPr>
          <w:rFonts w:ascii="Arial" w:eastAsia="Arial" w:hAnsi="Arial" w:cs="Arial"/>
          <w:b/>
          <w:bCs/>
          <w:sz w:val="24"/>
          <w:szCs w:val="24"/>
        </w:rPr>
        <w:t>property</w:t>
      </w:r>
      <w:r w:rsidR="00B3667E">
        <w:rPr>
          <w:rFonts w:ascii="Arial" w:eastAsia="Arial" w:hAnsi="Arial" w:cs="Arial"/>
          <w:b/>
          <w:bCs/>
          <w:sz w:val="24"/>
          <w:szCs w:val="24"/>
        </w:rPr>
        <w:t xml:space="preserve"> (approximately 15.49 acres located in Gila County, Arizona</w:t>
      </w:r>
      <w:r>
        <w:rPr>
          <w:rFonts w:ascii="Arial" w:eastAsia="Arial" w:hAnsi="Arial" w:cs="Arial"/>
          <w:b/>
          <w:bCs/>
          <w:sz w:val="24"/>
          <w:szCs w:val="24"/>
        </w:rPr>
        <w:t xml:space="preserve"> through a </w:t>
      </w:r>
      <w:r w:rsidR="00FE1A47">
        <w:rPr>
          <w:rFonts w:ascii="Arial" w:eastAsia="Arial" w:hAnsi="Arial" w:cs="Arial"/>
          <w:b/>
          <w:bCs/>
          <w:sz w:val="24"/>
          <w:szCs w:val="24"/>
        </w:rPr>
        <w:t xml:space="preserve">Lease Agreement </w:t>
      </w:r>
      <w:r>
        <w:rPr>
          <w:rFonts w:ascii="Arial" w:eastAsia="Arial" w:hAnsi="Arial" w:cs="Arial"/>
          <w:b/>
          <w:bCs/>
          <w:sz w:val="24"/>
          <w:szCs w:val="24"/>
        </w:rPr>
        <w:t xml:space="preserve">dated </w:t>
      </w:r>
      <w:r w:rsidR="00B3667E">
        <w:rPr>
          <w:rFonts w:ascii="Arial" w:eastAsia="Arial" w:hAnsi="Arial" w:cs="Arial"/>
          <w:b/>
          <w:bCs/>
          <w:sz w:val="24"/>
          <w:szCs w:val="24"/>
        </w:rPr>
        <w:t>October 2014</w:t>
      </w:r>
      <w:r>
        <w:rPr>
          <w:rFonts w:ascii="Arial" w:eastAsia="Arial" w:hAnsi="Arial" w:cs="Arial"/>
          <w:b/>
          <w:bCs/>
          <w:sz w:val="24"/>
          <w:szCs w:val="24"/>
        </w:rPr>
        <w:t xml:space="preserve"> between the property owners and </w:t>
      </w:r>
      <w:proofErr w:type="spellStart"/>
      <w:r>
        <w:rPr>
          <w:rFonts w:ascii="Arial" w:eastAsia="Arial" w:hAnsi="Arial" w:cs="Arial"/>
          <w:b/>
          <w:bCs/>
          <w:sz w:val="24"/>
          <w:szCs w:val="24"/>
        </w:rPr>
        <w:t>Trueclaim</w:t>
      </w:r>
      <w:proofErr w:type="spellEnd"/>
      <w:r>
        <w:rPr>
          <w:rFonts w:ascii="Arial" w:eastAsia="Arial" w:hAnsi="Arial" w:cs="Arial"/>
          <w:b/>
          <w:bCs/>
          <w:sz w:val="24"/>
          <w:szCs w:val="24"/>
        </w:rPr>
        <w:t xml:space="preserve"> Resources (US) Inc. and a Joint-venture Agreement between </w:t>
      </w:r>
      <w:proofErr w:type="spellStart"/>
      <w:r>
        <w:rPr>
          <w:rFonts w:ascii="Arial" w:eastAsia="Arial" w:hAnsi="Arial" w:cs="Arial"/>
          <w:b/>
          <w:bCs/>
          <w:sz w:val="24"/>
          <w:szCs w:val="24"/>
        </w:rPr>
        <w:t>Trueclaim</w:t>
      </w:r>
      <w:proofErr w:type="spellEnd"/>
      <w:r>
        <w:rPr>
          <w:rFonts w:ascii="Arial" w:eastAsia="Arial" w:hAnsi="Arial" w:cs="Arial"/>
          <w:b/>
          <w:bCs/>
          <w:sz w:val="24"/>
          <w:szCs w:val="24"/>
        </w:rPr>
        <w:t xml:space="preserve"> Resources (US) Inc. and the Company which gives the Company rights to the property.  The property Lease Agreement </w:t>
      </w:r>
      <w:r w:rsidR="00FE1A47">
        <w:rPr>
          <w:rFonts w:ascii="Arial" w:eastAsia="Arial" w:hAnsi="Arial" w:cs="Arial"/>
          <w:b/>
          <w:bCs/>
          <w:sz w:val="24"/>
          <w:szCs w:val="24"/>
        </w:rPr>
        <w:t xml:space="preserve">was </w:t>
      </w:r>
      <w:r>
        <w:rPr>
          <w:rFonts w:ascii="Arial" w:eastAsia="Arial" w:hAnsi="Arial" w:cs="Arial"/>
          <w:b/>
          <w:bCs/>
          <w:sz w:val="24"/>
          <w:szCs w:val="24"/>
        </w:rPr>
        <w:t xml:space="preserve">to expire in 2021.  The Company has secured an amendment to the property Lease Agreement giving the Company </w:t>
      </w:r>
      <w:r w:rsidR="00216F2D">
        <w:rPr>
          <w:rFonts w:ascii="Arial" w:eastAsia="Arial" w:hAnsi="Arial" w:cs="Arial"/>
          <w:b/>
          <w:bCs/>
          <w:sz w:val="24"/>
          <w:szCs w:val="24"/>
        </w:rPr>
        <w:t>Les</w:t>
      </w:r>
      <w:r>
        <w:rPr>
          <w:rFonts w:ascii="Arial" w:eastAsia="Arial" w:hAnsi="Arial" w:cs="Arial"/>
          <w:b/>
          <w:bCs/>
          <w:sz w:val="24"/>
          <w:szCs w:val="24"/>
        </w:rPr>
        <w:t>see status to the property and e</w:t>
      </w:r>
      <w:r w:rsidR="00FE1A47">
        <w:rPr>
          <w:rFonts w:ascii="Arial" w:eastAsia="Arial" w:hAnsi="Arial" w:cs="Arial"/>
          <w:b/>
          <w:bCs/>
          <w:sz w:val="24"/>
          <w:szCs w:val="24"/>
        </w:rPr>
        <w:t>xtended</w:t>
      </w:r>
      <w:r>
        <w:rPr>
          <w:rFonts w:ascii="Arial" w:eastAsia="Arial" w:hAnsi="Arial" w:cs="Arial"/>
          <w:b/>
          <w:bCs/>
          <w:sz w:val="24"/>
          <w:szCs w:val="24"/>
        </w:rPr>
        <w:t xml:space="preserve"> the Agreement</w:t>
      </w:r>
      <w:r w:rsidR="00FE1A47">
        <w:rPr>
          <w:rFonts w:ascii="Arial" w:eastAsia="Arial" w:hAnsi="Arial" w:cs="Arial"/>
          <w:b/>
          <w:bCs/>
          <w:sz w:val="24"/>
          <w:szCs w:val="24"/>
        </w:rPr>
        <w:t xml:space="preserve"> for an additional two 7</w:t>
      </w:r>
      <w:r>
        <w:rPr>
          <w:rFonts w:ascii="Arial" w:eastAsia="Arial" w:hAnsi="Arial" w:cs="Arial"/>
          <w:b/>
          <w:bCs/>
          <w:sz w:val="24"/>
          <w:szCs w:val="24"/>
        </w:rPr>
        <w:t>-</w:t>
      </w:r>
      <w:r w:rsidR="00FE1A47">
        <w:rPr>
          <w:rFonts w:ascii="Arial" w:eastAsia="Arial" w:hAnsi="Arial" w:cs="Arial"/>
          <w:b/>
          <w:bCs/>
          <w:sz w:val="24"/>
          <w:szCs w:val="24"/>
        </w:rPr>
        <w:t>year terms</w:t>
      </w:r>
      <w:r>
        <w:rPr>
          <w:rFonts w:ascii="Arial" w:eastAsia="Arial" w:hAnsi="Arial" w:cs="Arial"/>
          <w:b/>
          <w:bCs/>
          <w:sz w:val="24"/>
          <w:szCs w:val="24"/>
        </w:rPr>
        <w:t xml:space="preserve"> at the option of the Company</w:t>
      </w:r>
      <w:r w:rsidR="00CD07B6">
        <w:rPr>
          <w:rFonts w:ascii="Arial" w:eastAsia="Arial" w:hAnsi="Arial" w:cs="Arial"/>
          <w:b/>
          <w:bCs/>
          <w:sz w:val="24"/>
          <w:szCs w:val="24"/>
        </w:rPr>
        <w:t>, and has secure</w:t>
      </w:r>
      <w:r w:rsidR="00B3667E">
        <w:rPr>
          <w:rFonts w:ascii="Arial" w:eastAsia="Arial" w:hAnsi="Arial" w:cs="Arial"/>
          <w:b/>
          <w:bCs/>
          <w:sz w:val="24"/>
          <w:szCs w:val="24"/>
        </w:rPr>
        <w:t>d</w:t>
      </w:r>
      <w:r w:rsidR="00CD07B6">
        <w:rPr>
          <w:rFonts w:ascii="Arial" w:eastAsia="Arial" w:hAnsi="Arial" w:cs="Arial"/>
          <w:b/>
          <w:bCs/>
          <w:sz w:val="24"/>
          <w:szCs w:val="24"/>
        </w:rPr>
        <w:t xml:space="preserve"> a right of first refusal on </w:t>
      </w:r>
      <w:r w:rsidR="00B3667E">
        <w:rPr>
          <w:rFonts w:ascii="Arial" w:eastAsia="Arial" w:hAnsi="Arial" w:cs="Arial"/>
          <w:b/>
          <w:bCs/>
          <w:sz w:val="24"/>
          <w:szCs w:val="24"/>
        </w:rPr>
        <w:t>any</w:t>
      </w:r>
      <w:r w:rsidR="00CD07B6">
        <w:rPr>
          <w:rFonts w:ascii="Arial" w:eastAsia="Arial" w:hAnsi="Arial" w:cs="Arial"/>
          <w:b/>
          <w:bCs/>
          <w:sz w:val="24"/>
          <w:szCs w:val="24"/>
        </w:rPr>
        <w:t xml:space="preserve"> purchase of the property</w:t>
      </w:r>
      <w:r w:rsidR="00FE1A47">
        <w:rPr>
          <w:rFonts w:ascii="Arial" w:eastAsia="Arial" w:hAnsi="Arial" w:cs="Arial"/>
          <w:b/>
          <w:bCs/>
          <w:sz w:val="24"/>
          <w:szCs w:val="24"/>
        </w:rPr>
        <w:t>.</w:t>
      </w:r>
    </w:p>
    <w:p w14:paraId="2C3C87A6" w14:textId="77777777" w:rsidR="00F45871" w:rsidRDefault="00F45871" w:rsidP="006153B6">
      <w:pPr>
        <w:autoSpaceDE w:val="0"/>
        <w:autoSpaceDN w:val="0"/>
        <w:adjustRightInd w:val="0"/>
        <w:ind w:left="720"/>
        <w:jc w:val="both"/>
        <w:rPr>
          <w:rFonts w:ascii="Arial" w:eastAsia="Arial" w:hAnsi="Arial" w:cs="Arial"/>
          <w:b/>
          <w:bCs/>
          <w:sz w:val="24"/>
          <w:szCs w:val="24"/>
        </w:rPr>
      </w:pPr>
    </w:p>
    <w:p w14:paraId="292CB81C" w14:textId="77777777" w:rsidR="00C80EEC" w:rsidRDefault="00C80EEC" w:rsidP="00C80EEC">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 </w:t>
      </w:r>
    </w:p>
    <w:p w14:paraId="339FC49E" w14:textId="753533A4" w:rsidR="005646C4" w:rsidRDefault="005646C4" w:rsidP="005646C4">
      <w:pPr>
        <w:pStyle w:val="List"/>
        <w:spacing w:before="120"/>
        <w:ind w:left="720" w:firstLine="0"/>
        <w:jc w:val="both"/>
        <w:rPr>
          <w:rFonts w:ascii="Arial" w:hAnsi="Arial"/>
          <w:b/>
        </w:rPr>
      </w:pPr>
      <w:r w:rsidRPr="00010AA8">
        <w:rPr>
          <w:rFonts w:ascii="Arial" w:hAnsi="Arial"/>
          <w:b/>
        </w:rPr>
        <w:t xml:space="preserve">“Notice of Intent to Drill” was filed with the </w:t>
      </w:r>
      <w:r w:rsidR="004B7227">
        <w:rPr>
          <w:rFonts w:ascii="Arial" w:hAnsi="Arial"/>
          <w:b/>
        </w:rPr>
        <w:t xml:space="preserve">Ontario </w:t>
      </w:r>
      <w:r w:rsidR="004B7227" w:rsidRPr="004B7227">
        <w:rPr>
          <w:rFonts w:ascii="Arial" w:hAnsi="Arial"/>
          <w:b/>
        </w:rPr>
        <w:t>Ministry of Northern Development &amp; Mines</w:t>
      </w:r>
      <w:r w:rsidR="004B7227">
        <w:rPr>
          <w:rFonts w:ascii="Arial" w:hAnsi="Arial"/>
          <w:b/>
        </w:rPr>
        <w:t xml:space="preserve"> </w:t>
      </w:r>
      <w:r w:rsidRPr="00010AA8">
        <w:rPr>
          <w:rFonts w:ascii="Arial" w:hAnsi="Arial"/>
          <w:b/>
        </w:rPr>
        <w:t xml:space="preserve">in </w:t>
      </w:r>
      <w:r>
        <w:rPr>
          <w:rFonts w:ascii="Arial" w:hAnsi="Arial"/>
          <w:b/>
        </w:rPr>
        <w:t>June</w:t>
      </w:r>
      <w:r w:rsidRPr="00010AA8">
        <w:rPr>
          <w:rFonts w:ascii="Arial" w:hAnsi="Arial"/>
          <w:b/>
        </w:rPr>
        <w:t xml:space="preserve"> for </w:t>
      </w:r>
      <w:r>
        <w:rPr>
          <w:rFonts w:ascii="Arial" w:hAnsi="Arial" w:cs="Arial"/>
          <w:b/>
          <w:szCs w:val="24"/>
        </w:rPr>
        <w:t>Scadding Gold Project</w:t>
      </w:r>
      <w:r w:rsidRPr="00935060">
        <w:rPr>
          <w:rFonts w:ascii="Arial" w:hAnsi="Arial"/>
          <w:b/>
        </w:rPr>
        <w:t xml:space="preserve"> </w:t>
      </w:r>
      <w:r w:rsidRPr="00010AA8">
        <w:rPr>
          <w:rFonts w:ascii="Arial" w:hAnsi="Arial"/>
          <w:b/>
        </w:rPr>
        <w:t>contract drilling planned for Ju</w:t>
      </w:r>
      <w:r>
        <w:rPr>
          <w:rFonts w:ascii="Arial" w:hAnsi="Arial"/>
          <w:b/>
        </w:rPr>
        <w:t>ly</w:t>
      </w:r>
      <w:r w:rsidRPr="00010AA8">
        <w:rPr>
          <w:rFonts w:ascii="Arial" w:hAnsi="Arial"/>
          <w:b/>
        </w:rPr>
        <w:t xml:space="preserve">. </w:t>
      </w:r>
    </w:p>
    <w:p w14:paraId="1346AEF4" w14:textId="77777777" w:rsidR="00FE1A47" w:rsidRDefault="00EF00DB" w:rsidP="005646C4">
      <w:pPr>
        <w:pStyle w:val="List"/>
        <w:spacing w:before="120"/>
        <w:ind w:left="720" w:firstLine="0"/>
        <w:jc w:val="both"/>
        <w:rPr>
          <w:rFonts w:ascii="Arial" w:hAnsi="Arial"/>
          <w:b/>
        </w:rPr>
      </w:pPr>
      <w:r>
        <w:rPr>
          <w:rFonts w:ascii="Arial" w:hAnsi="Arial"/>
          <w:b/>
        </w:rPr>
        <w:t>“Notice of Intent to Drill and Abandon an Exploratory / Specialty well” was filed and approved by the Arizona Department of Water Resources.</w:t>
      </w:r>
    </w:p>
    <w:p w14:paraId="19B27A0B" w14:textId="77777777" w:rsidR="00FE1A47" w:rsidRPr="00010AA8" w:rsidRDefault="00FE1A47" w:rsidP="004B7227">
      <w:pPr>
        <w:pStyle w:val="List"/>
        <w:spacing w:before="120"/>
        <w:jc w:val="both"/>
        <w:rPr>
          <w:rFonts w:ascii="Arial" w:hAnsi="Arial"/>
          <w:b/>
        </w:rPr>
      </w:pPr>
    </w:p>
    <w:p w14:paraId="6F00C2B2" w14:textId="77777777" w:rsidR="005646C4" w:rsidRPr="00010AA8" w:rsidRDefault="005646C4" w:rsidP="005646C4">
      <w:pPr>
        <w:pStyle w:val="List"/>
        <w:spacing w:before="120"/>
        <w:jc w:val="both"/>
        <w:rPr>
          <w:rFonts w:ascii="Arial" w:hAnsi="Arial"/>
          <w:b/>
        </w:rPr>
      </w:pPr>
    </w:p>
    <w:p w14:paraId="0B3A2A8B" w14:textId="77777777" w:rsidR="00C80EEC" w:rsidRDefault="00C80EEC" w:rsidP="00C80EE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17EBDFC" w14:textId="5A3FE632" w:rsidR="00C80EEC" w:rsidRPr="00857042" w:rsidRDefault="004B7227" w:rsidP="00C80EEC">
      <w:pPr>
        <w:pStyle w:val="List"/>
        <w:spacing w:before="120"/>
        <w:ind w:left="720" w:firstLine="0"/>
        <w:jc w:val="both"/>
        <w:rPr>
          <w:rFonts w:ascii="Arial" w:hAnsi="Arial"/>
          <w:b/>
        </w:rPr>
      </w:pPr>
      <w:r>
        <w:rPr>
          <w:rFonts w:ascii="Arial" w:hAnsi="Arial"/>
          <w:b/>
        </w:rPr>
        <w:t>Nothing to report</w:t>
      </w:r>
    </w:p>
    <w:p w14:paraId="064B3BD3" w14:textId="77777777" w:rsidR="00E466F3" w:rsidRDefault="00E466F3">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w:t>
      </w:r>
      <w:r w:rsidR="00C44DB5">
        <w:rPr>
          <w:rFonts w:ascii="Arial" w:hAnsi="Arial"/>
        </w:rPr>
        <w:t xml:space="preserve">licensing </w:t>
      </w:r>
      <w:r>
        <w:rPr>
          <w:rFonts w:ascii="Arial" w:hAnsi="Arial"/>
        </w:rPr>
        <w:t xml:space="preserve">agreements etc. State whether the </w:t>
      </w:r>
      <w:r>
        <w:rPr>
          <w:rFonts w:ascii="Arial" w:hAnsi="Arial"/>
        </w:rPr>
        <w:lastRenderedPageBreak/>
        <w:t>relationship is with a Related Person of the Issuer and provide details of the relationship.</w:t>
      </w:r>
    </w:p>
    <w:p w14:paraId="0FFA9506" w14:textId="606EF822" w:rsidR="00A230D6" w:rsidRDefault="00A230D6" w:rsidP="00A230D6">
      <w:pPr>
        <w:pStyle w:val="List"/>
        <w:spacing w:before="120"/>
        <w:ind w:left="720" w:firstLine="0"/>
        <w:jc w:val="both"/>
        <w:rPr>
          <w:rFonts w:ascii="Arial" w:hAnsi="Arial"/>
        </w:rPr>
      </w:pPr>
      <w:r w:rsidRPr="00A230D6">
        <w:rPr>
          <w:rFonts w:ascii="Arial" w:hAnsi="Arial" w:cs="Arial"/>
          <w:b/>
          <w:szCs w:val="24"/>
        </w:rPr>
        <w:t xml:space="preserve"> </w:t>
      </w:r>
      <w:r>
        <w:rPr>
          <w:rFonts w:ascii="Arial" w:hAnsi="Arial" w:cs="Arial"/>
          <w:b/>
          <w:szCs w:val="24"/>
        </w:rPr>
        <w:t xml:space="preserve">In June 2017, the Company contracted </w:t>
      </w:r>
      <w:proofErr w:type="spellStart"/>
      <w:r>
        <w:rPr>
          <w:rFonts w:ascii="Arial" w:hAnsi="Arial" w:cs="Arial"/>
          <w:b/>
          <w:szCs w:val="24"/>
        </w:rPr>
        <w:t>Godbe</w:t>
      </w:r>
      <w:proofErr w:type="spellEnd"/>
      <w:r>
        <w:rPr>
          <w:rFonts w:ascii="Arial" w:hAnsi="Arial" w:cs="Arial"/>
          <w:b/>
          <w:szCs w:val="24"/>
        </w:rPr>
        <w:t xml:space="preserve"> Drilling, a drilling company out of Wilcox Arizona to complete a 4000 </w:t>
      </w:r>
      <w:proofErr w:type="spellStart"/>
      <w:r>
        <w:rPr>
          <w:rFonts w:ascii="Arial" w:hAnsi="Arial" w:cs="Arial"/>
          <w:b/>
          <w:szCs w:val="24"/>
        </w:rPr>
        <w:t>ft</w:t>
      </w:r>
      <w:proofErr w:type="spellEnd"/>
      <w:r>
        <w:rPr>
          <w:rFonts w:ascii="Arial" w:hAnsi="Arial" w:cs="Arial"/>
          <w:b/>
          <w:szCs w:val="24"/>
        </w:rPr>
        <w:t xml:space="preserve"> surface diamond drill program on its patented Buckeye Mine Property located within the Black Diamond Claims.  </w:t>
      </w:r>
    </w:p>
    <w:p w14:paraId="1B33C6F2" w14:textId="77777777" w:rsidR="00DB723B" w:rsidRDefault="00E466F3" w:rsidP="00010AA8">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C63FB7F" w14:textId="77777777" w:rsidR="00E466F3" w:rsidRPr="00DB723B" w:rsidRDefault="0096052D" w:rsidP="00DB723B">
      <w:pPr>
        <w:pStyle w:val="List"/>
        <w:spacing w:before="120"/>
        <w:ind w:left="720" w:firstLine="0"/>
        <w:jc w:val="both"/>
        <w:rPr>
          <w:rFonts w:ascii="Arial" w:hAnsi="Arial" w:cs="Arial"/>
          <w:b/>
        </w:rPr>
      </w:pPr>
      <w:r>
        <w:rPr>
          <w:rFonts w:ascii="Arial" w:hAnsi="Arial" w:cs="Arial"/>
          <w:b/>
        </w:rPr>
        <w:t xml:space="preserve"> </w:t>
      </w:r>
      <w:r w:rsidR="00061A05">
        <w:rPr>
          <w:rFonts w:ascii="Arial" w:hAnsi="Arial" w:cs="Arial"/>
          <w:b/>
        </w:rPr>
        <w:t xml:space="preserve">In April 2017, the Company engaged </w:t>
      </w:r>
      <w:r>
        <w:rPr>
          <w:rFonts w:ascii="Arial" w:hAnsi="Arial" w:cs="Arial"/>
          <w:b/>
        </w:rPr>
        <w:t xml:space="preserve">First Republic </w:t>
      </w:r>
      <w:r w:rsidR="00061A05">
        <w:rPr>
          <w:rFonts w:ascii="Arial" w:hAnsi="Arial" w:cs="Arial"/>
          <w:b/>
        </w:rPr>
        <w:t xml:space="preserve">Capital Corporation to act as the lead agent for an offer and sale of up to 2,000,000 flow-through common </w:t>
      </w:r>
      <w:proofErr w:type="spellStart"/>
      <w:r w:rsidR="00061A05">
        <w:rPr>
          <w:rFonts w:ascii="Arial" w:hAnsi="Arial" w:cs="Arial"/>
          <w:b/>
        </w:rPr>
        <w:t>shaes</w:t>
      </w:r>
      <w:proofErr w:type="spellEnd"/>
      <w:r w:rsidR="00061A05">
        <w:rPr>
          <w:rFonts w:ascii="Arial" w:hAnsi="Arial" w:cs="Arial"/>
          <w:b/>
        </w:rPr>
        <w:t xml:space="preserve"> of the Company.  This engagement expired in June 2017.</w:t>
      </w:r>
    </w:p>
    <w:p w14:paraId="12B3F8DA" w14:textId="77777777" w:rsidR="00E466F3" w:rsidRDefault="00E466F3">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D5E8223" w14:textId="77777777" w:rsidR="00D73C57" w:rsidRPr="00DB723B" w:rsidRDefault="00D73C57" w:rsidP="004B7227">
      <w:pPr>
        <w:pStyle w:val="List"/>
        <w:spacing w:before="120"/>
        <w:ind w:left="0" w:firstLine="0"/>
        <w:jc w:val="both"/>
        <w:rPr>
          <w:rFonts w:ascii="Arial" w:hAnsi="Arial" w:cs="Arial"/>
          <w:b/>
        </w:rPr>
      </w:pPr>
      <w:r>
        <w:rPr>
          <w:rFonts w:ascii="Arial" w:hAnsi="Arial" w:cs="Arial"/>
          <w:b/>
        </w:rPr>
        <w:t>None to report</w:t>
      </w:r>
    </w:p>
    <w:p w14:paraId="4DB3425E" w14:textId="77777777" w:rsidR="00E466F3" w:rsidRDefault="00E466F3">
      <w:pPr>
        <w:pStyle w:val="List"/>
        <w:numPr>
          <w:ilvl w:val="0"/>
          <w:numId w:val="28"/>
        </w:numPr>
        <w:spacing w:before="120"/>
        <w:jc w:val="both"/>
        <w:rPr>
          <w:rFonts w:ascii="Arial" w:hAnsi="Arial"/>
        </w:rPr>
      </w:pPr>
      <w:r>
        <w:rPr>
          <w:rFonts w:ascii="Arial" w:hAnsi="Arial"/>
        </w:rPr>
        <w:t>Describe the acquisition of new customers or loss of customers.</w:t>
      </w:r>
    </w:p>
    <w:p w14:paraId="7105FF31" w14:textId="77777777" w:rsidR="00E466F3" w:rsidRPr="00857042" w:rsidRDefault="00E466F3" w:rsidP="00857042">
      <w:pPr>
        <w:pStyle w:val="List"/>
        <w:spacing w:before="120"/>
        <w:ind w:hanging="360"/>
        <w:jc w:val="both"/>
        <w:rPr>
          <w:rFonts w:ascii="Arial" w:hAnsi="Arial"/>
          <w:b/>
        </w:rPr>
      </w:pPr>
      <w:r w:rsidRPr="00857042">
        <w:rPr>
          <w:rFonts w:ascii="Arial" w:hAnsi="Arial"/>
          <w:b/>
        </w:rPr>
        <w:t>None to report.</w:t>
      </w:r>
    </w:p>
    <w:p w14:paraId="0E1BDBFC" w14:textId="77777777" w:rsidR="00E466F3" w:rsidRDefault="00E466F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DD31CA6" w14:textId="77777777" w:rsidR="00E466F3" w:rsidRPr="009B6825" w:rsidRDefault="00E466F3" w:rsidP="009B6825">
      <w:pPr>
        <w:pStyle w:val="List"/>
        <w:spacing w:before="120"/>
        <w:ind w:hanging="360"/>
        <w:jc w:val="both"/>
        <w:rPr>
          <w:rFonts w:ascii="Arial" w:hAnsi="Arial"/>
          <w:b/>
        </w:rPr>
      </w:pPr>
      <w:r w:rsidRPr="00857042">
        <w:rPr>
          <w:rFonts w:ascii="Arial" w:hAnsi="Arial"/>
          <w:b/>
        </w:rPr>
        <w:t>None to report.</w:t>
      </w:r>
    </w:p>
    <w:p w14:paraId="06FEFECD" w14:textId="77777777" w:rsidR="00AF6708" w:rsidRPr="009971B2" w:rsidRDefault="00E466F3" w:rsidP="009B6825">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F81A090" w14:textId="77777777" w:rsidR="00991B25" w:rsidRPr="009971B2" w:rsidRDefault="00857042" w:rsidP="009B6825">
      <w:pPr>
        <w:pStyle w:val="List"/>
        <w:spacing w:before="120"/>
        <w:ind w:left="1800"/>
        <w:jc w:val="both"/>
        <w:rPr>
          <w:rFonts w:ascii="Arial" w:hAnsi="Arial"/>
          <w:b/>
        </w:rPr>
      </w:pPr>
      <w:r w:rsidRPr="00857042">
        <w:rPr>
          <w:rFonts w:ascii="Arial" w:hAnsi="Arial"/>
          <w:b/>
          <w:szCs w:val="24"/>
        </w:rPr>
        <w:t>None to report</w:t>
      </w:r>
    </w:p>
    <w:p w14:paraId="2AF9A6F4" w14:textId="77777777" w:rsidR="009B6825" w:rsidRPr="009B6825" w:rsidRDefault="00E466F3" w:rsidP="009B6825">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686B52F" w14:textId="77777777" w:rsidR="00E466F3" w:rsidRPr="00857042" w:rsidRDefault="00E466F3" w:rsidP="009B6825">
      <w:pPr>
        <w:pStyle w:val="List"/>
        <w:spacing w:before="120"/>
        <w:ind w:left="0" w:firstLine="720"/>
        <w:jc w:val="both"/>
        <w:rPr>
          <w:rFonts w:ascii="Arial" w:hAnsi="Arial"/>
          <w:b/>
        </w:rPr>
      </w:pPr>
      <w:r w:rsidRPr="00857042">
        <w:rPr>
          <w:rFonts w:ascii="Arial" w:hAnsi="Arial"/>
          <w:b/>
        </w:rPr>
        <w:t>None to report.</w:t>
      </w:r>
    </w:p>
    <w:p w14:paraId="38E19E0C" w14:textId="77777777" w:rsidR="005C5960" w:rsidRDefault="00E466F3" w:rsidP="009B6825">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2790142" w14:textId="77777777" w:rsidR="00E466F3" w:rsidRPr="009B6825" w:rsidRDefault="00B54860" w:rsidP="00415EDD">
      <w:pPr>
        <w:autoSpaceDE w:val="0"/>
        <w:autoSpaceDN w:val="0"/>
        <w:adjustRightInd w:val="0"/>
        <w:spacing w:before="120"/>
        <w:ind w:left="720"/>
        <w:jc w:val="both"/>
        <w:rPr>
          <w:rFonts w:ascii="Arial" w:hAnsi="Arial" w:cs="Arial"/>
          <w:b/>
          <w:sz w:val="24"/>
          <w:szCs w:val="24"/>
        </w:rPr>
      </w:pPr>
      <w:r>
        <w:rPr>
          <w:rFonts w:ascii="Arial" w:hAnsi="Arial" w:cs="Arial"/>
          <w:b/>
          <w:sz w:val="24"/>
          <w:szCs w:val="24"/>
        </w:rPr>
        <w:t>None to report</w:t>
      </w:r>
      <w:r w:rsidR="00415EDD">
        <w:rPr>
          <w:rFonts w:ascii="Arial" w:hAnsi="Arial" w:cs="Arial"/>
          <w:b/>
          <w:sz w:val="24"/>
          <w:szCs w:val="24"/>
        </w:rPr>
        <w:t>.</w:t>
      </w:r>
    </w:p>
    <w:p w14:paraId="37322515" w14:textId="77777777" w:rsidR="00E466F3" w:rsidRDefault="00E466F3" w:rsidP="009B6825">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9C563E2" w14:textId="77777777" w:rsidR="00137D2A" w:rsidRPr="00137D2A" w:rsidRDefault="00827453" w:rsidP="00137D2A">
      <w:pPr>
        <w:pStyle w:val="List"/>
        <w:spacing w:before="120"/>
        <w:ind w:left="720" w:firstLine="0"/>
        <w:jc w:val="both"/>
        <w:rPr>
          <w:rFonts w:ascii="Arial" w:hAnsi="Arial"/>
        </w:rPr>
      </w:pPr>
      <w:r>
        <w:rPr>
          <w:rFonts w:ascii="Arial" w:eastAsia="Arial" w:hAnsi="Arial" w:cs="Arial"/>
          <w:b/>
          <w:bCs/>
        </w:rPr>
        <w:t>None to report</w:t>
      </w:r>
    </w:p>
    <w:p w14:paraId="449592FE" w14:textId="77777777" w:rsidR="00E466F3" w:rsidRDefault="00623C28" w:rsidP="00137D2A">
      <w:pPr>
        <w:pStyle w:val="List"/>
        <w:numPr>
          <w:ilvl w:val="0"/>
          <w:numId w:val="28"/>
        </w:numPr>
        <w:spacing w:before="120"/>
        <w:jc w:val="both"/>
        <w:rPr>
          <w:rFonts w:ascii="Arial" w:hAnsi="Arial"/>
        </w:rPr>
      </w:pPr>
      <w:r>
        <w:rPr>
          <w:rFonts w:ascii="Arial" w:hAnsi="Arial"/>
        </w:rPr>
        <w:t>Provide details of any securities issued and options or warrants g</w:t>
      </w:r>
      <w:r w:rsidR="00A732F2">
        <w:rPr>
          <w:rFonts w:ascii="Arial" w:hAnsi="Arial"/>
        </w:rPr>
        <w:t>ranted</w:t>
      </w:r>
    </w:p>
    <w:p w14:paraId="3934F576" w14:textId="77777777" w:rsidR="00061A05" w:rsidRPr="00137D2A" w:rsidRDefault="00061A05" w:rsidP="005646C4">
      <w:pPr>
        <w:pStyle w:val="List"/>
        <w:spacing w:before="120"/>
        <w:ind w:left="720" w:firstLine="0"/>
        <w:jc w:val="both"/>
        <w:rPr>
          <w:rFonts w:ascii="Arial" w:hAnsi="Arial"/>
        </w:rPr>
      </w:pPr>
      <w:r>
        <w:rPr>
          <w:rFonts w:ascii="Arial" w:eastAsia="Arial" w:hAnsi="Arial" w:cs="Arial"/>
          <w:b/>
          <w:bCs/>
        </w:rPr>
        <w:lastRenderedPageBreak/>
        <w:t>None to report</w:t>
      </w:r>
    </w:p>
    <w:p w14:paraId="3FB98BE1" w14:textId="77777777" w:rsidR="00A95178" w:rsidRDefault="00A95178" w:rsidP="00A732F2">
      <w:pPr>
        <w:pStyle w:val="List"/>
        <w:spacing w:before="120"/>
        <w:ind w:left="72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E466F3" w14:paraId="5EDCF1DB" w14:textId="77777777" w:rsidTr="00944DD8">
        <w:tc>
          <w:tcPr>
            <w:tcW w:w="2394" w:type="dxa"/>
          </w:tcPr>
          <w:p w14:paraId="4C3812AD" w14:textId="77777777" w:rsidR="00E466F3" w:rsidRDefault="00E466F3">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14BD2" w14:textId="77777777" w:rsidR="00E466F3" w:rsidRDefault="00E466F3">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4366A03" w14:textId="77777777" w:rsidR="00E466F3" w:rsidRDefault="00E466F3">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68DF42C" w14:textId="77777777" w:rsidR="00E466F3" w:rsidRDefault="00E466F3">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E466F3" w14:paraId="34BCAA41" w14:textId="77777777" w:rsidTr="00944DD8">
        <w:tc>
          <w:tcPr>
            <w:tcW w:w="2394" w:type="dxa"/>
          </w:tcPr>
          <w:p w14:paraId="5D374F66" w14:textId="77777777" w:rsidR="00E466F3" w:rsidRDefault="00E466F3" w:rsidP="00944DD8">
            <w:pPr>
              <w:pStyle w:val="List"/>
              <w:tabs>
                <w:tab w:val="left" w:pos="360"/>
              </w:tabs>
              <w:spacing w:before="0" w:line="280" w:lineRule="exact"/>
              <w:ind w:left="0" w:firstLine="0"/>
              <w:rPr>
                <w:rFonts w:ascii="Arial" w:hAnsi="Arial"/>
              </w:rPr>
            </w:pPr>
          </w:p>
        </w:tc>
        <w:tc>
          <w:tcPr>
            <w:tcW w:w="2394" w:type="dxa"/>
          </w:tcPr>
          <w:p w14:paraId="2DEDEB06" w14:textId="77777777" w:rsidR="00E466F3" w:rsidRDefault="00E466F3" w:rsidP="00944DD8">
            <w:pPr>
              <w:pStyle w:val="List"/>
              <w:tabs>
                <w:tab w:val="left" w:pos="360"/>
              </w:tabs>
              <w:spacing w:before="0" w:line="280" w:lineRule="exact"/>
              <w:ind w:left="0" w:firstLine="0"/>
              <w:rPr>
                <w:rFonts w:ascii="Arial" w:hAnsi="Arial"/>
              </w:rPr>
            </w:pPr>
          </w:p>
        </w:tc>
        <w:tc>
          <w:tcPr>
            <w:tcW w:w="2394" w:type="dxa"/>
          </w:tcPr>
          <w:p w14:paraId="1B5E1F65" w14:textId="77777777" w:rsidR="00E466F3" w:rsidRDefault="00E466F3" w:rsidP="00944DD8">
            <w:pPr>
              <w:pStyle w:val="List"/>
              <w:tabs>
                <w:tab w:val="left" w:pos="360"/>
              </w:tabs>
              <w:spacing w:before="0" w:line="280" w:lineRule="exact"/>
              <w:ind w:left="0" w:firstLine="0"/>
              <w:rPr>
                <w:rFonts w:ascii="Arial" w:hAnsi="Arial"/>
              </w:rPr>
            </w:pPr>
          </w:p>
        </w:tc>
        <w:tc>
          <w:tcPr>
            <w:tcW w:w="2394" w:type="dxa"/>
          </w:tcPr>
          <w:p w14:paraId="04E733D8" w14:textId="77777777" w:rsidR="00E466F3" w:rsidRDefault="00E466F3" w:rsidP="00944DD8">
            <w:pPr>
              <w:pStyle w:val="List"/>
              <w:tabs>
                <w:tab w:val="left" w:pos="360"/>
              </w:tabs>
              <w:spacing w:before="0" w:line="280" w:lineRule="exact"/>
              <w:ind w:left="0" w:firstLine="0"/>
              <w:rPr>
                <w:rFonts w:ascii="Arial" w:hAnsi="Arial"/>
              </w:rPr>
            </w:pPr>
          </w:p>
        </w:tc>
      </w:tr>
      <w:tr w:rsidR="00E466F3" w14:paraId="6B09A46E" w14:textId="77777777" w:rsidTr="00944DD8">
        <w:tc>
          <w:tcPr>
            <w:tcW w:w="2394" w:type="dxa"/>
          </w:tcPr>
          <w:p w14:paraId="44DC4FB6" w14:textId="77777777" w:rsidR="00E466F3" w:rsidRDefault="00E466F3" w:rsidP="00944DD8">
            <w:pPr>
              <w:pStyle w:val="List"/>
              <w:tabs>
                <w:tab w:val="left" w:pos="360"/>
              </w:tabs>
              <w:spacing w:before="0" w:line="280" w:lineRule="exact"/>
              <w:ind w:left="0" w:firstLine="0"/>
              <w:rPr>
                <w:rFonts w:ascii="Arial" w:hAnsi="Arial"/>
              </w:rPr>
            </w:pPr>
          </w:p>
        </w:tc>
        <w:tc>
          <w:tcPr>
            <w:tcW w:w="2394" w:type="dxa"/>
          </w:tcPr>
          <w:p w14:paraId="52EAD9A0" w14:textId="77777777" w:rsidR="00E466F3" w:rsidRDefault="00E466F3" w:rsidP="00944DD8">
            <w:pPr>
              <w:pStyle w:val="List"/>
              <w:tabs>
                <w:tab w:val="left" w:pos="360"/>
              </w:tabs>
              <w:spacing w:before="0" w:line="280" w:lineRule="exact"/>
              <w:ind w:left="0" w:firstLine="0"/>
              <w:rPr>
                <w:rFonts w:ascii="Arial" w:hAnsi="Arial"/>
              </w:rPr>
            </w:pPr>
          </w:p>
        </w:tc>
        <w:tc>
          <w:tcPr>
            <w:tcW w:w="2394" w:type="dxa"/>
          </w:tcPr>
          <w:p w14:paraId="16ABA72B" w14:textId="77777777" w:rsidR="00E466F3" w:rsidRDefault="00E466F3" w:rsidP="00944DD8">
            <w:pPr>
              <w:pStyle w:val="List"/>
              <w:tabs>
                <w:tab w:val="left" w:pos="360"/>
              </w:tabs>
              <w:spacing w:before="0" w:line="280" w:lineRule="exact"/>
              <w:ind w:left="0" w:firstLine="0"/>
              <w:rPr>
                <w:rFonts w:ascii="Arial" w:hAnsi="Arial"/>
              </w:rPr>
            </w:pPr>
          </w:p>
        </w:tc>
        <w:tc>
          <w:tcPr>
            <w:tcW w:w="2394" w:type="dxa"/>
          </w:tcPr>
          <w:p w14:paraId="5238E081" w14:textId="77777777" w:rsidR="00E466F3" w:rsidRDefault="00E466F3" w:rsidP="00F93D04">
            <w:pPr>
              <w:pStyle w:val="List"/>
              <w:tabs>
                <w:tab w:val="left" w:pos="360"/>
              </w:tabs>
              <w:spacing w:before="0" w:line="280" w:lineRule="exact"/>
              <w:ind w:left="0" w:firstLine="0"/>
              <w:rPr>
                <w:rFonts w:ascii="Arial" w:hAnsi="Arial"/>
              </w:rPr>
            </w:pPr>
          </w:p>
        </w:tc>
      </w:tr>
      <w:tr w:rsidR="00E466F3" w14:paraId="1E777668" w14:textId="77777777" w:rsidTr="00944DD8">
        <w:tc>
          <w:tcPr>
            <w:tcW w:w="2394" w:type="dxa"/>
          </w:tcPr>
          <w:p w14:paraId="6BF5FB8E" w14:textId="77777777" w:rsidR="00E466F3" w:rsidRDefault="00E466F3" w:rsidP="00944DD8">
            <w:pPr>
              <w:pStyle w:val="List"/>
              <w:tabs>
                <w:tab w:val="left" w:pos="360"/>
              </w:tabs>
              <w:spacing w:before="0" w:line="280" w:lineRule="exact"/>
              <w:ind w:left="0" w:firstLine="0"/>
              <w:rPr>
                <w:rFonts w:ascii="Arial" w:hAnsi="Arial"/>
              </w:rPr>
            </w:pPr>
          </w:p>
        </w:tc>
        <w:tc>
          <w:tcPr>
            <w:tcW w:w="2394" w:type="dxa"/>
          </w:tcPr>
          <w:p w14:paraId="56C0707E" w14:textId="77777777" w:rsidR="00E466F3" w:rsidRDefault="00E466F3" w:rsidP="00944DD8">
            <w:pPr>
              <w:pStyle w:val="List"/>
              <w:tabs>
                <w:tab w:val="left" w:pos="360"/>
              </w:tabs>
              <w:spacing w:before="0" w:line="280" w:lineRule="exact"/>
              <w:ind w:left="0" w:firstLine="0"/>
              <w:rPr>
                <w:rFonts w:ascii="Arial" w:hAnsi="Arial"/>
              </w:rPr>
            </w:pPr>
          </w:p>
        </w:tc>
        <w:tc>
          <w:tcPr>
            <w:tcW w:w="2394" w:type="dxa"/>
          </w:tcPr>
          <w:p w14:paraId="2FA87FFF" w14:textId="77777777" w:rsidR="00E466F3" w:rsidRDefault="00E466F3" w:rsidP="00944DD8">
            <w:pPr>
              <w:pStyle w:val="List"/>
              <w:tabs>
                <w:tab w:val="left" w:pos="360"/>
              </w:tabs>
              <w:spacing w:before="0" w:line="280" w:lineRule="exact"/>
              <w:ind w:left="0" w:firstLine="0"/>
              <w:rPr>
                <w:rFonts w:ascii="Arial" w:hAnsi="Arial"/>
              </w:rPr>
            </w:pPr>
          </w:p>
        </w:tc>
        <w:tc>
          <w:tcPr>
            <w:tcW w:w="2394" w:type="dxa"/>
          </w:tcPr>
          <w:p w14:paraId="6E431487" w14:textId="77777777" w:rsidR="00E466F3" w:rsidRDefault="00E466F3" w:rsidP="00F93D04">
            <w:pPr>
              <w:pStyle w:val="List"/>
              <w:tabs>
                <w:tab w:val="left" w:pos="360"/>
              </w:tabs>
              <w:spacing w:before="0" w:line="280" w:lineRule="exact"/>
              <w:ind w:left="0" w:firstLine="0"/>
              <w:rPr>
                <w:rFonts w:ascii="Arial" w:hAnsi="Arial"/>
              </w:rPr>
            </w:pPr>
          </w:p>
        </w:tc>
      </w:tr>
      <w:tr w:rsidR="00944DD8" w14:paraId="76BF06BC" w14:textId="77777777" w:rsidTr="00944DD8">
        <w:tc>
          <w:tcPr>
            <w:tcW w:w="2394" w:type="dxa"/>
          </w:tcPr>
          <w:p w14:paraId="680634E4" w14:textId="77777777" w:rsidR="00944DD8" w:rsidRDefault="00944DD8" w:rsidP="00944DD8">
            <w:pPr>
              <w:pStyle w:val="List"/>
              <w:tabs>
                <w:tab w:val="left" w:pos="360"/>
              </w:tabs>
              <w:spacing w:before="0" w:line="280" w:lineRule="exact"/>
              <w:ind w:left="0" w:firstLine="0"/>
              <w:rPr>
                <w:rFonts w:ascii="Arial" w:hAnsi="Arial"/>
              </w:rPr>
            </w:pPr>
          </w:p>
        </w:tc>
        <w:tc>
          <w:tcPr>
            <w:tcW w:w="2394" w:type="dxa"/>
          </w:tcPr>
          <w:p w14:paraId="5128091C" w14:textId="77777777" w:rsidR="00944DD8" w:rsidRDefault="00944DD8" w:rsidP="00944DD8">
            <w:pPr>
              <w:pStyle w:val="List"/>
              <w:tabs>
                <w:tab w:val="left" w:pos="360"/>
              </w:tabs>
              <w:spacing w:before="0" w:line="280" w:lineRule="exact"/>
              <w:ind w:left="0" w:firstLine="0"/>
              <w:rPr>
                <w:rFonts w:ascii="Arial" w:hAnsi="Arial"/>
              </w:rPr>
            </w:pPr>
          </w:p>
        </w:tc>
        <w:tc>
          <w:tcPr>
            <w:tcW w:w="2394" w:type="dxa"/>
          </w:tcPr>
          <w:p w14:paraId="07F261CC" w14:textId="77777777" w:rsidR="00944DD8" w:rsidRDefault="00944DD8" w:rsidP="00944DD8">
            <w:pPr>
              <w:pStyle w:val="List"/>
              <w:tabs>
                <w:tab w:val="left" w:pos="360"/>
              </w:tabs>
              <w:spacing w:before="0" w:line="280" w:lineRule="exact"/>
              <w:ind w:left="0" w:firstLine="0"/>
              <w:rPr>
                <w:rFonts w:ascii="Arial" w:hAnsi="Arial"/>
              </w:rPr>
            </w:pPr>
          </w:p>
        </w:tc>
        <w:tc>
          <w:tcPr>
            <w:tcW w:w="2394" w:type="dxa"/>
          </w:tcPr>
          <w:p w14:paraId="789E94CA" w14:textId="77777777" w:rsidR="00944DD8" w:rsidRDefault="00944DD8" w:rsidP="00F93D04">
            <w:pPr>
              <w:pStyle w:val="List"/>
              <w:tabs>
                <w:tab w:val="left" w:pos="360"/>
              </w:tabs>
              <w:spacing w:before="0" w:line="280" w:lineRule="exact"/>
              <w:ind w:left="0" w:firstLine="0"/>
              <w:rPr>
                <w:rFonts w:ascii="Arial" w:hAnsi="Arial"/>
              </w:rPr>
            </w:pPr>
          </w:p>
        </w:tc>
      </w:tr>
      <w:tr w:rsidR="00944DD8" w14:paraId="7BF535FF" w14:textId="77777777" w:rsidTr="00944DD8">
        <w:tc>
          <w:tcPr>
            <w:tcW w:w="2394" w:type="dxa"/>
          </w:tcPr>
          <w:p w14:paraId="19725628" w14:textId="77777777" w:rsidR="00944DD8" w:rsidRDefault="00944DD8">
            <w:pPr>
              <w:pStyle w:val="List"/>
              <w:tabs>
                <w:tab w:val="left" w:pos="360"/>
              </w:tabs>
              <w:spacing w:before="0" w:line="280" w:lineRule="exact"/>
              <w:ind w:left="0" w:firstLine="0"/>
              <w:jc w:val="both"/>
              <w:rPr>
                <w:rFonts w:ascii="Arial" w:hAnsi="Arial"/>
              </w:rPr>
            </w:pPr>
          </w:p>
        </w:tc>
        <w:tc>
          <w:tcPr>
            <w:tcW w:w="2394" w:type="dxa"/>
          </w:tcPr>
          <w:p w14:paraId="525FF9BF" w14:textId="77777777" w:rsidR="00944DD8" w:rsidRDefault="00944DD8">
            <w:pPr>
              <w:pStyle w:val="List"/>
              <w:tabs>
                <w:tab w:val="left" w:pos="360"/>
              </w:tabs>
              <w:spacing w:before="0" w:line="280" w:lineRule="exact"/>
              <w:ind w:left="0" w:firstLine="0"/>
              <w:jc w:val="both"/>
              <w:rPr>
                <w:rFonts w:ascii="Arial" w:hAnsi="Arial"/>
              </w:rPr>
            </w:pPr>
          </w:p>
        </w:tc>
        <w:tc>
          <w:tcPr>
            <w:tcW w:w="2394" w:type="dxa"/>
          </w:tcPr>
          <w:p w14:paraId="46FCFD96" w14:textId="77777777" w:rsidR="00944DD8" w:rsidRDefault="00944DD8">
            <w:pPr>
              <w:pStyle w:val="List"/>
              <w:tabs>
                <w:tab w:val="left" w:pos="360"/>
              </w:tabs>
              <w:spacing w:before="0" w:line="280" w:lineRule="exact"/>
              <w:ind w:left="0" w:firstLine="0"/>
              <w:jc w:val="both"/>
              <w:rPr>
                <w:rFonts w:ascii="Arial" w:hAnsi="Arial"/>
              </w:rPr>
            </w:pPr>
          </w:p>
        </w:tc>
        <w:tc>
          <w:tcPr>
            <w:tcW w:w="2394" w:type="dxa"/>
          </w:tcPr>
          <w:p w14:paraId="72993E3A" w14:textId="77777777" w:rsidR="00944DD8" w:rsidRDefault="00944DD8">
            <w:pPr>
              <w:pStyle w:val="List"/>
              <w:tabs>
                <w:tab w:val="left" w:pos="360"/>
              </w:tabs>
              <w:spacing w:before="0" w:line="280" w:lineRule="exact"/>
              <w:ind w:left="0" w:firstLine="0"/>
              <w:jc w:val="both"/>
              <w:rPr>
                <w:rFonts w:ascii="Arial" w:hAnsi="Arial"/>
              </w:rPr>
            </w:pPr>
          </w:p>
        </w:tc>
      </w:tr>
    </w:tbl>
    <w:p w14:paraId="09256C74" w14:textId="77777777" w:rsidR="00CE66D2" w:rsidRDefault="00CE66D2" w:rsidP="00CE66D2">
      <w:pPr>
        <w:pStyle w:val="List"/>
        <w:numPr>
          <w:ilvl w:val="0"/>
          <w:numId w:val="29"/>
        </w:numPr>
        <w:spacing w:before="120"/>
        <w:jc w:val="both"/>
        <w:rPr>
          <w:rFonts w:ascii="Arial" w:hAnsi="Arial"/>
        </w:rPr>
      </w:pPr>
      <w:r>
        <w:rPr>
          <w:rFonts w:ascii="Arial" w:hAnsi="Arial"/>
        </w:rPr>
        <w:t>State aggregate proceeds and intended allocation of proceeds.</w:t>
      </w:r>
    </w:p>
    <w:p w14:paraId="7BBE5882" w14:textId="77777777" w:rsidR="00E466F3" w:rsidRDefault="00E466F3">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056602C" w14:textId="77777777" w:rsidR="00E466F3" w:rsidRPr="00857042" w:rsidRDefault="00E466F3" w:rsidP="00857042">
      <w:pPr>
        <w:pStyle w:val="List"/>
        <w:keepNext/>
        <w:keepLines/>
        <w:spacing w:before="120"/>
        <w:ind w:left="0" w:firstLine="720"/>
        <w:jc w:val="both"/>
        <w:rPr>
          <w:rFonts w:ascii="Arial" w:hAnsi="Arial"/>
          <w:b/>
        </w:rPr>
      </w:pPr>
      <w:r w:rsidRPr="00857042">
        <w:rPr>
          <w:rFonts w:ascii="Arial" w:hAnsi="Arial"/>
          <w:b/>
        </w:rPr>
        <w:t>None to report.</w:t>
      </w:r>
    </w:p>
    <w:p w14:paraId="1CB45606" w14:textId="77777777" w:rsidR="009971B2" w:rsidRDefault="00E466F3" w:rsidP="007E0CD6">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D54D615" w14:textId="77777777" w:rsidR="00BA529A" w:rsidRPr="00857042" w:rsidRDefault="00BA529A" w:rsidP="00BA529A">
      <w:pPr>
        <w:pStyle w:val="List"/>
        <w:keepNext/>
        <w:keepLines/>
        <w:spacing w:before="120"/>
        <w:ind w:left="0" w:firstLine="720"/>
        <w:jc w:val="both"/>
        <w:rPr>
          <w:rFonts w:ascii="Arial" w:hAnsi="Arial"/>
          <w:b/>
        </w:rPr>
      </w:pPr>
      <w:r w:rsidRPr="00857042">
        <w:rPr>
          <w:rFonts w:ascii="Arial" w:hAnsi="Arial"/>
          <w:b/>
        </w:rPr>
        <w:t>None to report.</w:t>
      </w:r>
    </w:p>
    <w:p w14:paraId="4AA5BC6B" w14:textId="77777777" w:rsidR="00E466F3" w:rsidRDefault="00E466F3" w:rsidP="009B6825">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33A3813" w14:textId="77777777" w:rsidR="00AF6708" w:rsidRDefault="00AF6708" w:rsidP="009B6825">
      <w:pPr>
        <w:pStyle w:val="List"/>
        <w:spacing w:before="0"/>
        <w:ind w:left="720" w:firstLine="0"/>
        <w:rPr>
          <w:rFonts w:ascii="Arial" w:hAnsi="Arial"/>
          <w:b/>
        </w:rPr>
      </w:pPr>
    </w:p>
    <w:p w14:paraId="7B861D9F" w14:textId="5F04B607" w:rsidR="00E466F3" w:rsidRPr="003C034C" w:rsidRDefault="0045399E" w:rsidP="009B6825">
      <w:pPr>
        <w:pStyle w:val="List"/>
        <w:spacing w:before="0"/>
        <w:ind w:left="720" w:firstLine="0"/>
        <w:rPr>
          <w:rFonts w:ascii="Arial" w:hAnsi="Arial"/>
        </w:rPr>
      </w:pPr>
      <w:r w:rsidRPr="009B6825">
        <w:rPr>
          <w:rFonts w:ascii="Arial" w:hAnsi="Arial"/>
          <w:b/>
        </w:rPr>
        <w:t>The Issuer historically has relied upon equity subscriptions to satisfy its capital requirements.  The Issuer will continue to depend upon equity capital to finance its activities.  There are no assurances that capital requirements will be met by this means of financing as inherent risks are attached therein including commodity prices, financial market conditions, and general economic factors.</w:t>
      </w:r>
      <w:r w:rsidR="00061A05">
        <w:rPr>
          <w:rFonts w:ascii="Arial" w:hAnsi="Arial"/>
          <w:b/>
        </w:rPr>
        <w:t xml:space="preserve">  The Company currently has sufficient funds raised to cover expenses forecasted </w:t>
      </w:r>
      <w:r w:rsidR="005646C4">
        <w:rPr>
          <w:rFonts w:ascii="Arial" w:hAnsi="Arial"/>
          <w:b/>
        </w:rPr>
        <w:t xml:space="preserve">for the upcoming </w:t>
      </w:r>
      <w:r w:rsidR="00061A05">
        <w:rPr>
          <w:rFonts w:ascii="Arial" w:hAnsi="Arial"/>
          <w:b/>
        </w:rPr>
        <w:t>12-1</w:t>
      </w:r>
      <w:r w:rsidR="005C2593">
        <w:rPr>
          <w:rFonts w:ascii="Arial" w:hAnsi="Arial"/>
          <w:b/>
        </w:rPr>
        <w:t>5</w:t>
      </w:r>
      <w:r w:rsidR="00061A05">
        <w:rPr>
          <w:rFonts w:ascii="Arial" w:hAnsi="Arial"/>
          <w:b/>
        </w:rPr>
        <w:t xml:space="preserve"> months. </w:t>
      </w:r>
      <w:r w:rsidR="00E466F3" w:rsidRPr="009B6825">
        <w:rPr>
          <w:rFonts w:ascii="Arial" w:hAnsi="Arial"/>
          <w:b/>
        </w:rPr>
        <w:br w:type="page"/>
      </w:r>
      <w:r w:rsidR="00E466F3">
        <w:rPr>
          <w:rFonts w:ascii="Arial" w:hAnsi="Arial"/>
          <w:b/>
        </w:rPr>
        <w:lastRenderedPageBreak/>
        <w:t>Certificate Of Compliance</w:t>
      </w:r>
    </w:p>
    <w:p w14:paraId="632B4C1A" w14:textId="77777777" w:rsidR="00E466F3" w:rsidRDefault="00E466F3">
      <w:pPr>
        <w:pStyle w:val="BodyText"/>
        <w:keepNext/>
        <w:rPr>
          <w:rFonts w:ascii="Arial" w:hAnsi="Arial"/>
        </w:rPr>
      </w:pPr>
      <w:r>
        <w:rPr>
          <w:rFonts w:ascii="Arial" w:hAnsi="Arial"/>
        </w:rPr>
        <w:t>The undersigned hereby certifies that:</w:t>
      </w:r>
    </w:p>
    <w:p w14:paraId="0F137EA7" w14:textId="77777777" w:rsidR="00E466F3" w:rsidRDefault="00E466F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9EE9425" w14:textId="77777777" w:rsidR="00E466F3" w:rsidRDefault="00E466F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0B65A95" w14:textId="77777777" w:rsidR="00E466F3" w:rsidRDefault="00E466F3">
      <w:pPr>
        <w:pStyle w:val="List"/>
        <w:numPr>
          <w:ilvl w:val="0"/>
          <w:numId w:val="23"/>
        </w:numPr>
        <w:jc w:val="both"/>
        <w:rPr>
          <w:rFonts w:ascii="Arial" w:hAnsi="Arial"/>
        </w:rPr>
      </w:pPr>
      <w:r>
        <w:rPr>
          <w:rFonts w:ascii="Arial" w:hAnsi="Arial"/>
        </w:rPr>
        <w:t>The undersigned hereby certifies to CNSX that the Issuer is in compliance with the requirements of applicable securities legislation (as such term is defined in National Instrument 14-101) and all CNSX Requirements (as defined in CNSX Policy 1).</w:t>
      </w:r>
    </w:p>
    <w:p w14:paraId="7EBDEBCE" w14:textId="77777777" w:rsidR="00E466F3" w:rsidRDefault="00E466F3">
      <w:pPr>
        <w:pStyle w:val="List"/>
        <w:numPr>
          <w:ilvl w:val="0"/>
          <w:numId w:val="23"/>
        </w:numPr>
        <w:jc w:val="both"/>
        <w:rPr>
          <w:rFonts w:ascii="Arial" w:hAnsi="Arial"/>
        </w:rPr>
      </w:pPr>
      <w:r>
        <w:rPr>
          <w:rFonts w:ascii="Arial" w:hAnsi="Arial"/>
        </w:rPr>
        <w:t>All of the information in this Form 7 Monthly Progress Report is true.</w:t>
      </w:r>
    </w:p>
    <w:p w14:paraId="570C2A55" w14:textId="4B04FA33" w:rsidR="00E466F3" w:rsidRDefault="006E3FAC">
      <w:pPr>
        <w:pStyle w:val="BodyText"/>
        <w:tabs>
          <w:tab w:val="right" w:pos="9360"/>
        </w:tabs>
        <w:spacing w:before="480"/>
        <w:jc w:val="both"/>
        <w:rPr>
          <w:rFonts w:ascii="Arial" w:hAnsi="Arial"/>
        </w:rPr>
      </w:pPr>
      <w:r w:rsidRPr="567C6ED2">
        <w:rPr>
          <w:rFonts w:ascii="Arial" w:eastAsia="Arial" w:hAnsi="Arial" w:cs="Arial"/>
          <w:u w:val="single"/>
        </w:rPr>
        <w:t xml:space="preserve">Dated: </w:t>
      </w:r>
      <w:r w:rsidR="005646C4">
        <w:rPr>
          <w:rFonts w:ascii="Arial" w:eastAsia="Arial" w:hAnsi="Arial" w:cs="Arial"/>
          <w:u w:val="single"/>
        </w:rPr>
        <w:t xml:space="preserve">July </w:t>
      </w:r>
      <w:r w:rsidR="00C80EEC">
        <w:rPr>
          <w:rFonts w:ascii="Arial" w:eastAsia="Arial" w:hAnsi="Arial" w:cs="Arial"/>
          <w:u w:val="single"/>
        </w:rPr>
        <w:t>5</w:t>
      </w:r>
      <w:r w:rsidR="00D73C57">
        <w:rPr>
          <w:rFonts w:ascii="Arial" w:eastAsia="Arial" w:hAnsi="Arial" w:cs="Arial"/>
          <w:u w:val="single"/>
        </w:rPr>
        <w:t>, 2017</w:t>
      </w:r>
      <w:r w:rsidR="00E466F3">
        <w:rPr>
          <w:rFonts w:ascii="Arial" w:hAnsi="Arial"/>
        </w:rPr>
        <w:tab/>
      </w:r>
    </w:p>
    <w:p w14:paraId="08C0D952" w14:textId="77777777" w:rsidR="00E466F3" w:rsidRDefault="00E466F3">
      <w:pPr>
        <w:pStyle w:val="List"/>
        <w:tabs>
          <w:tab w:val="left" w:pos="9180"/>
        </w:tabs>
        <w:ind w:left="5760" w:hanging="5760"/>
        <w:rPr>
          <w:rFonts w:ascii="Arial" w:hAnsi="Arial"/>
        </w:rPr>
      </w:pPr>
      <w:r>
        <w:rPr>
          <w:rFonts w:ascii="Arial" w:hAnsi="Arial"/>
        </w:rPr>
        <w:tab/>
      </w:r>
      <w:r w:rsidR="0012784C">
        <w:rPr>
          <w:rFonts w:ascii="Arial" w:hAnsi="Arial"/>
          <w:u w:val="single"/>
        </w:rPr>
        <w:t xml:space="preserve">John </w:t>
      </w:r>
      <w:r w:rsidR="00BA6C7D">
        <w:rPr>
          <w:rFonts w:ascii="Arial" w:hAnsi="Arial"/>
          <w:u w:val="single"/>
        </w:rPr>
        <w:t>Carter</w:t>
      </w:r>
      <w:r>
        <w:rPr>
          <w:rFonts w:ascii="Arial" w:hAnsi="Arial"/>
          <w:u w:val="single"/>
        </w:rPr>
        <w:tab/>
      </w:r>
      <w:r>
        <w:rPr>
          <w:rFonts w:ascii="Arial" w:hAnsi="Arial"/>
          <w:u w:val="single"/>
        </w:rPr>
        <w:br/>
      </w:r>
      <w:r>
        <w:rPr>
          <w:rFonts w:ascii="Arial" w:hAnsi="Arial"/>
        </w:rPr>
        <w:t>Name of Director or Senior Officer</w:t>
      </w:r>
    </w:p>
    <w:p w14:paraId="695DDB7B" w14:textId="77777777" w:rsidR="00E466F3" w:rsidRDefault="00E466F3">
      <w:pPr>
        <w:pStyle w:val="List"/>
        <w:tabs>
          <w:tab w:val="left" w:pos="9180"/>
          <w:tab w:val="left" w:pos="9360"/>
        </w:tabs>
        <w:ind w:left="5760" w:hanging="5760"/>
        <w:rPr>
          <w:rFonts w:ascii="Arial" w:hAnsi="Arial"/>
        </w:rPr>
      </w:pPr>
      <w:r>
        <w:rPr>
          <w:rFonts w:ascii="Arial" w:hAnsi="Arial"/>
        </w:rPr>
        <w:tab/>
      </w:r>
      <w:r w:rsidR="00BA6C7D">
        <w:rPr>
          <w:rFonts w:ascii="Arial" w:hAnsi="Arial"/>
        </w:rPr>
        <w:t>“</w:t>
      </w:r>
      <w:r w:rsidR="0012784C">
        <w:rPr>
          <w:rFonts w:ascii="Arial" w:hAnsi="Arial"/>
          <w:i/>
          <w:u w:val="single"/>
        </w:rPr>
        <w:t xml:space="preserve">John </w:t>
      </w:r>
      <w:r w:rsidR="00BA6C7D">
        <w:rPr>
          <w:rFonts w:ascii="Arial" w:hAnsi="Arial"/>
          <w:i/>
          <w:u w:val="single"/>
        </w:rPr>
        <w:t>Carter”</w:t>
      </w:r>
      <w:r>
        <w:rPr>
          <w:rFonts w:ascii="Arial" w:hAnsi="Arial"/>
          <w:u w:val="single"/>
        </w:rPr>
        <w:tab/>
      </w:r>
      <w:r>
        <w:rPr>
          <w:rFonts w:ascii="Arial" w:hAnsi="Arial"/>
        </w:rPr>
        <w:br/>
        <w:t>Signature</w:t>
      </w:r>
    </w:p>
    <w:p w14:paraId="50B9DC78" w14:textId="77777777" w:rsidR="00E466F3" w:rsidRDefault="00BA6C7D">
      <w:pPr>
        <w:pStyle w:val="BodyText"/>
        <w:tabs>
          <w:tab w:val="left" w:pos="9180"/>
        </w:tabs>
        <w:spacing w:before="0"/>
        <w:ind w:left="5760"/>
        <w:rPr>
          <w:rFonts w:ascii="Arial" w:hAnsi="Arial"/>
        </w:rPr>
      </w:pPr>
      <w:r>
        <w:rPr>
          <w:rFonts w:ascii="Arial" w:hAnsi="Arial"/>
          <w:u w:val="single"/>
        </w:rPr>
        <w:t>CEO</w:t>
      </w:r>
      <w:r w:rsidR="00E466F3">
        <w:rPr>
          <w:rFonts w:ascii="Arial" w:hAnsi="Arial"/>
          <w:u w:val="single"/>
        </w:rPr>
        <w:tab/>
      </w:r>
      <w:r w:rsidR="00E466F3">
        <w:rPr>
          <w:rFonts w:ascii="Arial" w:hAnsi="Arial"/>
        </w:rPr>
        <w:br/>
        <w:t>Official Capacity</w:t>
      </w:r>
      <w:bookmarkEnd w:id="4"/>
    </w:p>
    <w:p w14:paraId="054BB8D2" w14:textId="77777777" w:rsidR="00E466F3" w:rsidRDefault="00E466F3">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E466F3" w14:paraId="6CC0D87B" w14:textId="77777777" w:rsidTr="4743FBB9">
        <w:tc>
          <w:tcPr>
            <w:tcW w:w="4878" w:type="dxa"/>
            <w:tcBorders>
              <w:top w:val="single" w:sz="18" w:space="0" w:color="auto"/>
              <w:bottom w:val="nil"/>
              <w:right w:val="single" w:sz="18" w:space="0" w:color="auto"/>
            </w:tcBorders>
          </w:tcPr>
          <w:p w14:paraId="44FDFFDE" w14:textId="77777777" w:rsidR="00E466F3" w:rsidRDefault="00E466F3">
            <w:pPr>
              <w:pStyle w:val="BodyText"/>
              <w:spacing w:before="0"/>
              <w:rPr>
                <w:rFonts w:ascii="Arial" w:hAnsi="Arial"/>
                <w:b/>
                <w:i/>
              </w:rPr>
            </w:pPr>
            <w:r>
              <w:rPr>
                <w:rFonts w:ascii="Arial" w:hAnsi="Arial"/>
                <w:b/>
                <w:i/>
              </w:rPr>
              <w:t>Issuer Details</w:t>
            </w:r>
          </w:p>
          <w:p w14:paraId="5F4DCE99" w14:textId="77777777" w:rsidR="00E466F3" w:rsidRDefault="00E466F3">
            <w:pPr>
              <w:pStyle w:val="BodyText"/>
              <w:spacing w:before="0"/>
              <w:rPr>
                <w:rFonts w:ascii="Arial" w:hAnsi="Arial"/>
              </w:rPr>
            </w:pPr>
            <w:r>
              <w:rPr>
                <w:rFonts w:ascii="Arial" w:hAnsi="Arial"/>
              </w:rPr>
              <w:t>Name of Issuer</w:t>
            </w:r>
          </w:p>
          <w:p w14:paraId="46FBB373" w14:textId="77777777" w:rsidR="00E466F3" w:rsidRDefault="005076DD">
            <w:pPr>
              <w:pStyle w:val="BodyText"/>
              <w:spacing w:before="0"/>
              <w:rPr>
                <w:rFonts w:ascii="Arial" w:hAnsi="Arial"/>
              </w:rPr>
            </w:pPr>
            <w:r>
              <w:rPr>
                <w:rFonts w:ascii="Arial" w:hAnsi="Arial"/>
              </w:rPr>
              <w:t>Northern Sphere Mining Corp</w:t>
            </w:r>
          </w:p>
          <w:p w14:paraId="412023E2" w14:textId="77777777" w:rsidR="00E466F3" w:rsidRDefault="00E466F3">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090D7E88" w14:textId="1A54D1E2" w:rsidR="00E466F3" w:rsidRDefault="4743FBB9" w:rsidP="007A1211">
            <w:pPr>
              <w:pStyle w:val="BodyText"/>
              <w:spacing w:before="0"/>
              <w:rPr>
                <w:rFonts w:ascii="Arial" w:hAnsi="Arial"/>
              </w:rPr>
            </w:pPr>
            <w:proofErr w:type="gramStart"/>
            <w:r w:rsidRPr="4743FBB9">
              <w:rPr>
                <w:rFonts w:ascii="Arial" w:eastAsia="Arial" w:hAnsi="Arial" w:cs="Arial"/>
              </w:rPr>
              <w:t>For  Month</w:t>
            </w:r>
            <w:proofErr w:type="gramEnd"/>
            <w:r w:rsidRPr="4743FBB9">
              <w:rPr>
                <w:rFonts w:ascii="Arial" w:eastAsia="Arial" w:hAnsi="Arial" w:cs="Arial"/>
              </w:rPr>
              <w:t xml:space="preserve"> End </w:t>
            </w:r>
            <w:r w:rsidR="005646C4">
              <w:rPr>
                <w:rFonts w:ascii="Arial" w:eastAsia="Arial" w:hAnsi="Arial" w:cs="Arial"/>
              </w:rPr>
              <w:t xml:space="preserve">June </w:t>
            </w:r>
            <w:r w:rsidR="007A1211">
              <w:rPr>
                <w:rFonts w:ascii="Arial" w:eastAsia="Arial" w:hAnsi="Arial" w:cs="Arial"/>
              </w:rPr>
              <w:t>2017</w:t>
            </w:r>
          </w:p>
        </w:tc>
        <w:tc>
          <w:tcPr>
            <w:tcW w:w="2898" w:type="dxa"/>
            <w:tcBorders>
              <w:top w:val="single" w:sz="18" w:space="0" w:color="auto"/>
              <w:left w:val="single" w:sz="18" w:space="0" w:color="auto"/>
              <w:bottom w:val="nil"/>
            </w:tcBorders>
          </w:tcPr>
          <w:p w14:paraId="65BBCA52" w14:textId="77777777" w:rsidR="00E466F3" w:rsidRDefault="00E466F3">
            <w:pPr>
              <w:pStyle w:val="BodyText"/>
              <w:spacing w:before="0"/>
              <w:rPr>
                <w:rFonts w:ascii="Arial" w:hAnsi="Arial"/>
              </w:rPr>
            </w:pPr>
            <w:r>
              <w:rPr>
                <w:rFonts w:ascii="Arial" w:hAnsi="Arial"/>
              </w:rPr>
              <w:t>Date of Report</w:t>
            </w:r>
          </w:p>
          <w:p w14:paraId="704D9E5A" w14:textId="1E678637" w:rsidR="00E466F3" w:rsidRDefault="007A1211" w:rsidP="00A3051F">
            <w:pPr>
              <w:pStyle w:val="BodyText"/>
              <w:spacing w:before="0"/>
              <w:rPr>
                <w:rFonts w:ascii="Arial" w:hAnsi="Arial"/>
              </w:rPr>
            </w:pPr>
            <w:r>
              <w:rPr>
                <w:rFonts w:ascii="Arial" w:eastAsia="Arial" w:hAnsi="Arial" w:cs="Arial"/>
              </w:rPr>
              <w:t>2017.</w:t>
            </w:r>
            <w:r w:rsidR="005646C4">
              <w:rPr>
                <w:rFonts w:ascii="Arial" w:eastAsia="Arial" w:hAnsi="Arial" w:cs="Arial"/>
              </w:rPr>
              <w:t>07.05</w:t>
            </w:r>
          </w:p>
        </w:tc>
      </w:tr>
      <w:tr w:rsidR="00E466F3" w14:paraId="285AADC8" w14:textId="77777777" w:rsidTr="4743FBB9">
        <w:trPr>
          <w:cantSplit/>
        </w:trPr>
        <w:tc>
          <w:tcPr>
            <w:tcW w:w="9576" w:type="dxa"/>
            <w:gridSpan w:val="3"/>
            <w:tcBorders>
              <w:top w:val="single" w:sz="18" w:space="0" w:color="auto"/>
              <w:bottom w:val="single" w:sz="18" w:space="0" w:color="auto"/>
            </w:tcBorders>
          </w:tcPr>
          <w:p w14:paraId="3D3DD534" w14:textId="77777777" w:rsidR="00E466F3" w:rsidRDefault="00E466F3">
            <w:pPr>
              <w:pStyle w:val="BodyText"/>
              <w:spacing w:before="0"/>
              <w:rPr>
                <w:rFonts w:ascii="Arial" w:hAnsi="Arial"/>
              </w:rPr>
            </w:pPr>
            <w:r>
              <w:rPr>
                <w:rFonts w:ascii="Arial" w:hAnsi="Arial"/>
              </w:rPr>
              <w:t>Issuer Address</w:t>
            </w:r>
          </w:p>
          <w:p w14:paraId="082902BC" w14:textId="0494B7BD" w:rsidR="00E466F3" w:rsidRDefault="005076DD">
            <w:pPr>
              <w:autoSpaceDE w:val="0"/>
              <w:autoSpaceDN w:val="0"/>
              <w:adjustRightInd w:val="0"/>
              <w:rPr>
                <w:rFonts w:ascii="Arial" w:hAnsi="Arial" w:cs="Arial"/>
                <w:sz w:val="24"/>
                <w:szCs w:val="24"/>
              </w:rPr>
            </w:pPr>
            <w:r>
              <w:rPr>
                <w:rFonts w:ascii="Arial" w:hAnsi="Arial" w:cs="Arial"/>
                <w:sz w:val="24"/>
                <w:szCs w:val="24"/>
              </w:rPr>
              <w:t>C/o Wang</w:t>
            </w:r>
            <w:r w:rsidR="008926D3">
              <w:rPr>
                <w:rFonts w:ascii="Arial" w:hAnsi="Arial" w:cs="Arial"/>
                <w:sz w:val="24"/>
                <w:szCs w:val="24"/>
              </w:rPr>
              <w:t xml:space="preserve"> Legal</w:t>
            </w:r>
            <w:r>
              <w:rPr>
                <w:rFonts w:ascii="Arial" w:hAnsi="Arial" w:cs="Arial"/>
                <w:sz w:val="24"/>
                <w:szCs w:val="24"/>
              </w:rPr>
              <w:t>, 121 King West, Suite 2150</w:t>
            </w:r>
            <w:r w:rsidR="003C4C1B">
              <w:rPr>
                <w:rFonts w:ascii="Arial" w:hAnsi="Arial" w:cs="Arial"/>
                <w:sz w:val="24"/>
                <w:szCs w:val="24"/>
              </w:rPr>
              <w:t xml:space="preserve">  </w:t>
            </w:r>
          </w:p>
        </w:tc>
      </w:tr>
      <w:tr w:rsidR="00E466F3" w14:paraId="197E35F8" w14:textId="77777777" w:rsidTr="4743FBB9">
        <w:tc>
          <w:tcPr>
            <w:tcW w:w="4878" w:type="dxa"/>
            <w:tcBorders>
              <w:top w:val="single" w:sz="18" w:space="0" w:color="auto"/>
              <w:bottom w:val="single" w:sz="18" w:space="0" w:color="auto"/>
              <w:right w:val="single" w:sz="18" w:space="0" w:color="auto"/>
            </w:tcBorders>
          </w:tcPr>
          <w:p w14:paraId="39C99012" w14:textId="77777777" w:rsidR="00E466F3" w:rsidRDefault="00E466F3">
            <w:pPr>
              <w:pStyle w:val="BodyText"/>
              <w:spacing w:before="0"/>
              <w:rPr>
                <w:rFonts w:ascii="Arial" w:hAnsi="Arial"/>
              </w:rPr>
            </w:pPr>
            <w:r>
              <w:rPr>
                <w:rFonts w:ascii="Arial" w:hAnsi="Arial"/>
              </w:rPr>
              <w:t>City/Province/Postal Code</w:t>
            </w:r>
          </w:p>
          <w:p w14:paraId="04A8E825" w14:textId="77777777" w:rsidR="00E466F3" w:rsidRDefault="005076DD">
            <w:pPr>
              <w:pStyle w:val="BodyText"/>
              <w:spacing w:before="0"/>
              <w:rPr>
                <w:rFonts w:ascii="Arial" w:hAnsi="Arial"/>
              </w:rPr>
            </w:pPr>
            <w:r>
              <w:rPr>
                <w:rFonts w:ascii="Arial" w:hAnsi="Arial"/>
              </w:rPr>
              <w:t>Toronto</w:t>
            </w:r>
            <w:r w:rsidR="003C4C1B">
              <w:rPr>
                <w:rFonts w:ascii="Arial" w:hAnsi="Arial"/>
              </w:rPr>
              <w:t xml:space="preserve">, Ontario, </w:t>
            </w:r>
            <w:r>
              <w:rPr>
                <w:rFonts w:ascii="Arial" w:hAnsi="Arial"/>
              </w:rPr>
              <w:t>M5H 3T9</w:t>
            </w:r>
          </w:p>
          <w:p w14:paraId="5EDE929B" w14:textId="77777777" w:rsidR="00E466F3" w:rsidRDefault="00E466F3">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BAB22DF" w14:textId="77777777" w:rsidR="00E466F3" w:rsidRDefault="00E466F3">
            <w:pPr>
              <w:pStyle w:val="BodyText"/>
              <w:spacing w:before="0"/>
              <w:rPr>
                <w:rFonts w:ascii="Arial" w:hAnsi="Arial"/>
              </w:rPr>
            </w:pPr>
            <w:r>
              <w:rPr>
                <w:rFonts w:ascii="Arial" w:hAnsi="Arial"/>
              </w:rPr>
              <w:t>Issuer Fax No.</w:t>
            </w:r>
          </w:p>
          <w:p w14:paraId="0F658155" w14:textId="77777777" w:rsidR="00E466F3" w:rsidRDefault="00E466F3" w:rsidP="00E418D6">
            <w:pPr>
              <w:pStyle w:val="BodyText"/>
              <w:spacing w:before="0"/>
              <w:rPr>
                <w:rFonts w:ascii="Arial" w:hAnsi="Arial"/>
              </w:rPr>
            </w:pPr>
            <w:r>
              <w:rPr>
                <w:rFonts w:ascii="Arial" w:hAnsi="Arial"/>
              </w:rPr>
              <w:t xml:space="preserve">( </w:t>
            </w:r>
            <w:r w:rsidR="00371B4E">
              <w:rPr>
                <w:rFonts w:ascii="Arial" w:hAnsi="Arial"/>
              </w:rPr>
              <w:t>888</w:t>
            </w:r>
            <w:r>
              <w:rPr>
                <w:rFonts w:ascii="Arial" w:hAnsi="Arial"/>
              </w:rPr>
              <w:t xml:space="preserve"> )</w:t>
            </w:r>
            <w:r w:rsidR="00E418D6">
              <w:rPr>
                <w:rFonts w:ascii="Arial" w:hAnsi="Arial"/>
              </w:rPr>
              <w:t xml:space="preserve"> 686-1405</w:t>
            </w:r>
          </w:p>
        </w:tc>
        <w:tc>
          <w:tcPr>
            <w:tcW w:w="2898" w:type="dxa"/>
            <w:tcBorders>
              <w:top w:val="single" w:sz="18" w:space="0" w:color="auto"/>
              <w:left w:val="single" w:sz="18" w:space="0" w:color="auto"/>
              <w:bottom w:val="single" w:sz="18" w:space="0" w:color="auto"/>
            </w:tcBorders>
          </w:tcPr>
          <w:p w14:paraId="441F55D2" w14:textId="77777777" w:rsidR="00E466F3" w:rsidRDefault="00E466F3">
            <w:pPr>
              <w:pStyle w:val="BodyText"/>
              <w:spacing w:before="0"/>
              <w:rPr>
                <w:rFonts w:ascii="Arial" w:hAnsi="Arial"/>
              </w:rPr>
            </w:pPr>
            <w:r>
              <w:rPr>
                <w:rFonts w:ascii="Arial" w:hAnsi="Arial"/>
              </w:rPr>
              <w:t>Issuer Telephone No.</w:t>
            </w:r>
          </w:p>
          <w:p w14:paraId="012C3F1F" w14:textId="77777777" w:rsidR="00E466F3" w:rsidRDefault="003C4C1B" w:rsidP="00857042">
            <w:pPr>
              <w:pStyle w:val="BodyText"/>
              <w:spacing w:before="0"/>
              <w:rPr>
                <w:rFonts w:ascii="Arial" w:hAnsi="Arial"/>
              </w:rPr>
            </w:pPr>
            <w:r>
              <w:rPr>
                <w:rFonts w:ascii="Arial" w:hAnsi="Arial"/>
              </w:rPr>
              <w:t xml:space="preserve">(416) </w:t>
            </w:r>
            <w:r w:rsidR="00857042">
              <w:rPr>
                <w:rFonts w:ascii="Arial" w:hAnsi="Arial"/>
              </w:rPr>
              <w:t>427-0382</w:t>
            </w:r>
          </w:p>
        </w:tc>
      </w:tr>
      <w:tr w:rsidR="00E466F3" w14:paraId="5ED5F1E7" w14:textId="77777777" w:rsidTr="4743FBB9">
        <w:tc>
          <w:tcPr>
            <w:tcW w:w="4878" w:type="dxa"/>
            <w:tcBorders>
              <w:top w:val="single" w:sz="18" w:space="0" w:color="auto"/>
              <w:bottom w:val="single" w:sz="18" w:space="0" w:color="auto"/>
              <w:right w:val="single" w:sz="18" w:space="0" w:color="auto"/>
            </w:tcBorders>
          </w:tcPr>
          <w:p w14:paraId="19E93D4B" w14:textId="77777777" w:rsidR="00E466F3" w:rsidRDefault="00E466F3">
            <w:pPr>
              <w:pStyle w:val="BodyText"/>
              <w:spacing w:before="0"/>
              <w:rPr>
                <w:rFonts w:ascii="Arial" w:hAnsi="Arial"/>
              </w:rPr>
            </w:pPr>
            <w:r>
              <w:rPr>
                <w:rFonts w:ascii="Arial" w:hAnsi="Arial"/>
              </w:rPr>
              <w:t>Contact Name</w:t>
            </w:r>
          </w:p>
          <w:p w14:paraId="23E12F31" w14:textId="77777777" w:rsidR="00E466F3" w:rsidRDefault="003C4C1B">
            <w:pPr>
              <w:pStyle w:val="BodyText"/>
              <w:spacing w:before="0"/>
              <w:rPr>
                <w:rFonts w:ascii="Arial" w:hAnsi="Arial"/>
              </w:rPr>
            </w:pPr>
            <w:r>
              <w:rPr>
                <w:rFonts w:ascii="Arial" w:hAnsi="Arial"/>
              </w:rPr>
              <w:t xml:space="preserve">John </w:t>
            </w:r>
            <w:r w:rsidR="00BA6C7D">
              <w:rPr>
                <w:rFonts w:ascii="Arial" w:hAnsi="Arial"/>
              </w:rPr>
              <w:t>Carter</w:t>
            </w:r>
          </w:p>
          <w:p w14:paraId="10DC2AD5" w14:textId="77777777" w:rsidR="00E466F3" w:rsidRDefault="00E466F3">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963D5CD" w14:textId="77777777" w:rsidR="00E466F3" w:rsidRDefault="003C4C1B" w:rsidP="00857042">
            <w:pPr>
              <w:pStyle w:val="BodyText"/>
              <w:spacing w:before="0"/>
              <w:rPr>
                <w:rFonts w:ascii="Arial" w:hAnsi="Arial"/>
              </w:rPr>
            </w:pPr>
            <w:r>
              <w:rPr>
                <w:rFonts w:ascii="Arial" w:hAnsi="Arial"/>
              </w:rPr>
              <w:t xml:space="preserve">Contact Position </w:t>
            </w:r>
            <w:r w:rsidR="00857042">
              <w:rPr>
                <w:rFonts w:ascii="Arial" w:hAnsi="Arial"/>
              </w:rPr>
              <w:t>President</w:t>
            </w:r>
          </w:p>
        </w:tc>
        <w:tc>
          <w:tcPr>
            <w:tcW w:w="2898" w:type="dxa"/>
            <w:tcBorders>
              <w:top w:val="single" w:sz="18" w:space="0" w:color="auto"/>
              <w:left w:val="single" w:sz="18" w:space="0" w:color="auto"/>
              <w:bottom w:val="single" w:sz="18" w:space="0" w:color="auto"/>
            </w:tcBorders>
          </w:tcPr>
          <w:p w14:paraId="360E064F" w14:textId="77777777" w:rsidR="00E466F3" w:rsidRDefault="00E466F3">
            <w:pPr>
              <w:pStyle w:val="BodyText"/>
              <w:spacing w:before="0"/>
              <w:rPr>
                <w:rFonts w:ascii="Arial" w:hAnsi="Arial"/>
              </w:rPr>
            </w:pPr>
            <w:r>
              <w:rPr>
                <w:rFonts w:ascii="Arial" w:hAnsi="Arial"/>
              </w:rPr>
              <w:t>Contact Telephone No.</w:t>
            </w:r>
          </w:p>
          <w:p w14:paraId="5314C4FD" w14:textId="77777777" w:rsidR="00E466F3" w:rsidRDefault="003C4C1B">
            <w:pPr>
              <w:pStyle w:val="BodyText"/>
              <w:spacing w:before="0"/>
              <w:rPr>
                <w:rFonts w:ascii="Arial" w:hAnsi="Arial"/>
              </w:rPr>
            </w:pPr>
            <w:r>
              <w:rPr>
                <w:rFonts w:ascii="Arial" w:hAnsi="Arial"/>
              </w:rPr>
              <w:t>(</w:t>
            </w:r>
            <w:r w:rsidR="00BA6C7D">
              <w:rPr>
                <w:rFonts w:ascii="Arial" w:hAnsi="Arial"/>
              </w:rPr>
              <w:t>905</w:t>
            </w:r>
            <w:r>
              <w:rPr>
                <w:rFonts w:ascii="Arial" w:hAnsi="Arial"/>
              </w:rPr>
              <w:t xml:space="preserve">) </w:t>
            </w:r>
            <w:r w:rsidR="00BA6C7D">
              <w:rPr>
                <w:rFonts w:ascii="Arial" w:hAnsi="Arial"/>
              </w:rPr>
              <w:t>302-3843</w:t>
            </w:r>
          </w:p>
        </w:tc>
      </w:tr>
    </w:tbl>
    <w:p w14:paraId="50AE1C82" w14:textId="77777777" w:rsidR="00E466F3" w:rsidRDefault="00E466F3">
      <w:pPr>
        <w:pStyle w:val="BodyText"/>
      </w:pPr>
    </w:p>
    <w:sectPr w:rsidR="00E466F3" w:rsidSect="00756A9F">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0887E" w14:textId="77777777" w:rsidR="00003505" w:rsidRDefault="00003505">
      <w:r>
        <w:separator/>
      </w:r>
    </w:p>
  </w:endnote>
  <w:endnote w:type="continuationSeparator" w:id="0">
    <w:p w14:paraId="0FED7C75" w14:textId="77777777" w:rsidR="00003505" w:rsidRDefault="0000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A7AC7" w14:textId="77777777" w:rsidR="00E466F3" w:rsidRDefault="00063C2B">
    <w:pPr>
      <w:pStyle w:val="Footer"/>
      <w:tabs>
        <w:tab w:val="clear" w:pos="4320"/>
        <w:tab w:val="clear" w:pos="8640"/>
        <w:tab w:val="center" w:pos="4680"/>
        <w:tab w:val="right" w:pos="9360"/>
      </w:tabs>
      <w:rPr>
        <w:b/>
      </w:rPr>
    </w:pPr>
    <w:r>
      <w:rPr>
        <w:b/>
        <w:noProof/>
      </w:rPr>
      <mc:AlternateContent>
        <mc:Choice Requires="wps">
          <w:drawing>
            <wp:anchor distT="0" distB="0" distL="114300" distR="114300" simplePos="0" relativeHeight="251659264" behindDoc="0" locked="0" layoutInCell="1" allowOverlap="1" wp14:anchorId="53ED06B6" wp14:editId="47274CFB">
              <wp:simplePos x="0" y="0"/>
              <wp:positionH relativeFrom="column">
                <wp:posOffset>4509135</wp:posOffset>
              </wp:positionH>
              <wp:positionV relativeFrom="paragraph">
                <wp:posOffset>93980</wp:posOffset>
              </wp:positionV>
              <wp:extent cx="1466215" cy="617220"/>
              <wp:effectExtent l="0" t="0" r="0" b="0"/>
              <wp:wrapThrough wrapText="bothSides">
                <wp:wrapPolygon edited="0">
                  <wp:start x="561" y="0"/>
                  <wp:lineTo x="561" y="20667"/>
                  <wp:lineTo x="20767" y="20667"/>
                  <wp:lineTo x="20767" y="0"/>
                  <wp:lineTo x="561"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431B8" w14:textId="77777777" w:rsidR="00E466F3" w:rsidRDefault="00E1249C">
                          <w:r>
                            <w:rPr>
                              <w:noProof/>
                            </w:rPr>
                            <w:drawing>
                              <wp:inline distT="0" distB="0" distL="0" distR="0" wp14:anchorId="2DDC3C04" wp14:editId="74F73254">
                                <wp:extent cx="1283335" cy="525780"/>
                                <wp:effectExtent l="0" t="0" r="0" b="0"/>
                                <wp:docPr id="1002588990"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5257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53ED06B6" id="_x0000_t202" coordsize="21600,21600" o:spt="202" path="m,l,21600r21600,l21600,xe">
              <v:stroke joinstyle="miter"/>
              <v:path gradientshapeok="t" o:connecttype="rect"/>
            </v:shapetype>
            <v:shape id="Text Box 13" o:spid="_x0000_s1026" type="#_x0000_t202" style="position:absolute;margin-left:355.05pt;margin-top:7.4pt;width:115.45pt;height:48.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c2tQIAALg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TDAStIMWPbHRoHs5ovDalmfodQpejz34mRHOoc0uVd0/yPK7RkKuGiq27E4pOTSMVkAvtDf9s6sT&#10;jrYgm+GTrCAOfTbSAY216mztoBoI0KFNL8fWWC6lDUniOApnGJVgi8N5FLne+TQ93O6VNh+Y7JBd&#10;ZFhB6x063T1oY9nQ9OBigwlZ8LZ17W/FxQE4TicQG65am2XhuvkzCZL1Yr0gHonitUeCPPfuihXx&#10;4iKcz/LrfLXKw182bkjShlcVEzbMQVkh+bPO7TU+aeKoLS1bXlk4S0mr7WbVKrSjoOzCfa7mYDm5&#10;+Zc0XBEgl1cphREJ7qPEK+LF3CMFmXnJPFh4QZjcJ3FAEpIXlyk9cMH+PSU0ZDiZRbNJTCfSr3IL&#10;3Pc2N5p23MDsaHmX4cXRiaZWgmtRudYayttpfVYKS/9UCmj3odFOsFajk1rNuBkBxap4I6sXkK6S&#10;oCzQJww8WDRS/cBogOGRYQHTDaP2owDxJyEhdta4DZnNQapInVs25xYqSgDKsMFoWq7MNJ+ee8W3&#10;DcSZnpuQd/Bgau60fOK0f2YwHlxK+1Fm58/53nmdBu7yNwAAAP//AwBQSwMEFAAGAAgAAAAhANDF&#10;pzXgAAAACgEAAA8AAABkcnMvZG93bnJldi54bWxMj81OwzAQhO9IvIO1SFwQdRwqfkKcCoHgQlVE&#10;4cDRiZckEK8j200DT89yguPOfJqdKVezG8SEIfaeNKhFBgKp8banVsPry/3pJYiYDFkzeEINXxhh&#10;VR0elKawfk/POG1TKziEYmE0dCmNhZSx6dCZuPAjEnvvPjiT+AyttMHsOdwNMs+yc+lMT/yhMyPe&#10;dth8bndOw/dTWPs8Xz+o+u2sn9LdycfmcaP18dF8cw0i4Zz+YPitz9Wh4k6135GNYtBwoTLFKBtL&#10;nsDA1VLxuJoFlWcgq1L+n1D9AAAA//8DAFBLAQItABQABgAIAAAAIQC2gziS/gAAAOEBAAATAAAA&#10;AAAAAAAAAAAAAAAAAABbQ29udGVudF9UeXBlc10ueG1sUEsBAi0AFAAGAAgAAAAhADj9If/WAAAA&#10;lAEAAAsAAAAAAAAAAAAAAAAALwEAAF9yZWxzLy5yZWxzUEsBAi0AFAAGAAgAAAAhAF3Pxza1AgAA&#10;uAUAAA4AAAAAAAAAAAAAAAAALgIAAGRycy9lMm9Eb2MueG1sUEsBAi0AFAAGAAgAAAAhANDFpzXg&#10;AAAACgEAAA8AAAAAAAAAAAAAAAAADwUAAGRycy9kb3ducmV2LnhtbFBLBQYAAAAABAAEAPMAAAAc&#10;BgAAAAA=&#10;" filled="f" stroked="f">
              <v:textbox>
                <w:txbxContent>
                  <w:p w14:paraId="3AA431B8" w14:textId="77777777" w:rsidR="00E466F3" w:rsidRDefault="00E1249C">
                    <w:r>
                      <w:rPr>
                        <w:noProof/>
                      </w:rPr>
                      <w:drawing>
                        <wp:inline distT="0" distB="0" distL="0" distR="0" wp14:anchorId="2DDC3C04" wp14:editId="74F73254">
                          <wp:extent cx="1283335" cy="525780"/>
                          <wp:effectExtent l="0" t="0" r="0" b="0"/>
                          <wp:docPr id="1002588990"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25780"/>
                                  </a:xfrm>
                                  <a:prstGeom prst="rect">
                                    <a:avLst/>
                                  </a:prstGeom>
                                  <a:noFill/>
                                  <a:ln>
                                    <a:noFill/>
                                  </a:ln>
                                </pic:spPr>
                              </pic:pic>
                            </a:graphicData>
                          </a:graphic>
                        </wp:inline>
                      </w:drawing>
                    </w:r>
                  </w:p>
                </w:txbxContent>
              </v:textbox>
              <w10:wrap type="through"/>
            </v:shape>
          </w:pict>
        </mc:Fallback>
      </mc:AlternateContent>
    </w:r>
  </w:p>
  <w:p w14:paraId="1AB4ECC0" w14:textId="77777777" w:rsidR="00E466F3" w:rsidRDefault="00063C2B">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49C1235B" wp14:editId="117642A9">
              <wp:simplePos x="0" y="0"/>
              <wp:positionH relativeFrom="column">
                <wp:posOffset>72390</wp:posOffset>
              </wp:positionH>
              <wp:positionV relativeFrom="paragraph">
                <wp:posOffset>-152401</wp:posOffset>
              </wp:positionV>
              <wp:extent cx="5863590" cy="0"/>
              <wp:effectExtent l="0" t="0" r="381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C661FE3" id="Line 7"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E466F3">
      <w:rPr>
        <w:rFonts w:ascii="Arial" w:hAnsi="Arial" w:cs="Arial"/>
        <w:b/>
      </w:rPr>
      <w:t>FORM 7 – MONTHLY PROGRESS REPORT</w:t>
    </w:r>
  </w:p>
  <w:p w14:paraId="29EB4E07" w14:textId="4081FA70" w:rsidR="00E466F3" w:rsidRDefault="00E466F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sidR="00663717">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663717">
      <w:rPr>
        <w:rStyle w:val="PageNumber"/>
        <w:rFonts w:ascii="Arial" w:hAnsi="Arial" w:cs="Arial"/>
        <w:sz w:val="16"/>
        <w:szCs w:val="16"/>
      </w:rPr>
      <w:fldChar w:fldCharType="separate"/>
    </w:r>
    <w:r w:rsidR="00BA5371">
      <w:rPr>
        <w:rStyle w:val="PageNumber"/>
        <w:rFonts w:ascii="Arial" w:hAnsi="Arial" w:cs="Arial"/>
        <w:noProof/>
        <w:sz w:val="16"/>
        <w:szCs w:val="16"/>
      </w:rPr>
      <w:t>5</w:t>
    </w:r>
    <w:r w:rsidR="00663717">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E1339" w14:textId="77777777" w:rsidR="00E466F3" w:rsidRDefault="00063C2B">
    <w:pPr>
      <w:pStyle w:val="Footer"/>
      <w:tabs>
        <w:tab w:val="clear" w:pos="4320"/>
        <w:tab w:val="clear" w:pos="8640"/>
        <w:tab w:val="center" w:pos="4680"/>
        <w:tab w:val="right" w:pos="9360"/>
      </w:tabs>
      <w:rPr>
        <w:b/>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00E816C1" wp14:editId="62BD96EB">
              <wp:simplePos x="0" y="0"/>
              <wp:positionH relativeFrom="column">
                <wp:posOffset>4623435</wp:posOffset>
              </wp:positionH>
              <wp:positionV relativeFrom="paragraph">
                <wp:posOffset>93980</wp:posOffset>
              </wp:positionV>
              <wp:extent cx="1466215" cy="617220"/>
              <wp:effectExtent l="0" t="0" r="0" b="0"/>
              <wp:wrapThrough wrapText="bothSides">
                <wp:wrapPolygon edited="0">
                  <wp:start x="561" y="0"/>
                  <wp:lineTo x="561" y="20667"/>
                  <wp:lineTo x="20767" y="20667"/>
                  <wp:lineTo x="20767" y="0"/>
                  <wp:lineTo x="561"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26A26" w14:textId="77777777" w:rsidR="00E466F3" w:rsidRDefault="00E1249C">
                          <w:r>
                            <w:rPr>
                              <w:noProof/>
                            </w:rPr>
                            <w:drawing>
                              <wp:inline distT="0" distB="0" distL="0" distR="0" wp14:anchorId="4A52A84A" wp14:editId="600F0EC0">
                                <wp:extent cx="1283335" cy="525780"/>
                                <wp:effectExtent l="0" t="0" r="0" b="0"/>
                                <wp:docPr id="1039705073"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5257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00E816C1" id="_x0000_t202" coordsize="21600,21600" o:spt="202" path="m,l,21600r21600,l21600,xe">
              <v:stroke joinstyle="miter"/>
              <v:path gradientshapeok="t" o:connecttype="rect"/>
            </v:shapetype>
            <v:shape id="Text Box 12" o:spid="_x0000_s1027" type="#_x0000_t202" style="position:absolute;margin-left:364.05pt;margin-top:7.4pt;width:115.45pt;height:48.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EltgIAAL8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RxgJ2gFFj2w06E6OKIxse4Zep+D10IOfGeEcaHal6v5elj80EnLVULFlt0rJoWG0gvRCe9M/uzrh&#10;aAuyGT7LCuLQJyMd0FirzvYOuoEAHWh6PlJjcyltSBLHUTjDqARbHM6jyHHn0/Rwu1fafGSyQ3aR&#10;YQXUO3S6u9fGZkPTg4sNJmTB29bR34qLA3CcTiA2XLU2m4Vj81cSJOvFekE8EsVrjwR57t0WK+LF&#10;RTif5R/y1SoPX2zckKQNryombJiDskLyZ8ztNT5p4qgtLVteWTibklbbzapVaEdB2YX7XM/BcnLz&#10;L9NwTYBaXpUURiS4ixKviBdzjxRk5iXzYOEFYXKXxAFJSF5clnTPBfv3ktCQ4WQWzSYxnZJ+VVvg&#10;vre10bTjBmZHy7sML45ONLUSXIvKUWsob6f1WSts+qdWAN0Hop1grUYntZpxM7qn4dRsxbyR1TMo&#10;WEkQGMgU5h4sGql+YjTADMmwgCGHUftJwBtIQkLsyHEbMpuDYpE6t2zOLVSUAJRhg9G0XJlpTD31&#10;im8biHN4dbfwbgruJH3Kaf/aYEq4yvYTzY6h873zOs3d5W8AAAD//wMAUEsDBBQABgAIAAAAIQCh&#10;nJjl3QAAAAoBAAAPAAAAZHJzL2Rvd25yZXYueG1sTI/BTsMwEETvSPyDtUjcqJOohSSNU6ECZ2jh&#10;A9x4idPE6yh228DXs5zguDNPszPVZnaDOOMUOk8K0kUCAqnxpqNWwcf7y10OIkRNRg+eUMEXBtjU&#10;11eVLo2/0A7P+9gKDqFQagU2xrGUMjQWnQ4LPyKx9+knpyOfUyvNpC8c7gaZJcm9dLoj/mD1iFuL&#10;Tb8/OQV54l77vsjeglt+pyu7ffLP41Gp25v5cQ0i4hz/YPitz9Wh5k4HfyITxKDgIctTRtlY8gQG&#10;ilXB4w4spFkCsq7k/wn1DwAAAP//AwBQSwECLQAUAAYACAAAACEAtoM4kv4AAADhAQAAEwAAAAAA&#10;AAAAAAAAAAAAAAAAW0NvbnRlbnRfVHlwZXNdLnhtbFBLAQItABQABgAIAAAAIQA4/SH/1gAAAJQB&#10;AAALAAAAAAAAAAAAAAAAAC8BAABfcmVscy8ucmVsc1BLAQItABQABgAIAAAAIQAtSsEltgIAAL8F&#10;AAAOAAAAAAAAAAAAAAAAAC4CAABkcnMvZTJvRG9jLnhtbFBLAQItABQABgAIAAAAIQChnJjl3QAA&#10;AAoBAAAPAAAAAAAAAAAAAAAAABAFAABkcnMvZG93bnJldi54bWxQSwUGAAAAAAQABADzAAAAGgYA&#10;AAAA&#10;" filled="f" stroked="f">
              <v:textbox style="mso-fit-shape-to-text:t">
                <w:txbxContent>
                  <w:p w14:paraId="47526A26" w14:textId="77777777" w:rsidR="00E466F3" w:rsidRDefault="00E1249C">
                    <w:r>
                      <w:rPr>
                        <w:noProof/>
                      </w:rPr>
                      <w:drawing>
                        <wp:inline distT="0" distB="0" distL="0" distR="0" wp14:anchorId="4A52A84A" wp14:editId="600F0EC0">
                          <wp:extent cx="1283335" cy="525780"/>
                          <wp:effectExtent l="0" t="0" r="0" b="0"/>
                          <wp:docPr id="1039705073"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25780"/>
                                  </a:xfrm>
                                  <a:prstGeom prst="rect">
                                    <a:avLst/>
                                  </a:prstGeom>
                                  <a:noFill/>
                                  <a:ln>
                                    <a:noFill/>
                                  </a:ln>
                                </pic:spPr>
                              </pic:pic>
                            </a:graphicData>
                          </a:graphic>
                        </wp:inline>
                      </w:drawing>
                    </w:r>
                  </w:p>
                </w:txbxContent>
              </v:textbox>
              <w10:wrap type="through"/>
            </v:shape>
          </w:pict>
        </mc:Fallback>
      </mc:AlternateContent>
    </w:r>
  </w:p>
  <w:p w14:paraId="43D448D9" w14:textId="77777777" w:rsidR="00E466F3" w:rsidRDefault="00063C2B">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6192" behindDoc="0" locked="0" layoutInCell="1" allowOverlap="1" wp14:anchorId="1E53A70A" wp14:editId="0A3BFEA2">
              <wp:simplePos x="0" y="0"/>
              <wp:positionH relativeFrom="column">
                <wp:posOffset>72390</wp:posOffset>
              </wp:positionH>
              <wp:positionV relativeFrom="paragraph">
                <wp:posOffset>-152401</wp:posOffset>
              </wp:positionV>
              <wp:extent cx="5863590" cy="0"/>
              <wp:effectExtent l="0" t="0" r="38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24D31423" id="Line 5"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E466F3">
      <w:rPr>
        <w:rFonts w:ascii="Arial" w:hAnsi="Arial" w:cs="Arial"/>
        <w:b/>
      </w:rPr>
      <w:t>FORM 7 – MONTHLY PROGRESS REPORT</w:t>
    </w:r>
  </w:p>
  <w:p w14:paraId="41FB9030" w14:textId="5D966219" w:rsidR="00E466F3" w:rsidRDefault="00E466F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sidR="00663717">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663717">
      <w:rPr>
        <w:rStyle w:val="PageNumber"/>
        <w:rFonts w:ascii="Arial" w:hAnsi="Arial" w:cs="Arial"/>
        <w:sz w:val="16"/>
        <w:szCs w:val="16"/>
      </w:rPr>
      <w:fldChar w:fldCharType="separate"/>
    </w:r>
    <w:r w:rsidR="00BA5371">
      <w:rPr>
        <w:rStyle w:val="PageNumber"/>
        <w:rFonts w:ascii="Arial" w:hAnsi="Arial" w:cs="Arial"/>
        <w:noProof/>
        <w:sz w:val="16"/>
        <w:szCs w:val="16"/>
      </w:rPr>
      <w:t>1</w:t>
    </w:r>
    <w:r w:rsidR="0066371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F3E2B" w14:textId="77777777" w:rsidR="00003505" w:rsidRDefault="00003505">
      <w:r>
        <w:separator/>
      </w:r>
    </w:p>
  </w:footnote>
  <w:footnote w:type="continuationSeparator" w:id="0">
    <w:p w14:paraId="56B17D00" w14:textId="77777777" w:rsidR="00003505" w:rsidRDefault="00003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EB43" w14:textId="77777777" w:rsidR="00E466F3" w:rsidRDefault="00663717">
    <w:pPr>
      <w:pStyle w:val="Header"/>
      <w:framePr w:wrap="around" w:vAnchor="text" w:hAnchor="margin" w:xAlign="center" w:y="1"/>
      <w:rPr>
        <w:rStyle w:val="PageNumber"/>
      </w:rPr>
    </w:pPr>
    <w:r>
      <w:rPr>
        <w:rStyle w:val="PageNumber"/>
      </w:rPr>
      <w:fldChar w:fldCharType="begin"/>
    </w:r>
    <w:r w:rsidR="00E466F3">
      <w:rPr>
        <w:rStyle w:val="PageNumber"/>
      </w:rPr>
      <w:instrText xml:space="preserve">PAGE  </w:instrText>
    </w:r>
    <w:r>
      <w:rPr>
        <w:rStyle w:val="PageNumber"/>
      </w:rPr>
      <w:fldChar w:fldCharType="separate"/>
    </w:r>
    <w:r w:rsidR="00E466F3">
      <w:rPr>
        <w:rStyle w:val="PageNumber"/>
        <w:noProof/>
      </w:rPr>
      <w:t>3</w:t>
    </w:r>
    <w:r>
      <w:rPr>
        <w:rStyle w:val="PageNumber"/>
      </w:rPr>
      <w:fldChar w:fldCharType="end"/>
    </w:r>
  </w:p>
  <w:p w14:paraId="7707777A" w14:textId="77777777" w:rsidR="00E466F3" w:rsidRDefault="00E46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D99E" w14:textId="77777777" w:rsidR="00E466F3" w:rsidRDefault="00E466F3">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DED1CF5"/>
    <w:multiLevelType w:val="hybridMultilevel"/>
    <w:tmpl w:val="4AB8CAD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46F47B3"/>
    <w:multiLevelType w:val="hybridMultilevel"/>
    <w:tmpl w:val="5998A7D2"/>
    <w:lvl w:ilvl="0" w:tplc="080046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B011A7"/>
    <w:multiLevelType w:val="hybridMultilevel"/>
    <w:tmpl w:val="AD9E2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3"/>
  </w:num>
  <w:num w:numId="5">
    <w:abstractNumId w:val="3"/>
  </w:num>
  <w:num w:numId="6">
    <w:abstractNumId w:val="25"/>
  </w:num>
  <w:num w:numId="7">
    <w:abstractNumId w:val="8"/>
  </w:num>
  <w:num w:numId="8">
    <w:abstractNumId w:val="27"/>
  </w:num>
  <w:num w:numId="9">
    <w:abstractNumId w:val="22"/>
  </w:num>
  <w:num w:numId="10">
    <w:abstractNumId w:val="10"/>
  </w:num>
  <w:num w:numId="11">
    <w:abstractNumId w:val="16"/>
  </w:num>
  <w:num w:numId="12">
    <w:abstractNumId w:val="17"/>
  </w:num>
  <w:num w:numId="13">
    <w:abstractNumId w:val="29"/>
  </w:num>
  <w:num w:numId="14">
    <w:abstractNumId w:val="6"/>
  </w:num>
  <w:num w:numId="15">
    <w:abstractNumId w:val="9"/>
  </w:num>
  <w:num w:numId="16">
    <w:abstractNumId w:val="12"/>
  </w:num>
  <w:num w:numId="17">
    <w:abstractNumId w:val="20"/>
  </w:num>
  <w:num w:numId="18">
    <w:abstractNumId w:val="2"/>
  </w:num>
  <w:num w:numId="19">
    <w:abstractNumId w:val="7"/>
  </w:num>
  <w:num w:numId="20">
    <w:abstractNumId w:val="26"/>
  </w:num>
  <w:num w:numId="21">
    <w:abstractNumId w:val="1"/>
  </w:num>
  <w:num w:numId="22">
    <w:abstractNumId w:val="0"/>
  </w:num>
  <w:num w:numId="23">
    <w:abstractNumId w:val="24"/>
  </w:num>
  <w:num w:numId="24">
    <w:abstractNumId w:val="21"/>
  </w:num>
  <w:num w:numId="25">
    <w:abstractNumId w:val="4"/>
  </w:num>
  <w:num w:numId="26">
    <w:abstractNumId w:val="28"/>
  </w:num>
  <w:num w:numId="27">
    <w:abstractNumId w:val="30"/>
  </w:num>
  <w:num w:numId="28">
    <w:abstractNumId w:val="5"/>
  </w:num>
  <w:num w:numId="29">
    <w:abstractNumId w:val="14"/>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C5"/>
    <w:rsid w:val="00003505"/>
    <w:rsid w:val="00010AA8"/>
    <w:rsid w:val="00022044"/>
    <w:rsid w:val="0002208A"/>
    <w:rsid w:val="000340C4"/>
    <w:rsid w:val="00037324"/>
    <w:rsid w:val="00047576"/>
    <w:rsid w:val="00053CE9"/>
    <w:rsid w:val="00054946"/>
    <w:rsid w:val="00061A05"/>
    <w:rsid w:val="00063C2B"/>
    <w:rsid w:val="000739EC"/>
    <w:rsid w:val="000A0739"/>
    <w:rsid w:val="000A792F"/>
    <w:rsid w:val="000B39CD"/>
    <w:rsid w:val="000C1270"/>
    <w:rsid w:val="000D23F6"/>
    <w:rsid w:val="000D37CD"/>
    <w:rsid w:val="000D490F"/>
    <w:rsid w:val="000D710B"/>
    <w:rsid w:val="000E5CE8"/>
    <w:rsid w:val="000F7719"/>
    <w:rsid w:val="001005C7"/>
    <w:rsid w:val="0012784C"/>
    <w:rsid w:val="00136561"/>
    <w:rsid w:val="00137D2A"/>
    <w:rsid w:val="00170C18"/>
    <w:rsid w:val="00175A96"/>
    <w:rsid w:val="00187F86"/>
    <w:rsid w:val="001B13C2"/>
    <w:rsid w:val="001B4B80"/>
    <w:rsid w:val="001B5F5E"/>
    <w:rsid w:val="00212D3A"/>
    <w:rsid w:val="002144C2"/>
    <w:rsid w:val="00216F2D"/>
    <w:rsid w:val="00220365"/>
    <w:rsid w:val="00221BBA"/>
    <w:rsid w:val="002544FB"/>
    <w:rsid w:val="002754BE"/>
    <w:rsid w:val="00276EC9"/>
    <w:rsid w:val="00284E32"/>
    <w:rsid w:val="00286637"/>
    <w:rsid w:val="002A10C3"/>
    <w:rsid w:val="002A25D7"/>
    <w:rsid w:val="002C6430"/>
    <w:rsid w:val="002E5855"/>
    <w:rsid w:val="002F5588"/>
    <w:rsid w:val="00304A76"/>
    <w:rsid w:val="0031264E"/>
    <w:rsid w:val="00347CC1"/>
    <w:rsid w:val="00371B4E"/>
    <w:rsid w:val="0038096F"/>
    <w:rsid w:val="003B03BB"/>
    <w:rsid w:val="003C034C"/>
    <w:rsid w:val="003C4C1B"/>
    <w:rsid w:val="003C5692"/>
    <w:rsid w:val="003C6854"/>
    <w:rsid w:val="003F3321"/>
    <w:rsid w:val="003F3344"/>
    <w:rsid w:val="003F4869"/>
    <w:rsid w:val="004010ED"/>
    <w:rsid w:val="00412AD3"/>
    <w:rsid w:val="00415EDD"/>
    <w:rsid w:val="00445D2B"/>
    <w:rsid w:val="00451CF6"/>
    <w:rsid w:val="00451E02"/>
    <w:rsid w:val="0045399E"/>
    <w:rsid w:val="0047187A"/>
    <w:rsid w:val="00476FF5"/>
    <w:rsid w:val="00482542"/>
    <w:rsid w:val="00485FEC"/>
    <w:rsid w:val="004B4522"/>
    <w:rsid w:val="004B7227"/>
    <w:rsid w:val="004D04C5"/>
    <w:rsid w:val="004D120C"/>
    <w:rsid w:val="004E173B"/>
    <w:rsid w:val="004F02D4"/>
    <w:rsid w:val="004F11E2"/>
    <w:rsid w:val="005076DD"/>
    <w:rsid w:val="005115B9"/>
    <w:rsid w:val="00517B29"/>
    <w:rsid w:val="0053312E"/>
    <w:rsid w:val="0053737D"/>
    <w:rsid w:val="0054181A"/>
    <w:rsid w:val="00551F6F"/>
    <w:rsid w:val="005646C4"/>
    <w:rsid w:val="00581B8C"/>
    <w:rsid w:val="00586DC7"/>
    <w:rsid w:val="005910C1"/>
    <w:rsid w:val="00592775"/>
    <w:rsid w:val="005C1000"/>
    <w:rsid w:val="005C2593"/>
    <w:rsid w:val="005C29BB"/>
    <w:rsid w:val="005C3D47"/>
    <w:rsid w:val="005C5960"/>
    <w:rsid w:val="005D4F8D"/>
    <w:rsid w:val="005E36EA"/>
    <w:rsid w:val="005E56F2"/>
    <w:rsid w:val="00603DF1"/>
    <w:rsid w:val="00615129"/>
    <w:rsid w:val="006153B6"/>
    <w:rsid w:val="0062326A"/>
    <w:rsid w:val="00623C28"/>
    <w:rsid w:val="006413DF"/>
    <w:rsid w:val="00650824"/>
    <w:rsid w:val="00654C30"/>
    <w:rsid w:val="00663717"/>
    <w:rsid w:val="00666779"/>
    <w:rsid w:val="0067664F"/>
    <w:rsid w:val="00685918"/>
    <w:rsid w:val="006B221D"/>
    <w:rsid w:val="006D115B"/>
    <w:rsid w:val="006E0BCB"/>
    <w:rsid w:val="006E3FAC"/>
    <w:rsid w:val="006E7683"/>
    <w:rsid w:val="00740F64"/>
    <w:rsid w:val="007422C6"/>
    <w:rsid w:val="00756A9F"/>
    <w:rsid w:val="007570CA"/>
    <w:rsid w:val="00757556"/>
    <w:rsid w:val="00776ACF"/>
    <w:rsid w:val="00784B23"/>
    <w:rsid w:val="007873FB"/>
    <w:rsid w:val="00791EE2"/>
    <w:rsid w:val="007A1211"/>
    <w:rsid w:val="007B7AF4"/>
    <w:rsid w:val="007C7564"/>
    <w:rsid w:val="007E0CD6"/>
    <w:rsid w:val="007E2D31"/>
    <w:rsid w:val="007E4ED8"/>
    <w:rsid w:val="00805B1E"/>
    <w:rsid w:val="0081474D"/>
    <w:rsid w:val="00822D6D"/>
    <w:rsid w:val="00827453"/>
    <w:rsid w:val="00842BED"/>
    <w:rsid w:val="00856EF9"/>
    <w:rsid w:val="00857042"/>
    <w:rsid w:val="00870963"/>
    <w:rsid w:val="008921F2"/>
    <w:rsid w:val="00892569"/>
    <w:rsid w:val="008926D3"/>
    <w:rsid w:val="00894793"/>
    <w:rsid w:val="00897A22"/>
    <w:rsid w:val="008A24DB"/>
    <w:rsid w:val="008C17E5"/>
    <w:rsid w:val="008C4599"/>
    <w:rsid w:val="008D165B"/>
    <w:rsid w:val="008E7E9F"/>
    <w:rsid w:val="008F4BC1"/>
    <w:rsid w:val="009319BF"/>
    <w:rsid w:val="00935060"/>
    <w:rsid w:val="00944DD8"/>
    <w:rsid w:val="00946E53"/>
    <w:rsid w:val="009512E5"/>
    <w:rsid w:val="0096052D"/>
    <w:rsid w:val="00971123"/>
    <w:rsid w:val="00991B25"/>
    <w:rsid w:val="009971B2"/>
    <w:rsid w:val="009B00E0"/>
    <w:rsid w:val="009B287E"/>
    <w:rsid w:val="009B6825"/>
    <w:rsid w:val="009C0B92"/>
    <w:rsid w:val="009E07D9"/>
    <w:rsid w:val="009E2FB5"/>
    <w:rsid w:val="009E4492"/>
    <w:rsid w:val="009F4F7F"/>
    <w:rsid w:val="00A05BA5"/>
    <w:rsid w:val="00A12C43"/>
    <w:rsid w:val="00A13219"/>
    <w:rsid w:val="00A14D5C"/>
    <w:rsid w:val="00A17AD4"/>
    <w:rsid w:val="00A230D6"/>
    <w:rsid w:val="00A3051F"/>
    <w:rsid w:val="00A35011"/>
    <w:rsid w:val="00A42786"/>
    <w:rsid w:val="00A732B8"/>
    <w:rsid w:val="00A732F2"/>
    <w:rsid w:val="00A7702A"/>
    <w:rsid w:val="00A95178"/>
    <w:rsid w:val="00AA2BC8"/>
    <w:rsid w:val="00AA3DA1"/>
    <w:rsid w:val="00AA4769"/>
    <w:rsid w:val="00AB489F"/>
    <w:rsid w:val="00AC67C5"/>
    <w:rsid w:val="00AD3706"/>
    <w:rsid w:val="00AE5ACB"/>
    <w:rsid w:val="00AF6708"/>
    <w:rsid w:val="00B0173A"/>
    <w:rsid w:val="00B15875"/>
    <w:rsid w:val="00B1670D"/>
    <w:rsid w:val="00B23C55"/>
    <w:rsid w:val="00B25E8D"/>
    <w:rsid w:val="00B3405F"/>
    <w:rsid w:val="00B3667E"/>
    <w:rsid w:val="00B36D27"/>
    <w:rsid w:val="00B4444A"/>
    <w:rsid w:val="00B44704"/>
    <w:rsid w:val="00B47551"/>
    <w:rsid w:val="00B54860"/>
    <w:rsid w:val="00B62A14"/>
    <w:rsid w:val="00B74898"/>
    <w:rsid w:val="00B75321"/>
    <w:rsid w:val="00B87740"/>
    <w:rsid w:val="00B9438D"/>
    <w:rsid w:val="00BA0F06"/>
    <w:rsid w:val="00BA3668"/>
    <w:rsid w:val="00BA4E1A"/>
    <w:rsid w:val="00BA529A"/>
    <w:rsid w:val="00BA5371"/>
    <w:rsid w:val="00BA6C7D"/>
    <w:rsid w:val="00BB7C02"/>
    <w:rsid w:val="00BF4B1C"/>
    <w:rsid w:val="00C333A3"/>
    <w:rsid w:val="00C3734B"/>
    <w:rsid w:val="00C37951"/>
    <w:rsid w:val="00C42A25"/>
    <w:rsid w:val="00C44DB5"/>
    <w:rsid w:val="00C46EE4"/>
    <w:rsid w:val="00C6053E"/>
    <w:rsid w:val="00C80EEC"/>
    <w:rsid w:val="00C84168"/>
    <w:rsid w:val="00C84DC7"/>
    <w:rsid w:val="00C9094B"/>
    <w:rsid w:val="00C90D02"/>
    <w:rsid w:val="00CA297C"/>
    <w:rsid w:val="00CC4202"/>
    <w:rsid w:val="00CD07B6"/>
    <w:rsid w:val="00CE66D2"/>
    <w:rsid w:val="00CF4AE1"/>
    <w:rsid w:val="00D13CDA"/>
    <w:rsid w:val="00D23DD3"/>
    <w:rsid w:val="00D32EBD"/>
    <w:rsid w:val="00D442A7"/>
    <w:rsid w:val="00D55A9D"/>
    <w:rsid w:val="00D631EA"/>
    <w:rsid w:val="00D6628B"/>
    <w:rsid w:val="00D73580"/>
    <w:rsid w:val="00D73C57"/>
    <w:rsid w:val="00D73E53"/>
    <w:rsid w:val="00D85AAF"/>
    <w:rsid w:val="00D9368C"/>
    <w:rsid w:val="00D94585"/>
    <w:rsid w:val="00DB723B"/>
    <w:rsid w:val="00DC6836"/>
    <w:rsid w:val="00DD6051"/>
    <w:rsid w:val="00DE465F"/>
    <w:rsid w:val="00DF3729"/>
    <w:rsid w:val="00E1249C"/>
    <w:rsid w:val="00E20E46"/>
    <w:rsid w:val="00E33C4F"/>
    <w:rsid w:val="00E418D6"/>
    <w:rsid w:val="00E42F49"/>
    <w:rsid w:val="00E466F3"/>
    <w:rsid w:val="00E61C00"/>
    <w:rsid w:val="00E653DC"/>
    <w:rsid w:val="00EB4A74"/>
    <w:rsid w:val="00EC084D"/>
    <w:rsid w:val="00EC5E56"/>
    <w:rsid w:val="00EC6A83"/>
    <w:rsid w:val="00ED1C53"/>
    <w:rsid w:val="00EF00DB"/>
    <w:rsid w:val="00F30C00"/>
    <w:rsid w:val="00F45871"/>
    <w:rsid w:val="00F737E2"/>
    <w:rsid w:val="00F75602"/>
    <w:rsid w:val="00F802D9"/>
    <w:rsid w:val="00F93D04"/>
    <w:rsid w:val="00F96314"/>
    <w:rsid w:val="00FA623B"/>
    <w:rsid w:val="00FD0EC6"/>
    <w:rsid w:val="00FE1A47"/>
    <w:rsid w:val="00FE4A51"/>
    <w:rsid w:val="00FF06C3"/>
    <w:rsid w:val="11EB035B"/>
    <w:rsid w:val="200FCD89"/>
    <w:rsid w:val="4743FBB9"/>
    <w:rsid w:val="567C6ED2"/>
    <w:rsid w:val="6FF5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B06FC"/>
  <w15:docId w15:val="{58746D82-6519-4F44-AB2E-DD96324F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991B25"/>
    <w:pPr>
      <w:ind w:left="720"/>
    </w:pPr>
  </w:style>
  <w:style w:type="paragraph" w:customStyle="1" w:styleId="Default">
    <w:name w:val="Default"/>
    <w:rsid w:val="009B6825"/>
    <w:pPr>
      <w:autoSpaceDE w:val="0"/>
      <w:autoSpaceDN w:val="0"/>
      <w:adjustRightInd w:val="0"/>
    </w:pPr>
    <w:rPr>
      <w:color w:val="000000"/>
      <w:sz w:val="24"/>
      <w:szCs w:val="24"/>
      <w:lang w:eastAsia="en-US"/>
    </w:rPr>
  </w:style>
  <w:style w:type="character" w:customStyle="1" w:styleId="BodyTextChar">
    <w:name w:val="Body Text Char"/>
    <w:link w:val="BodyText"/>
    <w:rsid w:val="000D37CD"/>
    <w:rPr>
      <w:sz w:val="24"/>
      <w:lang w:val="en-GB" w:eastAsia="en-US"/>
    </w:rPr>
  </w:style>
  <w:style w:type="character" w:styleId="CommentReference">
    <w:name w:val="annotation reference"/>
    <w:basedOn w:val="DefaultParagraphFont"/>
    <w:semiHidden/>
    <w:unhideWhenUsed/>
    <w:rsid w:val="00F45871"/>
    <w:rPr>
      <w:sz w:val="16"/>
      <w:szCs w:val="16"/>
    </w:rPr>
  </w:style>
  <w:style w:type="paragraph" w:styleId="CommentText">
    <w:name w:val="annotation text"/>
    <w:basedOn w:val="Normal"/>
    <w:link w:val="CommentTextChar"/>
    <w:semiHidden/>
    <w:unhideWhenUsed/>
    <w:rsid w:val="00F45871"/>
  </w:style>
  <w:style w:type="character" w:customStyle="1" w:styleId="CommentTextChar">
    <w:name w:val="Comment Text Char"/>
    <w:basedOn w:val="DefaultParagraphFont"/>
    <w:link w:val="CommentText"/>
    <w:semiHidden/>
    <w:rsid w:val="00F45871"/>
    <w:rPr>
      <w:lang w:eastAsia="en-US"/>
    </w:rPr>
  </w:style>
  <w:style w:type="paragraph" w:styleId="CommentSubject">
    <w:name w:val="annotation subject"/>
    <w:basedOn w:val="CommentText"/>
    <w:next w:val="CommentText"/>
    <w:link w:val="CommentSubjectChar"/>
    <w:semiHidden/>
    <w:unhideWhenUsed/>
    <w:rsid w:val="00F45871"/>
    <w:rPr>
      <w:b/>
      <w:bCs/>
    </w:rPr>
  </w:style>
  <w:style w:type="character" w:customStyle="1" w:styleId="CommentSubjectChar">
    <w:name w:val="Comment Subject Char"/>
    <w:basedOn w:val="CommentTextChar"/>
    <w:link w:val="CommentSubject"/>
    <w:semiHidden/>
    <w:rsid w:val="00F4587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4461">
      <w:bodyDiv w:val="1"/>
      <w:marLeft w:val="0"/>
      <w:marRight w:val="0"/>
      <w:marTop w:val="0"/>
      <w:marBottom w:val="0"/>
      <w:divBdr>
        <w:top w:val="none" w:sz="0" w:space="0" w:color="auto"/>
        <w:left w:val="none" w:sz="0" w:space="0" w:color="auto"/>
        <w:bottom w:val="none" w:sz="0" w:space="0" w:color="auto"/>
        <w:right w:val="none" w:sz="0" w:space="0" w:color="auto"/>
      </w:divBdr>
    </w:div>
    <w:div w:id="693380532">
      <w:bodyDiv w:val="1"/>
      <w:marLeft w:val="0"/>
      <w:marRight w:val="0"/>
      <w:marTop w:val="0"/>
      <w:marBottom w:val="0"/>
      <w:divBdr>
        <w:top w:val="none" w:sz="0" w:space="0" w:color="auto"/>
        <w:left w:val="none" w:sz="0" w:space="0" w:color="auto"/>
        <w:bottom w:val="none" w:sz="0" w:space="0" w:color="auto"/>
        <w:right w:val="none" w:sz="0" w:space="0" w:color="auto"/>
      </w:divBdr>
    </w:div>
    <w:div w:id="8982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lstdjoh</dc:creator>
  <cp:lastModifiedBy>Monique Delorme</cp:lastModifiedBy>
  <cp:revision>3</cp:revision>
  <cp:lastPrinted>2017-07-05T20:47:00Z</cp:lastPrinted>
  <dcterms:created xsi:type="dcterms:W3CDTF">2017-07-05T20:48:00Z</dcterms:created>
  <dcterms:modified xsi:type="dcterms:W3CDTF">2017-07-05T20:49:00Z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