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3115B" w14:textId="77777777" w:rsidR="00330096" w:rsidRPr="00672127" w:rsidRDefault="00330096" w:rsidP="005B3002">
      <w:pPr>
        <w:pStyle w:val="Header"/>
        <w:jc w:val="center"/>
        <w:outlineLvl w:val="0"/>
        <w:rPr>
          <w:rFonts w:ascii="Times New Roman" w:hAnsi="Times New Roman"/>
          <w:b/>
          <w:color w:val="2F5496" w:themeColor="accent1" w:themeShade="BF"/>
          <w:sz w:val="40"/>
          <w:szCs w:val="40"/>
        </w:rPr>
      </w:pPr>
      <w:r>
        <w:rPr>
          <w:rFonts w:ascii="Times New Roman" w:hAnsi="Times New Roman"/>
          <w:b/>
          <w:color w:val="2F5496" w:themeColor="accent1" w:themeShade="BF"/>
          <w:sz w:val="40"/>
          <w:szCs w:val="40"/>
        </w:rPr>
        <w:t>VOLATUS CAPITAL CORP</w:t>
      </w:r>
      <w:r w:rsidRPr="00672127">
        <w:rPr>
          <w:rFonts w:ascii="Times New Roman" w:hAnsi="Times New Roman"/>
          <w:b/>
          <w:color w:val="2F5496" w:themeColor="accent1" w:themeShade="BF"/>
          <w:sz w:val="40"/>
          <w:szCs w:val="40"/>
        </w:rPr>
        <w:t>.</w:t>
      </w:r>
    </w:p>
    <w:p w14:paraId="1FADD5A8" w14:textId="77777777" w:rsidR="00330096" w:rsidRDefault="00330096" w:rsidP="005B3002">
      <w:pPr>
        <w:pStyle w:val="Header"/>
        <w:jc w:val="center"/>
        <w:outlineLvl w:val="0"/>
        <w:rPr>
          <w:rFonts w:ascii="Times New Roman" w:hAnsi="Times New Roman"/>
          <w:b/>
          <w:sz w:val="28"/>
          <w:szCs w:val="28"/>
        </w:rPr>
      </w:pPr>
    </w:p>
    <w:p w14:paraId="6AEA62C6" w14:textId="77777777" w:rsidR="00330096" w:rsidRDefault="00330096" w:rsidP="005B3002">
      <w:pPr>
        <w:spacing w:after="0" w:line="240" w:lineRule="auto"/>
        <w:jc w:val="center"/>
        <w:rPr>
          <w:rFonts w:ascii="Times New Roman" w:hAnsi="Times New Roman"/>
          <w:b/>
          <w:color w:val="000000"/>
          <w:sz w:val="28"/>
          <w:szCs w:val="28"/>
          <w:lang w:eastAsia="en-CA"/>
        </w:rPr>
      </w:pPr>
      <w:r w:rsidRPr="0077308F">
        <w:rPr>
          <w:rFonts w:ascii="Times New Roman" w:hAnsi="Times New Roman"/>
          <w:b/>
          <w:color w:val="000000"/>
          <w:sz w:val="28"/>
          <w:szCs w:val="28"/>
          <w:lang w:eastAsia="en-CA"/>
        </w:rPr>
        <w:t>NEWS RELEASE</w:t>
      </w:r>
    </w:p>
    <w:p w14:paraId="3CDC307A" w14:textId="77777777" w:rsidR="00330096" w:rsidRPr="0077308F" w:rsidRDefault="00330096" w:rsidP="005B3002">
      <w:pPr>
        <w:spacing w:after="0" w:line="240" w:lineRule="auto"/>
        <w:jc w:val="center"/>
        <w:rPr>
          <w:rFonts w:ascii="Times New Roman" w:hAnsi="Times New Roman"/>
          <w:b/>
          <w:color w:val="000000"/>
          <w:sz w:val="28"/>
          <w:szCs w:val="28"/>
          <w:lang w:eastAsia="en-CA"/>
        </w:rPr>
      </w:pPr>
    </w:p>
    <w:p w14:paraId="0694224F" w14:textId="29A09F3A" w:rsidR="00175E96" w:rsidRPr="000560CD" w:rsidRDefault="00330096" w:rsidP="005B3002">
      <w:pPr>
        <w:jc w:val="center"/>
        <w:rPr>
          <w:rFonts w:ascii="Times New Roman" w:hAnsi="Times New Roman"/>
          <w:b/>
          <w:caps/>
          <w:color w:val="000000"/>
          <w:sz w:val="28"/>
          <w:szCs w:val="28"/>
          <w:lang w:eastAsia="en-CA"/>
        </w:rPr>
      </w:pPr>
      <w:r w:rsidRPr="00931EC8">
        <w:rPr>
          <w:rFonts w:ascii="Times New Roman" w:hAnsi="Times New Roman"/>
          <w:b/>
          <w:caps/>
          <w:color w:val="000000"/>
          <w:sz w:val="32"/>
          <w:szCs w:val="32"/>
          <w:lang w:eastAsia="en-CA"/>
        </w:rPr>
        <w:t xml:space="preserve">Volatus Capital Corp. </w:t>
      </w:r>
      <w:r w:rsidR="005A3403">
        <w:rPr>
          <w:rFonts w:ascii="Times New Roman" w:hAnsi="Times New Roman"/>
          <w:b/>
          <w:caps/>
          <w:color w:val="000000"/>
          <w:sz w:val="32"/>
          <w:szCs w:val="32"/>
          <w:lang w:eastAsia="en-CA"/>
        </w:rPr>
        <w:t>CLOSES</w:t>
      </w:r>
      <w:r w:rsidR="00A06171" w:rsidRPr="00931EC8">
        <w:rPr>
          <w:rFonts w:ascii="Times New Roman" w:hAnsi="Times New Roman"/>
          <w:b/>
          <w:caps/>
          <w:color w:val="000000"/>
          <w:sz w:val="32"/>
          <w:szCs w:val="32"/>
          <w:lang w:eastAsia="en-CA"/>
        </w:rPr>
        <w:t xml:space="preserve"> </w:t>
      </w:r>
      <w:r w:rsidR="005A3403">
        <w:rPr>
          <w:rFonts w:ascii="Times New Roman" w:hAnsi="Times New Roman"/>
          <w:b/>
          <w:caps/>
          <w:color w:val="000000"/>
          <w:sz w:val="32"/>
          <w:szCs w:val="32"/>
          <w:lang w:eastAsia="en-CA"/>
        </w:rPr>
        <w:t xml:space="preserve">PURCHASE OF </w:t>
      </w:r>
      <w:r w:rsidR="00BA6C86" w:rsidRPr="00BA6C86">
        <w:rPr>
          <w:rFonts w:ascii="Times New Roman" w:hAnsi="Times New Roman"/>
          <w:b/>
          <w:caps/>
          <w:color w:val="000000"/>
          <w:sz w:val="32"/>
          <w:szCs w:val="32"/>
          <w:lang w:eastAsia="en-CA"/>
        </w:rPr>
        <w:t>MagMetal Tech Pty Ltd.</w:t>
      </w:r>
      <w:r w:rsidR="00A20005">
        <w:rPr>
          <w:rFonts w:ascii="Times New Roman" w:hAnsi="Times New Roman"/>
          <w:b/>
          <w:caps/>
          <w:color w:val="000000"/>
          <w:sz w:val="32"/>
          <w:szCs w:val="32"/>
          <w:lang w:eastAsia="en-CA"/>
        </w:rPr>
        <w:t>;</w:t>
      </w:r>
      <w:r w:rsidR="00BA6C86">
        <w:rPr>
          <w:rFonts w:ascii="Times New Roman" w:hAnsi="Times New Roman"/>
          <w:b/>
          <w:caps/>
          <w:color w:val="000000"/>
          <w:sz w:val="32"/>
          <w:szCs w:val="32"/>
          <w:lang w:eastAsia="en-CA"/>
        </w:rPr>
        <w:t xml:space="preserve"> owner of </w:t>
      </w:r>
      <w:r w:rsidR="005A3403">
        <w:rPr>
          <w:rFonts w:ascii="Times New Roman" w:hAnsi="Times New Roman"/>
          <w:b/>
          <w:caps/>
          <w:color w:val="000000"/>
          <w:sz w:val="32"/>
          <w:szCs w:val="32"/>
          <w:lang w:eastAsia="en-CA"/>
        </w:rPr>
        <w:t>20% INTEREST IN LEIGH CREEK MAGNESITE PROJECT</w:t>
      </w:r>
    </w:p>
    <w:p w14:paraId="2A8543E0" w14:textId="4E084E65" w:rsidR="00134C0E" w:rsidRDefault="005A3403" w:rsidP="001F3E23">
      <w:pPr>
        <w:spacing w:after="160" w:line="259" w:lineRule="auto"/>
        <w:jc w:val="both"/>
        <w:rPr>
          <w:rFonts w:ascii="Arial" w:hAnsi="Arial" w:cs="Arial"/>
          <w:color w:val="000000" w:themeColor="text1"/>
        </w:rPr>
      </w:pPr>
      <w:r>
        <w:rPr>
          <w:rFonts w:ascii="Arial" w:hAnsi="Arial" w:cs="Arial"/>
          <w:b/>
        </w:rPr>
        <w:t>August</w:t>
      </w:r>
      <w:r w:rsidR="00330096" w:rsidRPr="00041499">
        <w:rPr>
          <w:rFonts w:ascii="Arial" w:hAnsi="Arial" w:cs="Arial"/>
          <w:b/>
        </w:rPr>
        <w:t xml:space="preserve"> </w:t>
      </w:r>
      <w:r w:rsidR="00BA6C86">
        <w:rPr>
          <w:rFonts w:ascii="Arial" w:hAnsi="Arial" w:cs="Arial"/>
          <w:b/>
        </w:rPr>
        <w:t>13</w:t>
      </w:r>
      <w:r w:rsidR="00175E96" w:rsidRPr="00041499">
        <w:rPr>
          <w:rFonts w:ascii="Arial" w:hAnsi="Arial" w:cs="Arial"/>
          <w:b/>
        </w:rPr>
        <w:t xml:space="preserve">, 2020: Vancouver, BC Canada - </w:t>
      </w:r>
      <w:r w:rsidR="00175E96" w:rsidRPr="00041499">
        <w:rPr>
          <w:rFonts w:ascii="Arial" w:hAnsi="Arial" w:cs="Arial"/>
          <w:b/>
          <w:bCs/>
        </w:rPr>
        <w:t>Volatus Capital Corp</w:t>
      </w:r>
      <w:r w:rsidR="00D82F19" w:rsidRPr="00041499">
        <w:rPr>
          <w:rFonts w:ascii="Arial" w:hAnsi="Arial" w:cs="Arial"/>
          <w:b/>
          <w:bCs/>
        </w:rPr>
        <w:t>.</w:t>
      </w:r>
      <w:r w:rsidR="00175E96" w:rsidRPr="00041499">
        <w:rPr>
          <w:rFonts w:ascii="Arial" w:hAnsi="Arial" w:cs="Arial"/>
          <w:b/>
          <w:bCs/>
        </w:rPr>
        <w:t xml:space="preserve"> </w:t>
      </w:r>
      <w:r w:rsidR="00175E96" w:rsidRPr="00041499">
        <w:rPr>
          <w:rFonts w:ascii="Arial" w:hAnsi="Arial" w:cs="Arial"/>
          <w:b/>
        </w:rPr>
        <w:t xml:space="preserve">(CSE: VC) </w:t>
      </w:r>
      <w:r w:rsidR="00175E96" w:rsidRPr="00041499">
        <w:rPr>
          <w:rFonts w:ascii="Arial" w:hAnsi="Arial" w:cs="Arial"/>
          <w:bCs/>
        </w:rPr>
        <w:t>(the “</w:t>
      </w:r>
      <w:r w:rsidR="00175E96" w:rsidRPr="00041499">
        <w:rPr>
          <w:rFonts w:ascii="Arial" w:hAnsi="Arial" w:cs="Arial"/>
          <w:b/>
        </w:rPr>
        <w:t>Company</w:t>
      </w:r>
      <w:r w:rsidR="00175E96" w:rsidRPr="00041499">
        <w:rPr>
          <w:rFonts w:ascii="Arial" w:hAnsi="Arial" w:cs="Arial"/>
          <w:bCs/>
        </w:rPr>
        <w:t>”)</w:t>
      </w:r>
      <w:r w:rsidR="00175E96" w:rsidRPr="00041499">
        <w:rPr>
          <w:rFonts w:ascii="Arial" w:hAnsi="Arial" w:cs="Arial"/>
        </w:rPr>
        <w:t xml:space="preserve"> </w:t>
      </w:r>
      <w:r w:rsidR="00F75ADE" w:rsidRPr="003161CC">
        <w:rPr>
          <w:rFonts w:ascii="Arial" w:hAnsi="Arial" w:cs="Arial"/>
          <w:color w:val="000000" w:themeColor="text1"/>
        </w:rPr>
        <w:t xml:space="preserve">has </w:t>
      </w:r>
      <w:r>
        <w:rPr>
          <w:rFonts w:ascii="Arial" w:hAnsi="Arial" w:cs="Arial"/>
          <w:color w:val="000000" w:themeColor="text1"/>
        </w:rPr>
        <w:t xml:space="preserve">closed the acquisition of </w:t>
      </w:r>
      <w:proofErr w:type="spellStart"/>
      <w:r>
        <w:rPr>
          <w:rFonts w:ascii="Arial" w:hAnsi="Arial" w:cs="Arial"/>
          <w:color w:val="000000" w:themeColor="text1"/>
        </w:rPr>
        <w:t>MagMetal</w:t>
      </w:r>
      <w:proofErr w:type="spellEnd"/>
      <w:r>
        <w:rPr>
          <w:rFonts w:ascii="Arial" w:hAnsi="Arial" w:cs="Arial"/>
          <w:color w:val="000000" w:themeColor="text1"/>
        </w:rPr>
        <w:t xml:space="preserve"> Tech Pty Ltd., which owns a 20% interest in the Leigh Creek Magnesite Pty. Ltd.</w:t>
      </w:r>
      <w:r w:rsidR="008846A9">
        <w:rPr>
          <w:rFonts w:ascii="Arial" w:hAnsi="Arial" w:cs="Arial"/>
          <w:color w:val="000000" w:themeColor="text1"/>
        </w:rPr>
        <w:t xml:space="preserve">  </w:t>
      </w:r>
    </w:p>
    <w:p w14:paraId="518FAD6A" w14:textId="28D38BC4" w:rsidR="008846A9" w:rsidRDefault="008846A9" w:rsidP="001F3E23">
      <w:pPr>
        <w:spacing w:after="160" w:line="259" w:lineRule="auto"/>
        <w:jc w:val="both"/>
        <w:rPr>
          <w:rFonts w:ascii="Arial" w:hAnsi="Arial" w:cs="Arial"/>
          <w:color w:val="000000" w:themeColor="text1"/>
        </w:rPr>
      </w:pPr>
      <w:r>
        <w:rPr>
          <w:rFonts w:ascii="Arial" w:hAnsi="Arial" w:cs="Arial"/>
          <w:color w:val="000000" w:themeColor="text1"/>
        </w:rPr>
        <w:t>Key Points:</w:t>
      </w:r>
    </w:p>
    <w:p w14:paraId="56A5A862" w14:textId="0D1F33D0" w:rsidR="008846A9" w:rsidRDefault="008846A9" w:rsidP="008846A9">
      <w:pPr>
        <w:pStyle w:val="ListParagraph"/>
        <w:numPr>
          <w:ilvl w:val="0"/>
          <w:numId w:val="13"/>
        </w:numPr>
        <w:spacing w:after="160" w:line="259" w:lineRule="auto"/>
        <w:jc w:val="both"/>
        <w:rPr>
          <w:rFonts w:ascii="Arial" w:hAnsi="Arial" w:cs="Arial"/>
          <w:color w:val="000000" w:themeColor="text1"/>
        </w:rPr>
      </w:pPr>
      <w:proofErr w:type="gramStart"/>
      <w:r>
        <w:rPr>
          <w:rFonts w:ascii="Arial" w:hAnsi="Arial" w:cs="Arial"/>
          <w:color w:val="000000" w:themeColor="text1"/>
        </w:rPr>
        <w:t>Globally-significant</w:t>
      </w:r>
      <w:proofErr w:type="gramEnd"/>
      <w:r>
        <w:rPr>
          <w:rFonts w:ascii="Arial" w:hAnsi="Arial" w:cs="Arial"/>
          <w:color w:val="000000" w:themeColor="text1"/>
        </w:rPr>
        <w:t xml:space="preserve"> magnesite resource</w:t>
      </w:r>
    </w:p>
    <w:p w14:paraId="01136CA3" w14:textId="4FE71E42" w:rsidR="008846A9" w:rsidRDefault="00603ED6" w:rsidP="008846A9">
      <w:pPr>
        <w:pStyle w:val="ListParagraph"/>
        <w:numPr>
          <w:ilvl w:val="0"/>
          <w:numId w:val="13"/>
        </w:numPr>
        <w:spacing w:after="160" w:line="259" w:lineRule="auto"/>
        <w:jc w:val="both"/>
        <w:rPr>
          <w:rFonts w:ascii="Arial" w:hAnsi="Arial" w:cs="Arial"/>
          <w:color w:val="000000" w:themeColor="text1"/>
        </w:rPr>
      </w:pPr>
      <w:r>
        <w:rPr>
          <w:rFonts w:ascii="Arial" w:hAnsi="Arial" w:cs="Arial"/>
          <w:color w:val="000000" w:themeColor="text1"/>
        </w:rPr>
        <w:t>Top-tier mining jurisdiction</w:t>
      </w:r>
    </w:p>
    <w:p w14:paraId="7080B93E" w14:textId="5109A4FD" w:rsidR="00603ED6" w:rsidRDefault="00603ED6" w:rsidP="008846A9">
      <w:pPr>
        <w:pStyle w:val="ListParagraph"/>
        <w:numPr>
          <w:ilvl w:val="0"/>
          <w:numId w:val="13"/>
        </w:numPr>
        <w:spacing w:after="160" w:line="259" w:lineRule="auto"/>
        <w:jc w:val="both"/>
        <w:rPr>
          <w:rFonts w:ascii="Arial" w:hAnsi="Arial" w:cs="Arial"/>
          <w:color w:val="000000" w:themeColor="text1"/>
        </w:rPr>
      </w:pPr>
      <w:r>
        <w:rPr>
          <w:rFonts w:ascii="Arial" w:hAnsi="Arial" w:cs="Arial"/>
          <w:color w:val="000000" w:themeColor="text1"/>
        </w:rPr>
        <w:t>Excellent logistics</w:t>
      </w:r>
    </w:p>
    <w:p w14:paraId="7A0B6FB9" w14:textId="0B4C3C35" w:rsidR="00603ED6" w:rsidRPr="008846A9" w:rsidRDefault="00603ED6" w:rsidP="008846A9">
      <w:pPr>
        <w:pStyle w:val="ListParagraph"/>
        <w:numPr>
          <w:ilvl w:val="0"/>
          <w:numId w:val="13"/>
        </w:numPr>
        <w:spacing w:after="160" w:line="259" w:lineRule="auto"/>
        <w:jc w:val="both"/>
        <w:rPr>
          <w:rFonts w:ascii="Arial" w:hAnsi="Arial" w:cs="Arial"/>
          <w:color w:val="000000" w:themeColor="text1"/>
        </w:rPr>
      </w:pPr>
      <w:r>
        <w:rPr>
          <w:rFonts w:ascii="Arial" w:hAnsi="Arial" w:cs="Arial"/>
          <w:color w:val="000000" w:themeColor="text1"/>
        </w:rPr>
        <w:t>Magnesium a key metal in the green economy</w:t>
      </w:r>
    </w:p>
    <w:p w14:paraId="4A7947B6" w14:textId="425EFC94" w:rsidR="005A3403" w:rsidRDefault="005A3403" w:rsidP="001F3E23">
      <w:pPr>
        <w:spacing w:after="160" w:line="259" w:lineRule="auto"/>
        <w:jc w:val="both"/>
        <w:rPr>
          <w:rFonts w:ascii="Arial" w:hAnsi="Arial" w:cs="Arial"/>
          <w:color w:val="000000" w:themeColor="text1"/>
        </w:rPr>
      </w:pPr>
      <w:r>
        <w:rPr>
          <w:rFonts w:ascii="Arial" w:hAnsi="Arial" w:cs="Arial"/>
          <w:color w:val="000000" w:themeColor="text1"/>
        </w:rPr>
        <w:t xml:space="preserve">The Leigh Creek Magnesite Project </w:t>
      </w:r>
      <w:proofErr w:type="gramStart"/>
      <w:r>
        <w:rPr>
          <w:rFonts w:ascii="Arial" w:hAnsi="Arial" w:cs="Arial"/>
          <w:color w:val="000000" w:themeColor="text1"/>
        </w:rPr>
        <w:t>is located in</w:t>
      </w:r>
      <w:proofErr w:type="gramEnd"/>
      <w:r>
        <w:rPr>
          <w:rFonts w:ascii="Arial" w:hAnsi="Arial" w:cs="Arial"/>
          <w:color w:val="000000" w:themeColor="text1"/>
        </w:rPr>
        <w:t xml:space="preserve"> </w:t>
      </w:r>
      <w:r w:rsidR="005C39A6">
        <w:rPr>
          <w:rFonts w:ascii="Arial" w:hAnsi="Arial" w:cs="Arial"/>
          <w:color w:val="000000" w:themeColor="text1"/>
        </w:rPr>
        <w:t xml:space="preserve">Leigh Creek Township, approximately 550 Km north of Adelaide in South Australia.  </w:t>
      </w:r>
      <w:r w:rsidR="006D7861">
        <w:rPr>
          <w:rFonts w:ascii="Arial" w:hAnsi="Arial" w:cs="Arial"/>
          <w:color w:val="000000" w:themeColor="text1"/>
        </w:rPr>
        <w:t xml:space="preserve">Consisting of 2 exploration licences, the Leigh Creek Magnesite Project is considered to be the world’s largest cryptocrystalline (small-grained) magnesite deposit, </w:t>
      </w:r>
      <w:r w:rsidR="00F96199" w:rsidRPr="00F96199">
        <w:rPr>
          <w:rFonts w:ascii="Arial" w:hAnsi="Arial" w:cs="Arial"/>
          <w:color w:val="000000" w:themeColor="text1"/>
        </w:rPr>
        <w:t>capable of making CCM (caustic calcined magnesia), DBM (dead burned magnesia) and EFM (electro fused magnesia) magnesia products, and magnesium metal</w:t>
      </w:r>
      <w:r w:rsidR="00F96199">
        <w:rPr>
          <w:rFonts w:ascii="Arial" w:hAnsi="Arial" w:cs="Arial"/>
          <w:color w:val="000000" w:themeColor="text1"/>
        </w:rPr>
        <w:t>.  The project has nearby spare kiln and port capacity, with multiple toll processing opportunities.</w:t>
      </w:r>
    </w:p>
    <w:p w14:paraId="2FE4B7CF" w14:textId="1B4E6E81" w:rsidR="00F96199" w:rsidRPr="00F96199" w:rsidRDefault="00F96199" w:rsidP="00ED3F38">
      <w:pPr>
        <w:spacing w:before="100" w:beforeAutospacing="1" w:after="100" w:afterAutospacing="1" w:line="240" w:lineRule="auto"/>
        <w:jc w:val="both"/>
        <w:rPr>
          <w:rFonts w:ascii="Arial" w:eastAsia="Times New Roman" w:hAnsi="Arial" w:cs="Arial"/>
          <w:lang w:val="en-US"/>
        </w:rPr>
      </w:pPr>
      <w:r w:rsidRPr="00F96199">
        <w:rPr>
          <w:rFonts w:ascii="Arial" w:eastAsia="Times New Roman" w:hAnsi="Arial" w:cs="Arial"/>
          <w:lang w:val="en-US"/>
        </w:rPr>
        <w:t xml:space="preserve">The Leigh Creek historical JORC resource estimate </w:t>
      </w:r>
      <w:r>
        <w:rPr>
          <w:rFonts w:ascii="Arial" w:eastAsia="Times New Roman" w:hAnsi="Arial" w:cs="Arial"/>
          <w:lang w:val="en-US"/>
        </w:rPr>
        <w:t xml:space="preserve">consists </w:t>
      </w:r>
      <w:r w:rsidRPr="00F96199">
        <w:rPr>
          <w:rFonts w:ascii="Arial" w:eastAsia="Times New Roman" w:hAnsi="Arial" w:cs="Arial"/>
          <w:lang w:val="en-US"/>
        </w:rPr>
        <w:t xml:space="preserve">of 16 million </w:t>
      </w:r>
      <w:proofErr w:type="spellStart"/>
      <w:r w:rsidRPr="00F96199">
        <w:rPr>
          <w:rFonts w:ascii="Arial" w:eastAsia="Times New Roman" w:hAnsi="Arial" w:cs="Arial"/>
          <w:lang w:val="en-US"/>
        </w:rPr>
        <w:t>tonnes</w:t>
      </w:r>
      <w:proofErr w:type="spellEnd"/>
      <w:r w:rsidRPr="00F96199">
        <w:rPr>
          <w:rFonts w:ascii="Arial" w:eastAsia="Times New Roman" w:hAnsi="Arial" w:cs="Arial"/>
          <w:lang w:val="en-US"/>
        </w:rPr>
        <w:t xml:space="preserve"> measured, 113.5 million </w:t>
      </w:r>
      <w:proofErr w:type="spellStart"/>
      <w:r w:rsidRPr="00F96199">
        <w:rPr>
          <w:rFonts w:ascii="Arial" w:eastAsia="Times New Roman" w:hAnsi="Arial" w:cs="Arial"/>
          <w:lang w:val="en-US"/>
        </w:rPr>
        <w:t>tonnes</w:t>
      </w:r>
      <w:proofErr w:type="spellEnd"/>
      <w:r w:rsidRPr="00F96199">
        <w:rPr>
          <w:rFonts w:ascii="Arial" w:eastAsia="Times New Roman" w:hAnsi="Arial" w:cs="Arial"/>
          <w:lang w:val="en-US"/>
        </w:rPr>
        <w:t xml:space="preserve"> indicated and 106 million </w:t>
      </w:r>
      <w:proofErr w:type="spellStart"/>
      <w:r w:rsidRPr="00F96199">
        <w:rPr>
          <w:rFonts w:ascii="Arial" w:eastAsia="Times New Roman" w:hAnsi="Arial" w:cs="Arial"/>
          <w:lang w:val="en-US"/>
        </w:rPr>
        <w:t>tonnes</w:t>
      </w:r>
      <w:proofErr w:type="spellEnd"/>
      <w:r w:rsidRPr="00F96199">
        <w:rPr>
          <w:rFonts w:ascii="Arial" w:eastAsia="Times New Roman" w:hAnsi="Arial" w:cs="Arial"/>
          <w:lang w:val="en-US"/>
        </w:rPr>
        <w:t xml:space="preserve"> inferred (see table included herein)</w:t>
      </w:r>
      <w:r>
        <w:rPr>
          <w:rFonts w:ascii="Arial" w:eastAsia="Times New Roman" w:hAnsi="Arial" w:cs="Arial"/>
          <w:lang w:val="en-US"/>
        </w:rPr>
        <w:t xml:space="preserve">. </w:t>
      </w:r>
      <w:r w:rsidRPr="00F96199">
        <w:rPr>
          <w:rFonts w:ascii="Arial" w:eastAsia="Times New Roman" w:hAnsi="Arial" w:cs="Arial"/>
          <w:lang w:val="en-US"/>
        </w:rPr>
        <w:t xml:space="preserve">The historical JORC resource estimate was completed for Archer Exploration Ltd. </w:t>
      </w:r>
      <w:proofErr w:type="gramStart"/>
      <w:r w:rsidRPr="00F96199">
        <w:rPr>
          <w:rFonts w:ascii="Arial" w:eastAsia="Times New Roman" w:hAnsi="Arial" w:cs="Arial"/>
          <w:lang w:val="en-US"/>
        </w:rPr>
        <w:t>in</w:t>
      </w:r>
      <w:proofErr w:type="gramEnd"/>
      <w:r w:rsidRPr="00F96199">
        <w:rPr>
          <w:rFonts w:ascii="Arial" w:eastAsia="Times New Roman" w:hAnsi="Arial" w:cs="Arial"/>
          <w:lang w:val="en-US"/>
        </w:rPr>
        <w:t xml:space="preserve"> April 12, 2016. The company's qualified person has not done sufficient work to classify the historical estimate as a current mineral resource or mineral reserve, and the company is not treating the historical estimate as current mineral resources or mineral reserves. </w:t>
      </w:r>
    </w:p>
    <w:p w14:paraId="746C47AE" w14:textId="0545B5FF" w:rsidR="00F96199" w:rsidRDefault="00F96199" w:rsidP="00ED3F38">
      <w:pPr>
        <w:spacing w:before="100" w:beforeAutospacing="1" w:after="100" w:afterAutospacing="1" w:line="240" w:lineRule="auto"/>
        <w:jc w:val="both"/>
        <w:rPr>
          <w:rFonts w:ascii="Arial" w:eastAsia="Times New Roman" w:hAnsi="Arial" w:cs="Arial"/>
          <w:lang w:val="en-US"/>
        </w:rPr>
      </w:pPr>
      <w:r w:rsidRPr="00F96199">
        <w:rPr>
          <w:rFonts w:ascii="Arial" w:eastAsia="Times New Roman" w:hAnsi="Arial" w:cs="Arial"/>
          <w:lang w:val="en-US"/>
        </w:rPr>
        <w:t>The included table is derived from the April 12, 2016, Archer Exploration JORC resource.</w:t>
      </w:r>
    </w:p>
    <w:tbl>
      <w:tblPr>
        <w:tblpPr w:leftFromText="180" w:rightFromText="180" w:bottomFromText="115" w:vertAnchor="text" w:horzAnchor="margin" w:tblpXSpec="center" w:tblpY="274"/>
        <w:tblW w:w="7835" w:type="dxa"/>
        <w:tblCellMar>
          <w:left w:w="0" w:type="dxa"/>
          <w:right w:w="0" w:type="dxa"/>
        </w:tblCellMar>
        <w:tblLook w:val="04A0" w:firstRow="1" w:lastRow="0" w:firstColumn="1" w:lastColumn="0" w:noHBand="0" w:noVBand="1"/>
      </w:tblPr>
      <w:tblGrid>
        <w:gridCol w:w="2390"/>
        <w:gridCol w:w="1197"/>
        <w:gridCol w:w="1134"/>
        <w:gridCol w:w="1134"/>
        <w:gridCol w:w="1080"/>
        <w:gridCol w:w="900"/>
      </w:tblGrid>
      <w:tr w:rsidR="00FD1953" w14:paraId="30F5E43B" w14:textId="77777777" w:rsidTr="00045D0D">
        <w:trPr>
          <w:trHeight w:val="285"/>
        </w:trPr>
        <w:tc>
          <w:tcPr>
            <w:tcW w:w="2390" w:type="dxa"/>
            <w:tcBorders>
              <w:top w:val="single" w:sz="8" w:space="0" w:color="auto"/>
              <w:left w:val="single" w:sz="8" w:space="0" w:color="auto"/>
              <w:bottom w:val="single" w:sz="8" w:space="0" w:color="auto"/>
              <w:right w:val="single" w:sz="8" w:space="0" w:color="auto"/>
            </w:tcBorders>
            <w:shd w:val="clear" w:color="auto" w:fill="E2EFD9" w:themeFill="accent6" w:themeFillTint="33"/>
            <w:noWrap/>
            <w:tcMar>
              <w:top w:w="0" w:type="dxa"/>
              <w:left w:w="108" w:type="dxa"/>
              <w:bottom w:w="0" w:type="dxa"/>
              <w:right w:w="108" w:type="dxa"/>
            </w:tcMar>
            <w:vAlign w:val="center"/>
            <w:hideMark/>
          </w:tcPr>
          <w:p w14:paraId="309F9ED6" w14:textId="77777777" w:rsidR="00FD1953" w:rsidRPr="00C738BB" w:rsidRDefault="00FD1953" w:rsidP="00045D0D">
            <w:pPr>
              <w:spacing w:after="0" w:line="240" w:lineRule="auto"/>
              <w:jc w:val="center"/>
              <w:rPr>
                <w:b/>
              </w:rPr>
            </w:pPr>
            <w:r w:rsidRPr="00C738BB">
              <w:rPr>
                <w:b/>
                <w:color w:val="000000"/>
                <w:lang w:eastAsia="en-CA"/>
              </w:rPr>
              <w:t xml:space="preserve">Area </w:t>
            </w:r>
          </w:p>
        </w:tc>
        <w:tc>
          <w:tcPr>
            <w:tcW w:w="1197" w:type="dxa"/>
            <w:tcBorders>
              <w:top w:val="single" w:sz="8" w:space="0" w:color="auto"/>
              <w:left w:val="nil"/>
              <w:bottom w:val="single" w:sz="8" w:space="0" w:color="auto"/>
              <w:right w:val="single" w:sz="8" w:space="0" w:color="auto"/>
            </w:tcBorders>
            <w:shd w:val="clear" w:color="auto" w:fill="E2EFD9" w:themeFill="accent6" w:themeFillTint="33"/>
            <w:noWrap/>
            <w:tcMar>
              <w:top w:w="0" w:type="dxa"/>
              <w:left w:w="108" w:type="dxa"/>
              <w:bottom w:w="0" w:type="dxa"/>
              <w:right w:w="108" w:type="dxa"/>
            </w:tcMar>
            <w:vAlign w:val="center"/>
            <w:hideMark/>
          </w:tcPr>
          <w:p w14:paraId="769D472A" w14:textId="77777777" w:rsidR="00FD1953" w:rsidRPr="00C738BB" w:rsidRDefault="00FD1953" w:rsidP="00045D0D">
            <w:pPr>
              <w:spacing w:after="0" w:line="240" w:lineRule="auto"/>
              <w:jc w:val="center"/>
              <w:rPr>
                <w:b/>
              </w:rPr>
            </w:pPr>
            <w:r w:rsidRPr="00C738BB">
              <w:rPr>
                <w:b/>
                <w:color w:val="000000"/>
                <w:lang w:eastAsia="en-CA"/>
              </w:rPr>
              <w:t>Measured</w:t>
            </w:r>
            <w:r w:rsidRPr="00C738BB">
              <w:rPr>
                <w:b/>
                <w:color w:val="000000"/>
                <w:lang w:eastAsia="en-CA"/>
              </w:rPr>
              <w:br/>
              <w:t>(Mt)</w:t>
            </w:r>
          </w:p>
        </w:tc>
        <w:tc>
          <w:tcPr>
            <w:tcW w:w="1134" w:type="dxa"/>
            <w:tcBorders>
              <w:top w:val="single" w:sz="8" w:space="0" w:color="auto"/>
              <w:left w:val="nil"/>
              <w:bottom w:val="single" w:sz="8" w:space="0" w:color="auto"/>
              <w:right w:val="single" w:sz="8" w:space="0" w:color="auto"/>
            </w:tcBorders>
            <w:shd w:val="clear" w:color="auto" w:fill="E2EFD9" w:themeFill="accent6" w:themeFillTint="33"/>
            <w:noWrap/>
            <w:tcMar>
              <w:top w:w="0" w:type="dxa"/>
              <w:left w:w="108" w:type="dxa"/>
              <w:bottom w:w="0" w:type="dxa"/>
              <w:right w:w="108" w:type="dxa"/>
            </w:tcMar>
            <w:vAlign w:val="center"/>
            <w:hideMark/>
          </w:tcPr>
          <w:p w14:paraId="0AC004C8" w14:textId="77777777" w:rsidR="00FD1953" w:rsidRPr="00C738BB" w:rsidRDefault="00FD1953" w:rsidP="00045D0D">
            <w:pPr>
              <w:spacing w:after="0" w:line="240" w:lineRule="auto"/>
              <w:jc w:val="center"/>
              <w:rPr>
                <w:b/>
              </w:rPr>
            </w:pPr>
            <w:r w:rsidRPr="00C738BB">
              <w:rPr>
                <w:b/>
                <w:color w:val="000000"/>
                <w:lang w:eastAsia="en-CA"/>
              </w:rPr>
              <w:t>Indicated</w:t>
            </w:r>
            <w:r w:rsidRPr="00C738BB">
              <w:rPr>
                <w:b/>
                <w:color w:val="000000"/>
                <w:lang w:eastAsia="en-CA"/>
              </w:rPr>
              <w:br/>
              <w:t>(Mt)</w:t>
            </w:r>
          </w:p>
        </w:tc>
        <w:tc>
          <w:tcPr>
            <w:tcW w:w="1134" w:type="dxa"/>
            <w:tcBorders>
              <w:top w:val="single" w:sz="8" w:space="0" w:color="auto"/>
              <w:left w:val="nil"/>
              <w:bottom w:val="single" w:sz="8" w:space="0" w:color="auto"/>
              <w:right w:val="single" w:sz="8" w:space="0" w:color="auto"/>
            </w:tcBorders>
            <w:shd w:val="clear" w:color="auto" w:fill="E2EFD9" w:themeFill="accent6" w:themeFillTint="33"/>
            <w:noWrap/>
            <w:tcMar>
              <w:top w:w="0" w:type="dxa"/>
              <w:left w:w="108" w:type="dxa"/>
              <w:bottom w:w="0" w:type="dxa"/>
              <w:right w:w="108" w:type="dxa"/>
            </w:tcMar>
            <w:vAlign w:val="center"/>
            <w:hideMark/>
          </w:tcPr>
          <w:p w14:paraId="03841D24" w14:textId="77777777" w:rsidR="00FD1953" w:rsidRPr="00C738BB" w:rsidRDefault="00FD1953" w:rsidP="00045D0D">
            <w:pPr>
              <w:spacing w:after="0" w:line="240" w:lineRule="auto"/>
              <w:jc w:val="center"/>
              <w:rPr>
                <w:b/>
              </w:rPr>
            </w:pPr>
            <w:r w:rsidRPr="00C738BB">
              <w:rPr>
                <w:b/>
                <w:color w:val="000000"/>
                <w:lang w:eastAsia="en-CA"/>
              </w:rPr>
              <w:t>Inferred</w:t>
            </w:r>
            <w:r w:rsidRPr="00C738BB">
              <w:rPr>
                <w:b/>
                <w:color w:val="000000"/>
                <w:lang w:eastAsia="en-CA"/>
              </w:rPr>
              <w:br/>
              <w:t>(Mt)</w:t>
            </w:r>
          </w:p>
        </w:tc>
        <w:tc>
          <w:tcPr>
            <w:tcW w:w="1080" w:type="dxa"/>
            <w:tcBorders>
              <w:top w:val="single" w:sz="8" w:space="0" w:color="auto"/>
              <w:left w:val="nil"/>
              <w:bottom w:val="single" w:sz="8" w:space="0" w:color="auto"/>
              <w:right w:val="single" w:sz="8" w:space="0" w:color="auto"/>
            </w:tcBorders>
            <w:shd w:val="clear" w:color="auto" w:fill="E2EFD9" w:themeFill="accent6" w:themeFillTint="33"/>
            <w:noWrap/>
            <w:tcMar>
              <w:top w:w="0" w:type="dxa"/>
              <w:left w:w="108" w:type="dxa"/>
              <w:bottom w:w="0" w:type="dxa"/>
              <w:right w:w="108" w:type="dxa"/>
            </w:tcMar>
            <w:vAlign w:val="center"/>
            <w:hideMark/>
          </w:tcPr>
          <w:p w14:paraId="7E5E8F31" w14:textId="77777777" w:rsidR="00FD1953" w:rsidRPr="00C738BB" w:rsidRDefault="00FD1953" w:rsidP="00045D0D">
            <w:pPr>
              <w:spacing w:after="0" w:line="240" w:lineRule="auto"/>
              <w:jc w:val="center"/>
              <w:rPr>
                <w:b/>
              </w:rPr>
            </w:pPr>
            <w:r w:rsidRPr="00C738BB">
              <w:rPr>
                <w:b/>
                <w:color w:val="000000"/>
                <w:lang w:eastAsia="en-CA"/>
              </w:rPr>
              <w:t>Total</w:t>
            </w:r>
            <w:r w:rsidRPr="00C738BB">
              <w:rPr>
                <w:b/>
                <w:color w:val="000000"/>
                <w:lang w:eastAsia="en-CA"/>
              </w:rPr>
              <w:br/>
              <w:t>(Mt)</w:t>
            </w:r>
          </w:p>
        </w:tc>
        <w:tc>
          <w:tcPr>
            <w:tcW w:w="900" w:type="dxa"/>
            <w:tcBorders>
              <w:top w:val="single" w:sz="8" w:space="0" w:color="auto"/>
              <w:left w:val="nil"/>
              <w:bottom w:val="single" w:sz="8" w:space="0" w:color="auto"/>
              <w:right w:val="single" w:sz="8" w:space="0" w:color="auto"/>
            </w:tcBorders>
            <w:shd w:val="clear" w:color="auto" w:fill="E2EFD9" w:themeFill="accent6" w:themeFillTint="33"/>
            <w:tcMar>
              <w:top w:w="0" w:type="dxa"/>
              <w:left w:w="108" w:type="dxa"/>
              <w:bottom w:w="0" w:type="dxa"/>
              <w:right w:w="108" w:type="dxa"/>
            </w:tcMar>
            <w:vAlign w:val="center"/>
            <w:hideMark/>
          </w:tcPr>
          <w:p w14:paraId="0CA855F2" w14:textId="77777777" w:rsidR="00FD1953" w:rsidRPr="00C738BB" w:rsidRDefault="00FD1953" w:rsidP="00045D0D">
            <w:pPr>
              <w:spacing w:after="0" w:line="240" w:lineRule="auto"/>
              <w:jc w:val="center"/>
              <w:rPr>
                <w:b/>
              </w:rPr>
            </w:pPr>
            <w:r w:rsidRPr="00C738BB">
              <w:rPr>
                <w:b/>
                <w:color w:val="000000"/>
                <w:lang w:eastAsia="en-CA"/>
              </w:rPr>
              <w:t>MgO (%)</w:t>
            </w:r>
          </w:p>
        </w:tc>
      </w:tr>
      <w:tr w:rsidR="00FD1953" w14:paraId="33D4ED5A" w14:textId="77777777" w:rsidTr="00045D0D">
        <w:trPr>
          <w:trHeight w:val="285"/>
        </w:trPr>
        <w:tc>
          <w:tcPr>
            <w:tcW w:w="23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4417191" w14:textId="77777777" w:rsidR="00FD1953" w:rsidRDefault="00FD1953" w:rsidP="00045D0D">
            <w:pPr>
              <w:spacing w:after="0" w:line="240" w:lineRule="auto"/>
              <w:jc w:val="center"/>
            </w:pPr>
            <w:r>
              <w:rPr>
                <w:color w:val="000000"/>
                <w:lang w:eastAsia="en-CA"/>
              </w:rPr>
              <w:t xml:space="preserve">Mount Hutton Central </w:t>
            </w:r>
          </w:p>
        </w:tc>
        <w:tc>
          <w:tcPr>
            <w:tcW w:w="11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DAEA21D" w14:textId="77777777" w:rsidR="00FD1953" w:rsidRDefault="00FD1953" w:rsidP="00045D0D">
            <w:pPr>
              <w:spacing w:after="0" w:line="240" w:lineRule="auto"/>
              <w:jc w:val="center"/>
            </w:pPr>
            <w:r>
              <w:rPr>
                <w:color w:val="000000"/>
                <w:lang w:eastAsia="en-CA"/>
              </w:rPr>
              <w:t>12.0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F8E1596" w14:textId="77777777" w:rsidR="00FD1953" w:rsidRDefault="00FD1953" w:rsidP="00045D0D">
            <w:pPr>
              <w:spacing w:after="0" w:line="240" w:lineRule="auto"/>
              <w:jc w:val="center"/>
            </w:pPr>
            <w:r>
              <w:rPr>
                <w:color w:val="000000"/>
                <w:lang w:eastAsia="en-CA"/>
              </w:rPr>
              <w:t>5.5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8DF20A4" w14:textId="77777777" w:rsidR="00FD1953" w:rsidRDefault="00FD1953" w:rsidP="00045D0D">
            <w:pPr>
              <w:spacing w:after="0" w:line="240" w:lineRule="auto"/>
              <w:jc w:val="center"/>
            </w:pPr>
            <w:r>
              <w:rPr>
                <w:color w:val="000000"/>
                <w:lang w:eastAsia="en-CA"/>
              </w:rPr>
              <w:t>0.0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2F404E0" w14:textId="77777777" w:rsidR="00FD1953" w:rsidRDefault="00FD1953" w:rsidP="00045D0D">
            <w:pPr>
              <w:spacing w:after="0" w:line="240" w:lineRule="auto"/>
              <w:jc w:val="center"/>
            </w:pPr>
            <w:r>
              <w:rPr>
                <w:color w:val="000000"/>
                <w:lang w:eastAsia="en-CA"/>
              </w:rPr>
              <w:t>17.5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6BE249" w14:textId="77777777" w:rsidR="00FD1953" w:rsidRDefault="00FD1953" w:rsidP="00045D0D">
            <w:pPr>
              <w:spacing w:after="0" w:line="240" w:lineRule="auto"/>
              <w:jc w:val="center"/>
            </w:pPr>
            <w:r>
              <w:rPr>
                <w:color w:val="000000"/>
                <w:lang w:eastAsia="en-CA"/>
              </w:rPr>
              <w:t>40.1</w:t>
            </w:r>
          </w:p>
        </w:tc>
      </w:tr>
      <w:tr w:rsidR="00FD1953" w14:paraId="66385BB9" w14:textId="77777777" w:rsidTr="00045D0D">
        <w:trPr>
          <w:trHeight w:val="285"/>
        </w:trPr>
        <w:tc>
          <w:tcPr>
            <w:tcW w:w="23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AA25F94" w14:textId="77777777" w:rsidR="00FD1953" w:rsidRDefault="00FD1953" w:rsidP="00045D0D">
            <w:pPr>
              <w:spacing w:after="0" w:line="240" w:lineRule="auto"/>
              <w:jc w:val="center"/>
            </w:pPr>
            <w:r>
              <w:rPr>
                <w:color w:val="000000"/>
                <w:lang w:eastAsia="en-CA"/>
              </w:rPr>
              <w:t>Mount Hutton South</w:t>
            </w:r>
          </w:p>
        </w:tc>
        <w:tc>
          <w:tcPr>
            <w:tcW w:w="11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23967FE" w14:textId="77777777" w:rsidR="00FD1953" w:rsidRDefault="00FD1953" w:rsidP="00045D0D">
            <w:pPr>
              <w:spacing w:after="0" w:line="240" w:lineRule="auto"/>
              <w:jc w:val="center"/>
            </w:pPr>
            <w:r>
              <w:rPr>
                <w:color w:val="000000"/>
                <w:lang w:eastAsia="en-CA"/>
              </w:rPr>
              <w:t>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F5729BB" w14:textId="77777777" w:rsidR="00FD1953" w:rsidRDefault="00FD1953" w:rsidP="00045D0D">
            <w:pPr>
              <w:spacing w:after="0" w:line="240" w:lineRule="auto"/>
              <w:jc w:val="center"/>
            </w:pPr>
            <w:r>
              <w:rPr>
                <w:color w:val="000000"/>
                <w:lang w:eastAsia="en-CA"/>
              </w:rPr>
              <w:t>72.0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DE8B617" w14:textId="77777777" w:rsidR="00FD1953" w:rsidRDefault="00FD1953" w:rsidP="00045D0D">
            <w:pPr>
              <w:spacing w:after="0" w:line="240" w:lineRule="auto"/>
              <w:jc w:val="center"/>
            </w:pPr>
            <w:r>
              <w:rPr>
                <w:color w:val="000000"/>
                <w:lang w:eastAsia="en-CA"/>
              </w:rPr>
              <w:t>53.0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39E4AF3" w14:textId="77777777" w:rsidR="00FD1953" w:rsidRDefault="00FD1953" w:rsidP="00045D0D">
            <w:pPr>
              <w:spacing w:after="0" w:line="240" w:lineRule="auto"/>
              <w:jc w:val="center"/>
            </w:pPr>
            <w:r>
              <w:rPr>
                <w:color w:val="000000"/>
                <w:lang w:eastAsia="en-CA"/>
              </w:rPr>
              <w:t>125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AAE27C3" w14:textId="77777777" w:rsidR="00FD1953" w:rsidRDefault="00FD1953" w:rsidP="00045D0D">
            <w:pPr>
              <w:spacing w:after="0" w:line="240" w:lineRule="auto"/>
              <w:jc w:val="center"/>
            </w:pPr>
            <w:r>
              <w:rPr>
                <w:color w:val="000000"/>
                <w:lang w:eastAsia="en-CA"/>
              </w:rPr>
              <w:t>42.9</w:t>
            </w:r>
          </w:p>
        </w:tc>
      </w:tr>
      <w:tr w:rsidR="00FD1953" w14:paraId="6026ACB6" w14:textId="77777777" w:rsidTr="00045D0D">
        <w:trPr>
          <w:trHeight w:val="285"/>
        </w:trPr>
        <w:tc>
          <w:tcPr>
            <w:tcW w:w="23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B23BA07" w14:textId="77777777" w:rsidR="00FD1953" w:rsidRDefault="00FD1953" w:rsidP="00045D0D">
            <w:pPr>
              <w:spacing w:after="0" w:line="240" w:lineRule="auto"/>
              <w:jc w:val="center"/>
            </w:pPr>
            <w:r>
              <w:rPr>
                <w:color w:val="000000"/>
                <w:lang w:eastAsia="en-CA"/>
              </w:rPr>
              <w:t>Mount Playfair</w:t>
            </w:r>
          </w:p>
        </w:tc>
        <w:tc>
          <w:tcPr>
            <w:tcW w:w="11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4A44EA6" w14:textId="77777777" w:rsidR="00FD1953" w:rsidRDefault="00FD1953" w:rsidP="00045D0D">
            <w:pPr>
              <w:spacing w:after="0" w:line="240" w:lineRule="auto"/>
              <w:jc w:val="center"/>
            </w:pPr>
            <w:r>
              <w:rPr>
                <w:color w:val="000000"/>
                <w:lang w:eastAsia="en-CA"/>
              </w:rPr>
              <w:t>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E6A014E" w14:textId="77777777" w:rsidR="00FD1953" w:rsidRDefault="00FD1953" w:rsidP="00045D0D">
            <w:pPr>
              <w:spacing w:after="0" w:line="240" w:lineRule="auto"/>
              <w:jc w:val="center"/>
            </w:pPr>
            <w:r>
              <w:rPr>
                <w:color w:val="000000"/>
                <w:lang w:eastAsia="en-CA"/>
              </w:rPr>
              <w:t>21.0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3C106B8" w14:textId="77777777" w:rsidR="00FD1953" w:rsidRDefault="00FD1953" w:rsidP="00045D0D">
            <w:pPr>
              <w:spacing w:after="0" w:line="240" w:lineRule="auto"/>
              <w:jc w:val="center"/>
            </w:pPr>
            <w:r>
              <w:rPr>
                <w:color w:val="000000"/>
                <w:lang w:eastAsia="en-CA"/>
              </w:rPr>
              <w:t>23.0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F2BA493" w14:textId="77777777" w:rsidR="00FD1953" w:rsidRDefault="00FD1953" w:rsidP="00045D0D">
            <w:pPr>
              <w:spacing w:after="0" w:line="240" w:lineRule="auto"/>
              <w:jc w:val="center"/>
            </w:pPr>
            <w:r>
              <w:rPr>
                <w:color w:val="000000"/>
                <w:lang w:eastAsia="en-CA"/>
              </w:rPr>
              <w:t>44</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556C40" w14:textId="77777777" w:rsidR="00FD1953" w:rsidRDefault="00FD1953" w:rsidP="00045D0D">
            <w:pPr>
              <w:spacing w:after="0" w:line="240" w:lineRule="auto"/>
              <w:jc w:val="center"/>
            </w:pPr>
            <w:r>
              <w:rPr>
                <w:color w:val="000000"/>
                <w:lang w:eastAsia="en-CA"/>
              </w:rPr>
              <w:t>42.5</w:t>
            </w:r>
          </w:p>
        </w:tc>
      </w:tr>
      <w:tr w:rsidR="00FD1953" w14:paraId="6FB818AD" w14:textId="77777777" w:rsidTr="00045D0D">
        <w:trPr>
          <w:trHeight w:val="285"/>
        </w:trPr>
        <w:tc>
          <w:tcPr>
            <w:tcW w:w="23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6BCBDAD" w14:textId="77777777" w:rsidR="00FD1953" w:rsidRDefault="00FD1953" w:rsidP="00045D0D">
            <w:pPr>
              <w:spacing w:after="0" w:line="240" w:lineRule="auto"/>
              <w:jc w:val="center"/>
            </w:pPr>
            <w:r>
              <w:rPr>
                <w:color w:val="000000"/>
                <w:lang w:eastAsia="en-CA"/>
              </w:rPr>
              <w:t>Pug Hill</w:t>
            </w:r>
          </w:p>
        </w:tc>
        <w:tc>
          <w:tcPr>
            <w:tcW w:w="11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1C55D7A" w14:textId="77777777" w:rsidR="00FD1953" w:rsidRDefault="00FD1953" w:rsidP="00045D0D">
            <w:pPr>
              <w:spacing w:after="0" w:line="240" w:lineRule="auto"/>
              <w:jc w:val="center"/>
            </w:pPr>
            <w:r>
              <w:rPr>
                <w:color w:val="000000"/>
                <w:lang w:eastAsia="en-CA"/>
              </w:rPr>
              <w:t>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BA0040A" w14:textId="77777777" w:rsidR="00FD1953" w:rsidRDefault="00FD1953" w:rsidP="00045D0D">
            <w:pPr>
              <w:spacing w:after="0" w:line="240" w:lineRule="auto"/>
              <w:jc w:val="center"/>
            </w:pPr>
            <w:r>
              <w:rPr>
                <w:color w:val="000000"/>
                <w:lang w:eastAsia="en-CA"/>
              </w:rPr>
              <w:t>10.0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4C7AAA1" w14:textId="77777777" w:rsidR="00FD1953" w:rsidRDefault="00FD1953" w:rsidP="00045D0D">
            <w:pPr>
              <w:spacing w:after="0" w:line="240" w:lineRule="auto"/>
              <w:jc w:val="center"/>
            </w:pPr>
            <w:r>
              <w:rPr>
                <w:color w:val="000000"/>
                <w:lang w:eastAsia="en-CA"/>
              </w:rPr>
              <w:t>10.0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AE9C8C4" w14:textId="77777777" w:rsidR="00FD1953" w:rsidRDefault="00FD1953" w:rsidP="00045D0D">
            <w:pPr>
              <w:spacing w:after="0" w:line="240" w:lineRule="auto"/>
              <w:jc w:val="center"/>
            </w:pPr>
            <w:r>
              <w:rPr>
                <w:color w:val="000000"/>
                <w:lang w:eastAsia="en-CA"/>
              </w:rPr>
              <w:t>20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5C7DEB8" w14:textId="77777777" w:rsidR="00FD1953" w:rsidRDefault="00FD1953" w:rsidP="00045D0D">
            <w:pPr>
              <w:spacing w:after="0" w:line="240" w:lineRule="auto"/>
              <w:jc w:val="center"/>
            </w:pPr>
            <w:r>
              <w:rPr>
                <w:color w:val="000000"/>
                <w:lang w:eastAsia="en-CA"/>
              </w:rPr>
              <w:t>42.7</w:t>
            </w:r>
          </w:p>
        </w:tc>
      </w:tr>
      <w:tr w:rsidR="00FD1953" w14:paraId="2446B051" w14:textId="77777777" w:rsidTr="00045D0D">
        <w:trPr>
          <w:trHeight w:val="285"/>
        </w:trPr>
        <w:tc>
          <w:tcPr>
            <w:tcW w:w="23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4978AE7" w14:textId="77777777" w:rsidR="00FD1953" w:rsidRDefault="00FD1953" w:rsidP="00045D0D">
            <w:pPr>
              <w:spacing w:after="0" w:line="240" w:lineRule="auto"/>
              <w:jc w:val="center"/>
            </w:pPr>
            <w:r>
              <w:rPr>
                <w:color w:val="000000"/>
                <w:lang w:eastAsia="en-CA"/>
              </w:rPr>
              <w:t>Termination Hill</w:t>
            </w:r>
          </w:p>
        </w:tc>
        <w:tc>
          <w:tcPr>
            <w:tcW w:w="11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4B882AE" w14:textId="77777777" w:rsidR="00FD1953" w:rsidRDefault="00FD1953" w:rsidP="00045D0D">
            <w:pPr>
              <w:spacing w:after="0" w:line="240" w:lineRule="auto"/>
              <w:jc w:val="center"/>
            </w:pPr>
            <w:r>
              <w:rPr>
                <w:color w:val="000000"/>
                <w:lang w:eastAsia="en-CA"/>
              </w:rPr>
              <w:t>4.0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57A20FA" w14:textId="77777777" w:rsidR="00FD1953" w:rsidRDefault="00FD1953" w:rsidP="00045D0D">
            <w:pPr>
              <w:spacing w:after="0" w:line="240" w:lineRule="auto"/>
              <w:jc w:val="center"/>
            </w:pPr>
            <w:r>
              <w:rPr>
                <w:color w:val="000000"/>
                <w:lang w:eastAsia="en-CA"/>
              </w:rPr>
              <w:t>5.0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95019DE" w14:textId="77777777" w:rsidR="00FD1953" w:rsidRDefault="00FD1953" w:rsidP="00045D0D">
            <w:pPr>
              <w:spacing w:after="0" w:line="240" w:lineRule="auto"/>
              <w:jc w:val="center"/>
            </w:pPr>
            <w:r>
              <w:rPr>
                <w:color w:val="000000"/>
                <w:lang w:eastAsia="en-CA"/>
              </w:rPr>
              <w:t>20.0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0FD4E03" w14:textId="77777777" w:rsidR="00FD1953" w:rsidRDefault="00FD1953" w:rsidP="00045D0D">
            <w:pPr>
              <w:spacing w:after="0" w:line="240" w:lineRule="auto"/>
              <w:jc w:val="center"/>
            </w:pPr>
            <w:r>
              <w:rPr>
                <w:color w:val="000000"/>
                <w:lang w:eastAsia="en-CA"/>
              </w:rPr>
              <w:t>29</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A6A64D" w14:textId="77777777" w:rsidR="00FD1953" w:rsidRDefault="00FD1953" w:rsidP="00045D0D">
            <w:pPr>
              <w:spacing w:after="0" w:line="240" w:lineRule="auto"/>
              <w:jc w:val="center"/>
            </w:pPr>
            <w:r>
              <w:rPr>
                <w:color w:val="000000"/>
                <w:lang w:eastAsia="en-CA"/>
              </w:rPr>
              <w:t>42.8</w:t>
            </w:r>
          </w:p>
        </w:tc>
      </w:tr>
      <w:tr w:rsidR="00FD1953" w14:paraId="7F627101" w14:textId="77777777" w:rsidTr="00045D0D">
        <w:trPr>
          <w:trHeight w:val="375"/>
        </w:trPr>
        <w:tc>
          <w:tcPr>
            <w:tcW w:w="23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6E6CCD2" w14:textId="77777777" w:rsidR="00FD1953" w:rsidRDefault="00FD1953" w:rsidP="00045D0D">
            <w:pPr>
              <w:spacing w:after="0" w:line="240" w:lineRule="auto"/>
              <w:jc w:val="center"/>
            </w:pPr>
            <w:r>
              <w:rPr>
                <w:b/>
                <w:bCs/>
                <w:color w:val="000000"/>
                <w:lang w:eastAsia="en-CA"/>
              </w:rPr>
              <w:t>Total</w:t>
            </w:r>
          </w:p>
        </w:tc>
        <w:tc>
          <w:tcPr>
            <w:tcW w:w="11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4C7360" w14:textId="77777777" w:rsidR="00FD1953" w:rsidRDefault="00FD1953" w:rsidP="00045D0D">
            <w:pPr>
              <w:spacing w:after="0" w:line="240" w:lineRule="auto"/>
              <w:jc w:val="center"/>
            </w:pPr>
            <w:r>
              <w:rPr>
                <w:b/>
                <w:bCs/>
                <w:color w:val="000000"/>
                <w:lang w:eastAsia="en-CA"/>
              </w:rPr>
              <w:t>16.0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F2F09B" w14:textId="77777777" w:rsidR="00FD1953" w:rsidRDefault="00FD1953" w:rsidP="00045D0D">
            <w:pPr>
              <w:spacing w:after="0" w:line="240" w:lineRule="auto"/>
              <w:jc w:val="center"/>
            </w:pPr>
            <w:r>
              <w:rPr>
                <w:b/>
                <w:bCs/>
                <w:color w:val="000000"/>
                <w:lang w:eastAsia="en-CA"/>
              </w:rPr>
              <w:t>113.5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055621" w14:textId="77777777" w:rsidR="00FD1953" w:rsidRDefault="00FD1953" w:rsidP="00045D0D">
            <w:pPr>
              <w:spacing w:after="0" w:line="240" w:lineRule="auto"/>
              <w:jc w:val="center"/>
            </w:pPr>
            <w:r>
              <w:rPr>
                <w:b/>
                <w:bCs/>
                <w:color w:val="000000"/>
                <w:lang w:eastAsia="en-CA"/>
              </w:rPr>
              <w:t>106.0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C61870" w14:textId="77777777" w:rsidR="00FD1953" w:rsidRDefault="00FD1953" w:rsidP="00045D0D">
            <w:pPr>
              <w:spacing w:after="0" w:line="240" w:lineRule="auto"/>
              <w:jc w:val="center"/>
            </w:pPr>
            <w:r>
              <w:rPr>
                <w:b/>
                <w:bCs/>
                <w:color w:val="000000"/>
                <w:lang w:eastAsia="en-CA"/>
              </w:rPr>
              <w:t>235.5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AA46278" w14:textId="77777777" w:rsidR="00FD1953" w:rsidRDefault="00FD1953" w:rsidP="00045D0D">
            <w:pPr>
              <w:spacing w:after="0" w:line="240" w:lineRule="auto"/>
            </w:pPr>
            <w:r>
              <w:rPr>
                <w:color w:val="000000"/>
                <w:lang w:eastAsia="en-CA"/>
              </w:rPr>
              <w:t> </w:t>
            </w:r>
          </w:p>
        </w:tc>
      </w:tr>
    </w:tbl>
    <w:p w14:paraId="5E63B261" w14:textId="31BF1CAA" w:rsidR="00FD1953" w:rsidRDefault="00FD1953" w:rsidP="00ED3F38">
      <w:pPr>
        <w:spacing w:before="100" w:beforeAutospacing="1" w:after="100" w:afterAutospacing="1" w:line="240" w:lineRule="auto"/>
        <w:jc w:val="both"/>
        <w:rPr>
          <w:rFonts w:ascii="Arial" w:eastAsia="Times New Roman" w:hAnsi="Arial" w:cs="Arial"/>
          <w:lang w:val="en-US"/>
        </w:rPr>
      </w:pPr>
    </w:p>
    <w:p w14:paraId="0BBB6F0B" w14:textId="77777777" w:rsidR="00FD1953" w:rsidRPr="00F96199" w:rsidRDefault="00FD1953" w:rsidP="00ED3F38">
      <w:pPr>
        <w:spacing w:before="100" w:beforeAutospacing="1" w:after="100" w:afterAutospacing="1" w:line="240" w:lineRule="auto"/>
        <w:jc w:val="both"/>
        <w:rPr>
          <w:rFonts w:ascii="Arial" w:eastAsia="Times New Roman" w:hAnsi="Arial" w:cs="Arial"/>
          <w:lang w:val="en-US"/>
        </w:rPr>
      </w:pPr>
    </w:p>
    <w:p w14:paraId="0834EB4F" w14:textId="63BAD9E5" w:rsidR="00F96199" w:rsidRDefault="00F96199" w:rsidP="00FD1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en-US"/>
        </w:rPr>
      </w:pPr>
      <w:r w:rsidRPr="00F96199">
        <w:rPr>
          <w:rFonts w:ascii="Arial" w:eastAsia="Times New Roman" w:hAnsi="Arial" w:cs="Arial"/>
          <w:sz w:val="20"/>
          <w:szCs w:val="20"/>
          <w:lang w:val="en-US"/>
        </w:rPr>
        <w:t xml:space="preserve">                      </w:t>
      </w:r>
    </w:p>
    <w:p w14:paraId="124604E7" w14:textId="2336DC2D" w:rsidR="00FD1953" w:rsidRDefault="00FD1953" w:rsidP="00FD1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en-US"/>
        </w:rPr>
      </w:pPr>
    </w:p>
    <w:p w14:paraId="0AA95E0D" w14:textId="1E89D8F0" w:rsidR="00FD1953" w:rsidRDefault="00FD1953" w:rsidP="00FD1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en-US"/>
        </w:rPr>
      </w:pPr>
    </w:p>
    <w:p w14:paraId="29543C37" w14:textId="1F96D955" w:rsidR="00FD1953" w:rsidRDefault="00FD1953" w:rsidP="00FD1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en-US"/>
        </w:rPr>
      </w:pPr>
    </w:p>
    <w:p w14:paraId="791C5310" w14:textId="4EAB8E10" w:rsidR="00FD1953" w:rsidRDefault="00FD1953" w:rsidP="00FD1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en-US"/>
        </w:rPr>
      </w:pPr>
    </w:p>
    <w:p w14:paraId="2675E264" w14:textId="137AE35C" w:rsidR="00FD1953" w:rsidRDefault="00FD1953" w:rsidP="00FD1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en-US"/>
        </w:rPr>
      </w:pPr>
    </w:p>
    <w:p w14:paraId="6C70E968" w14:textId="42B72255" w:rsidR="00FD1953" w:rsidRDefault="00FD1953" w:rsidP="00FD1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en-US"/>
        </w:rPr>
      </w:pPr>
    </w:p>
    <w:p w14:paraId="06ACF1EC" w14:textId="77777777" w:rsidR="00FD1953" w:rsidRPr="00F96199" w:rsidRDefault="00FD1953" w:rsidP="00FD1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en-US"/>
        </w:rPr>
      </w:pPr>
    </w:p>
    <w:p w14:paraId="7133F828" w14:textId="77777777" w:rsidR="00F96199" w:rsidRPr="00F96199" w:rsidRDefault="00F96199" w:rsidP="00ED3F38">
      <w:pPr>
        <w:spacing w:before="100" w:beforeAutospacing="1" w:after="100" w:afterAutospacing="1" w:line="240" w:lineRule="auto"/>
        <w:jc w:val="both"/>
        <w:rPr>
          <w:rFonts w:ascii="Arial" w:eastAsia="Times New Roman" w:hAnsi="Arial" w:cs="Arial"/>
          <w:lang w:val="en-US"/>
        </w:rPr>
      </w:pPr>
      <w:r w:rsidRPr="00F96199">
        <w:rPr>
          <w:rFonts w:ascii="Arial" w:eastAsia="Times New Roman" w:hAnsi="Arial" w:cs="Arial"/>
          <w:lang w:val="en-US"/>
        </w:rPr>
        <w:t xml:space="preserve">The JORC resource categories used are comparable to the CIM 2014 mineral resource categories recognized under National Instrument 43-101. The parameters used to prepare the historical estimate include creating a DTM for the top and bottom of each bed in the magnesite package. The block size chosen measured 10 </w:t>
      </w:r>
      <w:proofErr w:type="spellStart"/>
      <w:r w:rsidRPr="00F96199">
        <w:rPr>
          <w:rFonts w:ascii="Arial" w:eastAsia="Times New Roman" w:hAnsi="Arial" w:cs="Arial"/>
          <w:lang w:val="en-US"/>
        </w:rPr>
        <w:t>metres</w:t>
      </w:r>
      <w:proofErr w:type="spellEnd"/>
      <w:r w:rsidRPr="00F96199">
        <w:rPr>
          <w:rFonts w:ascii="Arial" w:eastAsia="Times New Roman" w:hAnsi="Arial" w:cs="Arial"/>
          <w:lang w:val="en-US"/>
        </w:rPr>
        <w:t xml:space="preserve"> north by 0.5 m east and one m vertically. This block size allowed for an estimation of steeply dipping, thin, tabular bodies </w:t>
      </w:r>
      <w:proofErr w:type="gramStart"/>
      <w:r w:rsidRPr="00F96199">
        <w:rPr>
          <w:rFonts w:ascii="Arial" w:eastAsia="Times New Roman" w:hAnsi="Arial" w:cs="Arial"/>
          <w:lang w:val="en-US"/>
        </w:rPr>
        <w:t>and also</w:t>
      </w:r>
      <w:proofErr w:type="gramEnd"/>
      <w:r w:rsidRPr="00F96199">
        <w:rPr>
          <w:rFonts w:ascii="Arial" w:eastAsia="Times New Roman" w:hAnsi="Arial" w:cs="Arial"/>
          <w:lang w:val="en-US"/>
        </w:rPr>
        <w:t xml:space="preserve"> considered the estimated minimum magnesite bed mining width of 0.5 m.</w:t>
      </w:r>
    </w:p>
    <w:p w14:paraId="71C41B27" w14:textId="77777777" w:rsidR="00F96199" w:rsidRPr="00F96199" w:rsidRDefault="00F96199" w:rsidP="00ED3F38">
      <w:pPr>
        <w:spacing w:before="100" w:beforeAutospacing="1" w:after="100" w:afterAutospacing="1" w:line="240" w:lineRule="auto"/>
        <w:jc w:val="both"/>
        <w:rPr>
          <w:rFonts w:ascii="Arial" w:eastAsia="Times New Roman" w:hAnsi="Arial" w:cs="Arial"/>
          <w:lang w:val="en-US"/>
        </w:rPr>
      </w:pPr>
      <w:r w:rsidRPr="00F96199">
        <w:rPr>
          <w:rFonts w:ascii="Arial" w:eastAsia="Times New Roman" w:hAnsi="Arial" w:cs="Arial"/>
          <w:lang w:val="en-US"/>
        </w:rPr>
        <w:lastRenderedPageBreak/>
        <w:t>A qualified person has yet to determine what work would be required to upgrade or verify this historical estimate.</w:t>
      </w:r>
    </w:p>
    <w:p w14:paraId="61DA17DC" w14:textId="77777777" w:rsidR="00881BDF" w:rsidRPr="00881BDF" w:rsidRDefault="00881BDF" w:rsidP="00881BDF">
      <w:pPr>
        <w:spacing w:before="100" w:beforeAutospacing="1" w:after="100" w:afterAutospacing="1" w:line="240" w:lineRule="auto"/>
        <w:jc w:val="both"/>
        <w:rPr>
          <w:rFonts w:ascii="Arial" w:eastAsia="Times New Roman" w:hAnsi="Arial" w:cs="Arial"/>
          <w:lang w:val="en-US"/>
        </w:rPr>
      </w:pPr>
      <w:r w:rsidRPr="00881BDF">
        <w:rPr>
          <w:rFonts w:ascii="Arial" w:eastAsia="Times New Roman" w:hAnsi="Arial" w:cs="Arial"/>
          <w:lang w:val="en-US"/>
        </w:rPr>
        <w:t xml:space="preserve">The company's investment in magnesium metal is in alignment with its vision of the growth of the green economy. The unique properties of magnesium to create a high-strength, low-weight </w:t>
      </w:r>
      <w:proofErr w:type="gramStart"/>
      <w:r w:rsidRPr="00881BDF">
        <w:rPr>
          <w:rFonts w:ascii="Arial" w:eastAsia="Times New Roman" w:hAnsi="Arial" w:cs="Arial"/>
          <w:lang w:val="en-US"/>
        </w:rPr>
        <w:t>metal</w:t>
      </w:r>
      <w:proofErr w:type="gramEnd"/>
      <w:r w:rsidRPr="00881BDF">
        <w:rPr>
          <w:rFonts w:ascii="Arial" w:eastAsia="Times New Roman" w:hAnsi="Arial" w:cs="Arial"/>
          <w:lang w:val="en-US"/>
        </w:rPr>
        <w:t xml:space="preserve"> and associated alloys for use in electric vehicles allows for the reduction of vehicle weight while driving down battery size and costs.</w:t>
      </w:r>
    </w:p>
    <w:p w14:paraId="34AFAA70" w14:textId="481A65DD" w:rsidR="004C5063" w:rsidRPr="00881BDF" w:rsidRDefault="00881BDF" w:rsidP="00881BDF">
      <w:pPr>
        <w:spacing w:before="100" w:beforeAutospacing="1" w:after="100" w:afterAutospacing="1" w:line="240" w:lineRule="auto"/>
        <w:jc w:val="both"/>
        <w:rPr>
          <w:rFonts w:ascii="Arial" w:eastAsia="Times New Roman" w:hAnsi="Arial" w:cs="Arial"/>
          <w:lang w:val="en-US"/>
        </w:rPr>
      </w:pPr>
      <w:r w:rsidRPr="00881BDF">
        <w:rPr>
          <w:rFonts w:ascii="Arial" w:eastAsia="Times New Roman" w:hAnsi="Arial" w:cs="Arial"/>
          <w:lang w:val="en-US"/>
        </w:rPr>
        <w:t xml:space="preserve">President and chief executive officer Michael Collins comments: "We are </w:t>
      </w:r>
      <w:proofErr w:type="gramStart"/>
      <w:r w:rsidRPr="00881BDF">
        <w:rPr>
          <w:rFonts w:ascii="Arial" w:eastAsia="Times New Roman" w:hAnsi="Arial" w:cs="Arial"/>
          <w:lang w:val="en-US"/>
        </w:rPr>
        <w:t>very excited</w:t>
      </w:r>
      <w:proofErr w:type="gramEnd"/>
      <w:r w:rsidRPr="00881BDF">
        <w:rPr>
          <w:rFonts w:ascii="Arial" w:eastAsia="Times New Roman" w:hAnsi="Arial" w:cs="Arial"/>
          <w:lang w:val="en-US"/>
        </w:rPr>
        <w:t xml:space="preserve"> to enter the magnesium development space. We see magnesium as one of the key metals in the electric vehicle economy. Volatus expects magnesium and gold to be the two bright lights of the mining sector in 2020, and we are in </w:t>
      </w:r>
      <w:proofErr w:type="gramStart"/>
      <w:r w:rsidRPr="00881BDF">
        <w:rPr>
          <w:rFonts w:ascii="Arial" w:eastAsia="Times New Roman" w:hAnsi="Arial" w:cs="Arial"/>
          <w:lang w:val="en-US"/>
        </w:rPr>
        <w:t>both of them</w:t>
      </w:r>
      <w:proofErr w:type="gramEnd"/>
      <w:r w:rsidRPr="00881BDF">
        <w:rPr>
          <w:rFonts w:ascii="Arial" w:eastAsia="Times New Roman" w:hAnsi="Arial" w:cs="Arial"/>
          <w:lang w:val="en-US"/>
        </w:rPr>
        <w:t>."</w:t>
      </w:r>
    </w:p>
    <w:p w14:paraId="68DD2C5B" w14:textId="522A4D26" w:rsidR="005A3403" w:rsidRPr="005C39A6" w:rsidRDefault="005C39A6" w:rsidP="001F3E23">
      <w:pPr>
        <w:spacing w:after="160" w:line="259" w:lineRule="auto"/>
        <w:jc w:val="both"/>
        <w:rPr>
          <w:rFonts w:ascii="Arial" w:hAnsi="Arial" w:cs="Arial"/>
          <w:b/>
          <w:bCs/>
          <w:color w:val="000000" w:themeColor="text1"/>
        </w:rPr>
      </w:pPr>
      <w:r w:rsidRPr="005C39A6">
        <w:rPr>
          <w:rFonts w:ascii="Arial" w:hAnsi="Arial" w:cs="Arial"/>
          <w:b/>
          <w:bCs/>
          <w:color w:val="000000" w:themeColor="text1"/>
        </w:rPr>
        <w:t>Purchase Terms</w:t>
      </w:r>
    </w:p>
    <w:p w14:paraId="5352092A" w14:textId="7ED29D33" w:rsidR="005C39A6" w:rsidRDefault="005C39A6" w:rsidP="001F3E23">
      <w:pPr>
        <w:spacing w:after="160" w:line="259" w:lineRule="auto"/>
        <w:jc w:val="both"/>
        <w:rPr>
          <w:rFonts w:ascii="Arial" w:hAnsi="Arial" w:cs="Arial"/>
          <w:color w:val="000000" w:themeColor="text1"/>
        </w:rPr>
      </w:pPr>
      <w:r>
        <w:rPr>
          <w:rFonts w:ascii="Arial" w:hAnsi="Arial" w:cs="Arial"/>
          <w:color w:val="000000" w:themeColor="text1"/>
        </w:rPr>
        <w:t>Per the Company’s June 24 News Release, the terms include:</w:t>
      </w:r>
    </w:p>
    <w:p w14:paraId="70E59BD2" w14:textId="7FABC268" w:rsidR="005C39A6" w:rsidRPr="00AF537C" w:rsidRDefault="005C39A6" w:rsidP="005C39A6">
      <w:pPr>
        <w:pStyle w:val="ListParagraph"/>
        <w:numPr>
          <w:ilvl w:val="0"/>
          <w:numId w:val="11"/>
        </w:numPr>
        <w:spacing w:after="160" w:line="259" w:lineRule="auto"/>
        <w:jc w:val="both"/>
        <w:rPr>
          <w:rFonts w:ascii="Arial" w:hAnsi="Arial" w:cs="Arial"/>
          <w:color w:val="000000" w:themeColor="text1"/>
        </w:rPr>
      </w:pPr>
      <w:r>
        <w:rPr>
          <w:rFonts w:ascii="Arial" w:hAnsi="Arial" w:cs="Arial"/>
          <w:color w:val="000000" w:themeColor="text1"/>
        </w:rPr>
        <w:t xml:space="preserve">5% of the Company’s issued and outstanding shares, </w:t>
      </w:r>
      <w:r w:rsidR="006D7861">
        <w:rPr>
          <w:rFonts w:ascii="Arial" w:hAnsi="Arial" w:cs="Arial"/>
          <w:color w:val="000000" w:themeColor="text1"/>
        </w:rPr>
        <w:t xml:space="preserve">using the volume weighted average price (VWAP) calculated by the 5 trading days prior to and including the </w:t>
      </w:r>
      <w:r w:rsidR="003C12FE" w:rsidRPr="00AF537C">
        <w:rPr>
          <w:rFonts w:ascii="Arial" w:hAnsi="Arial" w:cs="Arial"/>
          <w:color w:val="000000" w:themeColor="text1"/>
        </w:rPr>
        <w:t>announcement date</w:t>
      </w:r>
      <w:r w:rsidR="006D7861" w:rsidRPr="00AF537C">
        <w:rPr>
          <w:rFonts w:ascii="Arial" w:hAnsi="Arial" w:cs="Arial"/>
          <w:color w:val="000000" w:themeColor="text1"/>
        </w:rPr>
        <w:t xml:space="preserve"> (</w:t>
      </w:r>
      <w:r w:rsidR="003C12FE" w:rsidRPr="00AF537C">
        <w:rPr>
          <w:rFonts w:ascii="Arial" w:hAnsi="Arial" w:cs="Arial"/>
          <w:color w:val="000000" w:themeColor="text1"/>
        </w:rPr>
        <w:t>June 24</w:t>
      </w:r>
      <w:r w:rsidR="006D7861" w:rsidRPr="00AF537C">
        <w:rPr>
          <w:rFonts w:ascii="Arial" w:hAnsi="Arial" w:cs="Arial"/>
          <w:color w:val="000000" w:themeColor="text1"/>
        </w:rPr>
        <w:t xml:space="preserve">) and the 5 trading days immediately after </w:t>
      </w:r>
      <w:r w:rsidR="003C12FE" w:rsidRPr="00AF537C">
        <w:rPr>
          <w:rFonts w:ascii="Arial" w:hAnsi="Arial" w:cs="Arial"/>
          <w:color w:val="000000" w:themeColor="text1"/>
        </w:rPr>
        <w:t>announcement date</w:t>
      </w:r>
      <w:r w:rsidR="006D7861" w:rsidRPr="00AF537C">
        <w:rPr>
          <w:rFonts w:ascii="Arial" w:hAnsi="Arial" w:cs="Arial"/>
          <w:color w:val="000000" w:themeColor="text1"/>
        </w:rPr>
        <w:t xml:space="preserve"> </w:t>
      </w:r>
      <w:r w:rsidRPr="00AF537C">
        <w:rPr>
          <w:rFonts w:ascii="Arial" w:hAnsi="Arial" w:cs="Arial"/>
          <w:color w:val="000000" w:themeColor="text1"/>
        </w:rPr>
        <w:t xml:space="preserve">or </w:t>
      </w:r>
      <w:r w:rsidR="004639CC" w:rsidRPr="00AF537C">
        <w:rPr>
          <w:rFonts w:ascii="Arial" w:hAnsi="Arial" w:cs="Arial"/>
          <w:color w:val="000000" w:themeColor="text1"/>
        </w:rPr>
        <w:t>1,5</w:t>
      </w:r>
      <w:r w:rsidR="003C12FE" w:rsidRPr="00AF537C">
        <w:rPr>
          <w:rFonts w:ascii="Arial" w:hAnsi="Arial" w:cs="Arial"/>
          <w:color w:val="000000" w:themeColor="text1"/>
        </w:rPr>
        <w:t>82,803</w:t>
      </w:r>
      <w:r w:rsidRPr="00AF537C">
        <w:rPr>
          <w:rFonts w:ascii="Arial" w:hAnsi="Arial" w:cs="Arial"/>
          <w:color w:val="000000" w:themeColor="text1"/>
        </w:rPr>
        <w:t xml:space="preserve"> shares</w:t>
      </w:r>
    </w:p>
    <w:p w14:paraId="2AA4CCA7" w14:textId="332A3005" w:rsidR="005C39A6" w:rsidRPr="00AF537C" w:rsidRDefault="008625C8" w:rsidP="005C39A6">
      <w:pPr>
        <w:pStyle w:val="ListParagraph"/>
        <w:numPr>
          <w:ilvl w:val="0"/>
          <w:numId w:val="11"/>
        </w:numPr>
        <w:spacing w:after="160" w:line="259" w:lineRule="auto"/>
        <w:jc w:val="both"/>
        <w:rPr>
          <w:rFonts w:ascii="Arial" w:hAnsi="Arial" w:cs="Arial"/>
          <w:color w:val="000000" w:themeColor="text1"/>
        </w:rPr>
      </w:pPr>
      <w:r>
        <w:rPr>
          <w:rFonts w:ascii="Arial" w:hAnsi="Arial" w:cs="Arial"/>
          <w:color w:val="000000" w:themeColor="text1"/>
        </w:rPr>
        <w:t>CAD</w:t>
      </w:r>
      <w:r w:rsidR="005C39A6" w:rsidRPr="00AF537C">
        <w:rPr>
          <w:rFonts w:ascii="Arial" w:hAnsi="Arial" w:cs="Arial"/>
          <w:color w:val="000000" w:themeColor="text1"/>
        </w:rPr>
        <w:t>$2</w:t>
      </w:r>
      <w:r w:rsidR="003C12FE" w:rsidRPr="00AF537C">
        <w:rPr>
          <w:rFonts w:ascii="Arial" w:hAnsi="Arial" w:cs="Arial"/>
          <w:color w:val="000000" w:themeColor="text1"/>
        </w:rPr>
        <w:t>,250,000</w:t>
      </w:r>
      <w:r w:rsidR="005C39A6" w:rsidRPr="00AF537C">
        <w:rPr>
          <w:rFonts w:ascii="Arial" w:hAnsi="Arial" w:cs="Arial"/>
          <w:color w:val="000000" w:themeColor="text1"/>
        </w:rPr>
        <w:t xml:space="preserve"> million in Company shares, </w:t>
      </w:r>
      <w:r w:rsidR="006D7861" w:rsidRPr="00AF537C">
        <w:rPr>
          <w:rFonts w:ascii="Arial" w:hAnsi="Arial" w:cs="Arial"/>
          <w:color w:val="000000" w:themeColor="text1"/>
        </w:rPr>
        <w:t xml:space="preserve">using the </w:t>
      </w:r>
      <w:r w:rsidR="003C12FE" w:rsidRPr="00AF537C">
        <w:rPr>
          <w:rFonts w:ascii="Arial" w:hAnsi="Arial" w:cs="Arial"/>
          <w:color w:val="000000" w:themeColor="text1"/>
        </w:rPr>
        <w:t>volume weighted average price (VWAP) calculated by the 5 trading days prior to and including the completion date (July 29) and the 5 trading days immediately after the completion date</w:t>
      </w:r>
      <w:r w:rsidR="006D7861" w:rsidRPr="00AF537C">
        <w:rPr>
          <w:rFonts w:ascii="Arial" w:hAnsi="Arial" w:cs="Arial"/>
          <w:color w:val="000000" w:themeColor="text1"/>
        </w:rPr>
        <w:t>, or</w:t>
      </w:r>
      <w:r w:rsidR="005924D3" w:rsidRPr="00AF537C">
        <w:rPr>
          <w:rFonts w:ascii="Arial" w:hAnsi="Arial" w:cs="Arial"/>
          <w:color w:val="000000" w:themeColor="text1"/>
        </w:rPr>
        <w:t xml:space="preserve"> 5,</w:t>
      </w:r>
      <w:r w:rsidR="00196385" w:rsidRPr="00AF537C">
        <w:rPr>
          <w:rFonts w:ascii="Arial" w:hAnsi="Arial" w:cs="Arial"/>
          <w:color w:val="000000" w:themeColor="text1"/>
        </w:rPr>
        <w:t>572</w:t>
      </w:r>
      <w:r w:rsidR="00DB5885">
        <w:rPr>
          <w:rFonts w:ascii="Arial" w:hAnsi="Arial" w:cs="Arial"/>
          <w:color w:val="000000" w:themeColor="text1"/>
        </w:rPr>
        <w:t>,</w:t>
      </w:r>
      <w:r w:rsidR="00196385" w:rsidRPr="00AF537C">
        <w:rPr>
          <w:rFonts w:ascii="Arial" w:hAnsi="Arial" w:cs="Arial"/>
          <w:color w:val="000000" w:themeColor="text1"/>
        </w:rPr>
        <w:t>094</w:t>
      </w:r>
      <w:r w:rsidR="006D7861" w:rsidRPr="00AF537C">
        <w:rPr>
          <w:rFonts w:ascii="Arial" w:hAnsi="Arial" w:cs="Arial"/>
          <w:color w:val="000000" w:themeColor="text1"/>
        </w:rPr>
        <w:t xml:space="preserve"> shares</w:t>
      </w:r>
    </w:p>
    <w:p w14:paraId="051F0E51" w14:textId="567F0411" w:rsidR="006D7861" w:rsidRPr="00AF537C" w:rsidRDefault="00A20005" w:rsidP="00881BDF">
      <w:pPr>
        <w:spacing w:after="160" w:line="259" w:lineRule="auto"/>
        <w:ind w:firstLine="360"/>
        <w:jc w:val="both"/>
        <w:rPr>
          <w:rFonts w:ascii="Arial" w:hAnsi="Arial" w:cs="Arial"/>
          <w:color w:val="000000" w:themeColor="text1"/>
        </w:rPr>
      </w:pPr>
      <w:r w:rsidRPr="00AF537C">
        <w:rPr>
          <w:rFonts w:ascii="Arial" w:hAnsi="Arial" w:cs="Arial"/>
          <w:color w:val="000000" w:themeColor="text1"/>
        </w:rPr>
        <w:t>For a</w:t>
      </w:r>
      <w:r w:rsidR="006D7861" w:rsidRPr="00AF537C">
        <w:rPr>
          <w:rFonts w:ascii="Arial" w:hAnsi="Arial" w:cs="Arial"/>
          <w:color w:val="000000" w:themeColor="text1"/>
        </w:rPr>
        <w:t xml:space="preserve"> total </w:t>
      </w:r>
      <w:r w:rsidRPr="00AF537C">
        <w:rPr>
          <w:rFonts w:ascii="Arial" w:hAnsi="Arial" w:cs="Arial"/>
          <w:color w:val="000000" w:themeColor="text1"/>
        </w:rPr>
        <w:t xml:space="preserve">of </w:t>
      </w:r>
      <w:r w:rsidR="00196385" w:rsidRPr="00AF537C">
        <w:rPr>
          <w:rFonts w:ascii="Arial" w:hAnsi="Arial"/>
          <w:szCs w:val="24"/>
        </w:rPr>
        <w:t>7,154,897</w:t>
      </w:r>
      <w:r w:rsidR="00843D99" w:rsidRPr="00AF537C">
        <w:rPr>
          <w:rFonts w:ascii="Arial" w:hAnsi="Arial"/>
          <w:b/>
          <w:bCs/>
          <w:szCs w:val="24"/>
        </w:rPr>
        <w:t xml:space="preserve"> </w:t>
      </w:r>
      <w:r w:rsidR="006D7861" w:rsidRPr="00AF537C">
        <w:rPr>
          <w:rFonts w:ascii="Arial" w:hAnsi="Arial" w:cs="Arial"/>
          <w:color w:val="000000" w:themeColor="text1"/>
        </w:rPr>
        <w:t xml:space="preserve">shares in Volatus shares. </w:t>
      </w:r>
    </w:p>
    <w:p w14:paraId="79DD72C3" w14:textId="2D759E98" w:rsidR="00881BDF" w:rsidRPr="00A20005" w:rsidRDefault="00A20005" w:rsidP="00A20005">
      <w:pPr>
        <w:pStyle w:val="NormalWeb"/>
        <w:numPr>
          <w:ilvl w:val="0"/>
          <w:numId w:val="14"/>
        </w:numPr>
        <w:spacing w:before="0" w:beforeAutospacing="0" w:after="160" w:afterAutospacing="0"/>
        <w:jc w:val="both"/>
        <w:rPr>
          <w:rFonts w:ascii="Arial" w:hAnsi="Arial" w:cs="Arial"/>
          <w:bCs/>
          <w:sz w:val="22"/>
          <w:szCs w:val="22"/>
          <w:lang w:val="en-CA"/>
        </w:rPr>
      </w:pPr>
      <w:r w:rsidRPr="00AF537C">
        <w:rPr>
          <w:rFonts w:ascii="Arial" w:hAnsi="Arial" w:cs="Arial"/>
          <w:bCs/>
          <w:sz w:val="22"/>
          <w:szCs w:val="22"/>
          <w:lang w:val="en-CA"/>
        </w:rPr>
        <w:t>$500,000 in payments; $200,000 within 90 days and $300,000 within</w:t>
      </w:r>
      <w:r w:rsidRPr="00A20005">
        <w:rPr>
          <w:rFonts w:ascii="Arial" w:hAnsi="Arial" w:cs="Arial"/>
          <w:bCs/>
          <w:sz w:val="22"/>
          <w:szCs w:val="22"/>
          <w:lang w:val="en-CA"/>
        </w:rPr>
        <w:t xml:space="preserve"> 180 days.</w:t>
      </w:r>
    </w:p>
    <w:p w14:paraId="75BBDFE1" w14:textId="67CF11FB" w:rsidR="00A20005" w:rsidRPr="00A20005" w:rsidRDefault="00A20005" w:rsidP="00524351">
      <w:pPr>
        <w:pStyle w:val="NormalWeb"/>
        <w:spacing w:before="0" w:beforeAutospacing="0" w:after="160" w:afterAutospacing="0"/>
        <w:jc w:val="both"/>
        <w:rPr>
          <w:rFonts w:ascii="Arial" w:hAnsi="Arial" w:cs="Arial"/>
          <w:bCs/>
          <w:sz w:val="22"/>
          <w:szCs w:val="22"/>
        </w:rPr>
      </w:pPr>
      <w:r w:rsidRPr="00A20005">
        <w:rPr>
          <w:rFonts w:ascii="Arial" w:hAnsi="Arial" w:cs="Arial"/>
          <w:bCs/>
          <w:sz w:val="22"/>
          <w:szCs w:val="22"/>
        </w:rPr>
        <w:t>Technical disclosure in this news release has been reviewed and approved by Michael Collins P. Geo., President and CEO, and shareholder of Volatus Capital Corp., a Qualified Person as defined by National Instrument 43-101.</w:t>
      </w:r>
    </w:p>
    <w:p w14:paraId="264134FD" w14:textId="4388A031" w:rsidR="00330096" w:rsidRPr="00041499" w:rsidRDefault="00330096" w:rsidP="00524351">
      <w:pPr>
        <w:pStyle w:val="NormalWeb"/>
        <w:spacing w:before="0" w:beforeAutospacing="0" w:after="160" w:afterAutospacing="0"/>
        <w:jc w:val="both"/>
        <w:rPr>
          <w:rFonts w:ascii="Arial" w:hAnsi="Arial" w:cs="Arial"/>
          <w:b/>
          <w:sz w:val="22"/>
          <w:szCs w:val="22"/>
        </w:rPr>
      </w:pPr>
      <w:r w:rsidRPr="00041499">
        <w:rPr>
          <w:rFonts w:ascii="Arial" w:hAnsi="Arial" w:cs="Arial"/>
          <w:b/>
          <w:sz w:val="22"/>
          <w:szCs w:val="22"/>
        </w:rPr>
        <w:t xml:space="preserve">About Volatus Capital Corp. </w:t>
      </w:r>
    </w:p>
    <w:p w14:paraId="2E9A9B63" w14:textId="0651488D" w:rsidR="00330096" w:rsidRPr="00041499" w:rsidRDefault="00330096" w:rsidP="00524351">
      <w:pPr>
        <w:spacing w:after="160" w:line="240" w:lineRule="auto"/>
        <w:jc w:val="both"/>
        <w:rPr>
          <w:rFonts w:ascii="Arial" w:hAnsi="Arial" w:cs="Arial"/>
          <w:color w:val="000000" w:themeColor="text1"/>
          <w:lang w:eastAsia="en-CA"/>
        </w:rPr>
      </w:pPr>
      <w:r w:rsidRPr="00041499">
        <w:rPr>
          <w:rFonts w:ascii="Arial" w:hAnsi="Arial" w:cs="Arial"/>
          <w:color w:val="000000" w:themeColor="text1"/>
          <w:lang w:eastAsia="en-CA"/>
        </w:rPr>
        <w:t xml:space="preserve">The Company is focused on exploration and development of resources in gold </w:t>
      </w:r>
      <w:r w:rsidR="00A20005">
        <w:rPr>
          <w:rFonts w:ascii="Arial" w:hAnsi="Arial" w:cs="Arial"/>
          <w:color w:val="000000" w:themeColor="text1"/>
          <w:lang w:eastAsia="en-CA"/>
        </w:rPr>
        <w:t>and copper in the Toodoggone District Norther British Columbia</w:t>
      </w:r>
      <w:r w:rsidR="00E8380C" w:rsidRPr="00041499">
        <w:rPr>
          <w:rFonts w:ascii="Arial" w:hAnsi="Arial" w:cs="Arial"/>
          <w:color w:val="000000" w:themeColor="text1"/>
          <w:lang w:eastAsia="en-CA"/>
        </w:rPr>
        <w:t xml:space="preserve">, </w:t>
      </w:r>
      <w:r w:rsidRPr="00041499">
        <w:rPr>
          <w:rFonts w:ascii="Arial" w:hAnsi="Arial" w:cs="Arial"/>
          <w:color w:val="000000" w:themeColor="text1"/>
          <w:lang w:eastAsia="en-CA"/>
        </w:rPr>
        <w:t xml:space="preserve">and </w:t>
      </w:r>
      <w:r w:rsidR="00E8380C" w:rsidRPr="00041499">
        <w:rPr>
          <w:rFonts w:ascii="Arial" w:hAnsi="Arial" w:cs="Arial"/>
          <w:color w:val="000000" w:themeColor="text1"/>
          <w:lang w:eastAsia="en-CA"/>
        </w:rPr>
        <w:t xml:space="preserve">metals in </w:t>
      </w:r>
      <w:r w:rsidRPr="00041499">
        <w:rPr>
          <w:rFonts w:ascii="Arial" w:hAnsi="Arial" w:cs="Arial"/>
          <w:color w:val="000000" w:themeColor="text1"/>
          <w:lang w:eastAsia="en-CA"/>
        </w:rPr>
        <w:t>the green economy that have strong demand profiles</w:t>
      </w:r>
      <w:r w:rsidR="00A20005">
        <w:rPr>
          <w:rFonts w:ascii="Arial" w:hAnsi="Arial" w:cs="Arial"/>
          <w:color w:val="000000" w:themeColor="text1"/>
          <w:lang w:eastAsia="en-CA"/>
        </w:rPr>
        <w:t xml:space="preserve"> such as magnesium metal</w:t>
      </w:r>
      <w:r w:rsidRPr="00041499">
        <w:rPr>
          <w:rFonts w:ascii="Arial" w:hAnsi="Arial" w:cs="Arial"/>
          <w:color w:val="000000" w:themeColor="text1"/>
          <w:lang w:eastAsia="en-CA"/>
        </w:rPr>
        <w:t>.</w:t>
      </w:r>
    </w:p>
    <w:p w14:paraId="7C47F7C2" w14:textId="77777777" w:rsidR="00330096" w:rsidRPr="00041499" w:rsidRDefault="00330096" w:rsidP="00524351">
      <w:pPr>
        <w:pStyle w:val="NormalWeb"/>
        <w:spacing w:before="0" w:beforeAutospacing="0" w:after="160" w:afterAutospacing="0"/>
        <w:jc w:val="both"/>
        <w:rPr>
          <w:rFonts w:ascii="Arial" w:hAnsi="Arial" w:cs="Arial"/>
          <w:sz w:val="22"/>
          <w:szCs w:val="22"/>
        </w:rPr>
      </w:pPr>
      <w:r w:rsidRPr="00041499">
        <w:rPr>
          <w:rFonts w:ascii="Arial" w:hAnsi="Arial" w:cs="Arial"/>
          <w:sz w:val="22"/>
          <w:szCs w:val="22"/>
        </w:rPr>
        <w:t>We seek Safe Harbor.</w:t>
      </w:r>
    </w:p>
    <w:p w14:paraId="6FF8C2A9" w14:textId="77777777" w:rsidR="00330096" w:rsidRPr="00EB498E" w:rsidRDefault="00330096" w:rsidP="00F44D35">
      <w:pPr>
        <w:keepNext/>
        <w:keepLines/>
        <w:spacing w:after="0" w:line="240" w:lineRule="auto"/>
        <w:jc w:val="both"/>
        <w:rPr>
          <w:rFonts w:ascii="Times New Roman" w:hAnsi="Times New Roman"/>
          <w:sz w:val="24"/>
          <w:szCs w:val="24"/>
        </w:rPr>
      </w:pPr>
    </w:p>
    <w:p w14:paraId="3550D0E5" w14:textId="77777777" w:rsidR="00330096" w:rsidRPr="00EB498E" w:rsidRDefault="00330096" w:rsidP="00F44D35">
      <w:pPr>
        <w:autoSpaceDE w:val="0"/>
        <w:autoSpaceDN w:val="0"/>
        <w:adjustRightInd w:val="0"/>
        <w:spacing w:after="0" w:line="240" w:lineRule="auto"/>
        <w:jc w:val="both"/>
        <w:rPr>
          <w:rFonts w:ascii="Times New Roman" w:hAnsi="Times New Roman"/>
          <w:b/>
          <w:color w:val="000000"/>
          <w:sz w:val="24"/>
          <w:szCs w:val="24"/>
        </w:rPr>
      </w:pPr>
      <w:r w:rsidRPr="00EB498E">
        <w:rPr>
          <w:rFonts w:ascii="Times New Roman" w:hAnsi="Times New Roman"/>
          <w:b/>
          <w:color w:val="000000"/>
          <w:sz w:val="24"/>
          <w:szCs w:val="24"/>
        </w:rPr>
        <w:t xml:space="preserve">ON BEHALF OF THE BOARD </w:t>
      </w:r>
    </w:p>
    <w:p w14:paraId="786AB2A3" w14:textId="77777777" w:rsidR="00330096" w:rsidRPr="003925C8" w:rsidRDefault="00330096" w:rsidP="00F44D35">
      <w:pPr>
        <w:spacing w:before="120" w:after="120" w:line="240" w:lineRule="auto"/>
        <w:jc w:val="both"/>
        <w:rPr>
          <w:rFonts w:ascii="Times New Roman" w:hAnsi="Times New Roman"/>
          <w:szCs w:val="24"/>
        </w:rPr>
      </w:pPr>
      <w:r>
        <w:rPr>
          <w:rFonts w:ascii="Times New Roman" w:hAnsi="Times New Roman"/>
          <w:szCs w:val="24"/>
        </w:rPr>
        <w:t xml:space="preserve"> </w:t>
      </w:r>
      <w:r w:rsidRPr="00B62428">
        <w:rPr>
          <w:rFonts w:ascii="Times New Roman" w:hAnsi="Times New Roman"/>
          <w:szCs w:val="24"/>
        </w:rPr>
        <w:t xml:space="preserve"> </w:t>
      </w:r>
      <w:r w:rsidRPr="003925C8">
        <w:rPr>
          <w:rFonts w:ascii="Times New Roman" w:hAnsi="Times New Roman"/>
          <w:szCs w:val="24"/>
        </w:rPr>
        <w:t>“</w:t>
      </w:r>
      <w:r w:rsidRPr="003925C8">
        <w:rPr>
          <w:rFonts w:ascii="Brush Script MT" w:hAnsi="Brush Script MT"/>
          <w:color w:val="2F5496" w:themeColor="accent1" w:themeShade="BF"/>
          <w:sz w:val="36"/>
          <w:szCs w:val="36"/>
        </w:rPr>
        <w:t>Michael Collins</w:t>
      </w:r>
      <w:r w:rsidRPr="003925C8">
        <w:rPr>
          <w:rFonts w:ascii="Times New Roman" w:hAnsi="Times New Roman"/>
          <w:szCs w:val="24"/>
        </w:rPr>
        <w:t>”</w:t>
      </w:r>
    </w:p>
    <w:p w14:paraId="30540210" w14:textId="77777777" w:rsidR="00330096" w:rsidRDefault="00330096" w:rsidP="00F44D35">
      <w:pPr>
        <w:spacing w:after="120" w:line="240" w:lineRule="auto"/>
        <w:jc w:val="both"/>
        <w:rPr>
          <w:rFonts w:ascii="Times New Roman" w:hAnsi="Times New Roman"/>
          <w:sz w:val="24"/>
          <w:szCs w:val="24"/>
        </w:rPr>
      </w:pPr>
      <w:r w:rsidRPr="00EB498E">
        <w:rPr>
          <w:rFonts w:ascii="Times New Roman" w:hAnsi="Times New Roman"/>
          <w:sz w:val="24"/>
          <w:szCs w:val="24"/>
        </w:rPr>
        <w:t>Michael Collins, President and CEO</w:t>
      </w:r>
    </w:p>
    <w:p w14:paraId="21DFFA8E" w14:textId="77777777" w:rsidR="00330096" w:rsidRPr="00EB498E" w:rsidRDefault="00330096" w:rsidP="00F44D35">
      <w:pPr>
        <w:spacing w:after="120" w:line="240" w:lineRule="auto"/>
        <w:jc w:val="both"/>
        <w:rPr>
          <w:rFonts w:ascii="Times New Roman" w:hAnsi="Times New Roman"/>
          <w:sz w:val="24"/>
          <w:szCs w:val="24"/>
        </w:rPr>
      </w:pPr>
      <w:r>
        <w:rPr>
          <w:rFonts w:ascii="Times New Roman" w:hAnsi="Times New Roman"/>
          <w:sz w:val="24"/>
          <w:szCs w:val="24"/>
        </w:rPr>
        <w:t xml:space="preserve">For additional information, contact Volatus at </w:t>
      </w:r>
      <w:r w:rsidRPr="00120DF7">
        <w:rPr>
          <w:rFonts w:ascii="Times New Roman" w:hAnsi="Times New Roman"/>
          <w:sz w:val="24"/>
          <w:szCs w:val="24"/>
        </w:rPr>
        <w:t>604-681-3170</w:t>
      </w:r>
    </w:p>
    <w:p w14:paraId="7BE5D2AE" w14:textId="77777777" w:rsidR="00330096" w:rsidRDefault="00330096" w:rsidP="00F44D35">
      <w:pPr>
        <w:keepNext/>
        <w:keepLines/>
        <w:autoSpaceDE w:val="0"/>
        <w:autoSpaceDN w:val="0"/>
        <w:adjustRightInd w:val="0"/>
        <w:jc w:val="both"/>
        <w:rPr>
          <w:rFonts w:ascii="Times New Roman" w:hAnsi="Times New Roman"/>
          <w:i/>
          <w:iCs/>
          <w:sz w:val="16"/>
          <w:szCs w:val="16"/>
        </w:rPr>
      </w:pPr>
    </w:p>
    <w:p w14:paraId="3181ABD7" w14:textId="289BCBCA" w:rsidR="00A12719" w:rsidRPr="0071686A" w:rsidRDefault="00A12719" w:rsidP="00F44D35">
      <w:pPr>
        <w:keepNext/>
        <w:keepLines/>
        <w:autoSpaceDE w:val="0"/>
        <w:autoSpaceDN w:val="0"/>
        <w:adjustRightInd w:val="0"/>
        <w:jc w:val="both"/>
        <w:rPr>
          <w:rFonts w:ascii="Times New Roman" w:hAnsi="Times New Roman"/>
          <w:i/>
          <w:iCs/>
          <w:sz w:val="16"/>
          <w:szCs w:val="16"/>
        </w:rPr>
      </w:pPr>
      <w:r w:rsidRPr="0071686A">
        <w:rPr>
          <w:rFonts w:ascii="Times New Roman" w:hAnsi="Times New Roman"/>
          <w:i/>
          <w:iCs/>
          <w:sz w:val="16"/>
          <w:szCs w:val="16"/>
        </w:rPr>
        <w:t>Forward-looking information</w:t>
      </w:r>
    </w:p>
    <w:p w14:paraId="56AA2135" w14:textId="77777777" w:rsidR="00A12719" w:rsidRDefault="00A12719" w:rsidP="00F44D35">
      <w:pPr>
        <w:jc w:val="both"/>
        <w:rPr>
          <w:rFonts w:ascii="Times New Roman" w:hAnsi="Times New Roman"/>
          <w:i/>
          <w:iCs/>
          <w:sz w:val="18"/>
          <w:szCs w:val="18"/>
        </w:rPr>
      </w:pPr>
      <w:r w:rsidRPr="0060309B">
        <w:rPr>
          <w:rFonts w:ascii="Times New Roman" w:hAnsi="Times New Roman"/>
          <w:i/>
          <w:iCs/>
          <w:sz w:val="18"/>
          <w:szCs w:val="18"/>
        </w:rPr>
        <w:t xml:space="preserve">Certain statements in this news release constitute “forward-looking” statements.  These statements relate to future events or the Company’s future performance.  All such statements involve substantial known and unknown risks, uncertainties and other factors which may cause the actual results to vary from those expressed or implied by such forward-looking statements.  Forward-looking statements involve significant risks and uncertainties, they should not be read as guarantees of future performance or results, and they will not necessarily be accurate indications of </w:t>
      </w:r>
      <w:proofErr w:type="gramStart"/>
      <w:r w:rsidRPr="0060309B">
        <w:rPr>
          <w:rFonts w:ascii="Times New Roman" w:hAnsi="Times New Roman"/>
          <w:i/>
          <w:iCs/>
          <w:sz w:val="18"/>
          <w:szCs w:val="18"/>
        </w:rPr>
        <w:t>whether or not</w:t>
      </w:r>
      <w:proofErr w:type="gramEnd"/>
      <w:r w:rsidRPr="0060309B">
        <w:rPr>
          <w:rFonts w:ascii="Times New Roman" w:hAnsi="Times New Roman"/>
          <w:i/>
          <w:iCs/>
          <w:sz w:val="18"/>
          <w:szCs w:val="18"/>
        </w:rPr>
        <w:t xml:space="preserve"> such results will be achieved. Actual results could differ materially from those anticipated due to </w:t>
      </w:r>
      <w:proofErr w:type="gramStart"/>
      <w:r w:rsidRPr="0060309B">
        <w:rPr>
          <w:rFonts w:ascii="Times New Roman" w:hAnsi="Times New Roman"/>
          <w:i/>
          <w:iCs/>
          <w:sz w:val="18"/>
          <w:szCs w:val="18"/>
        </w:rPr>
        <w:t>a number of</w:t>
      </w:r>
      <w:proofErr w:type="gramEnd"/>
      <w:r w:rsidRPr="0060309B">
        <w:rPr>
          <w:rFonts w:ascii="Times New Roman" w:hAnsi="Times New Roman"/>
          <w:i/>
          <w:iCs/>
          <w:sz w:val="18"/>
          <w:szCs w:val="18"/>
        </w:rPr>
        <w:t xml:space="preserve"> factors and risks.  Although the forward-looking statements contained in this news release are based upon what management of the Company believes are reasonable </w:t>
      </w:r>
      <w:r w:rsidRPr="0060309B">
        <w:rPr>
          <w:rFonts w:ascii="Times New Roman" w:hAnsi="Times New Roman"/>
          <w:i/>
          <w:iCs/>
          <w:sz w:val="18"/>
          <w:szCs w:val="18"/>
        </w:rPr>
        <w:lastRenderedPageBreak/>
        <w:t>assumptions on the date of this news release, the Company cannot assure investors that actual results will be consistent with these forward-looking statements. The forward-looking statements contained in this press release are made as of the date hereof and the Company disclaims any intention or obligation to update or revise any forward-looking statements whether as a result of new information, future events or otherwise, except as required under applicable securities regulations.</w:t>
      </w:r>
    </w:p>
    <w:p w14:paraId="490BB0D5" w14:textId="608BB418" w:rsidR="003246D8" w:rsidRDefault="003246D8" w:rsidP="00F44D35">
      <w:pPr>
        <w:jc w:val="both"/>
        <w:rPr>
          <w:rFonts w:ascii="Times New Roman" w:hAnsi="Times New Roman"/>
          <w:i/>
          <w:iCs/>
          <w:sz w:val="18"/>
          <w:szCs w:val="18"/>
        </w:rPr>
      </w:pPr>
    </w:p>
    <w:sectPr w:rsidR="003246D8" w:rsidSect="00041499">
      <w:pgSz w:w="11906" w:h="16838"/>
      <w:pgMar w:top="709" w:right="1440" w:bottom="1440" w:left="1440"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93B0A" w14:textId="77777777" w:rsidR="006A39DF" w:rsidRDefault="006A39DF" w:rsidP="00175E96">
      <w:pPr>
        <w:spacing w:after="0" w:line="240" w:lineRule="auto"/>
      </w:pPr>
      <w:r>
        <w:separator/>
      </w:r>
    </w:p>
  </w:endnote>
  <w:endnote w:type="continuationSeparator" w:id="0">
    <w:p w14:paraId="3DA7B484" w14:textId="77777777" w:rsidR="006A39DF" w:rsidRDefault="006A39DF" w:rsidP="00175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751B5" w14:textId="77777777" w:rsidR="006A39DF" w:rsidRDefault="006A39DF" w:rsidP="00175E96">
      <w:pPr>
        <w:spacing w:after="0" w:line="240" w:lineRule="auto"/>
      </w:pPr>
      <w:r>
        <w:separator/>
      </w:r>
    </w:p>
  </w:footnote>
  <w:footnote w:type="continuationSeparator" w:id="0">
    <w:p w14:paraId="4C1314D7" w14:textId="77777777" w:rsidR="006A39DF" w:rsidRDefault="006A39DF" w:rsidP="00175E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038AB"/>
    <w:multiLevelType w:val="hybridMultilevel"/>
    <w:tmpl w:val="9438BE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E44AFE"/>
    <w:multiLevelType w:val="hybridMultilevel"/>
    <w:tmpl w:val="5074F9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05708B"/>
    <w:multiLevelType w:val="hybridMultilevel"/>
    <w:tmpl w:val="BDF4C4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3A39B5"/>
    <w:multiLevelType w:val="hybridMultilevel"/>
    <w:tmpl w:val="2270AB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84556C9"/>
    <w:multiLevelType w:val="hybridMultilevel"/>
    <w:tmpl w:val="5D0CEA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AC16341"/>
    <w:multiLevelType w:val="hybridMultilevel"/>
    <w:tmpl w:val="144852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3975D34"/>
    <w:multiLevelType w:val="hybridMultilevel"/>
    <w:tmpl w:val="B6901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A77D71"/>
    <w:multiLevelType w:val="multilevel"/>
    <w:tmpl w:val="47CC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580E24"/>
    <w:multiLevelType w:val="hybridMultilevel"/>
    <w:tmpl w:val="578AC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C95242"/>
    <w:multiLevelType w:val="hybridMultilevel"/>
    <w:tmpl w:val="42066634"/>
    <w:lvl w:ilvl="0" w:tplc="4670C662">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D241E7"/>
    <w:multiLevelType w:val="hybridMultilevel"/>
    <w:tmpl w:val="DD5CA6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6A4369F"/>
    <w:multiLevelType w:val="hybridMultilevel"/>
    <w:tmpl w:val="76E21D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77E7FF1"/>
    <w:multiLevelType w:val="hybridMultilevel"/>
    <w:tmpl w:val="19DA35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7BD69F7"/>
    <w:multiLevelType w:val="hybridMultilevel"/>
    <w:tmpl w:val="DDE06A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0"/>
  </w:num>
  <w:num w:numId="4">
    <w:abstractNumId w:val="1"/>
  </w:num>
  <w:num w:numId="5">
    <w:abstractNumId w:val="4"/>
  </w:num>
  <w:num w:numId="6">
    <w:abstractNumId w:val="5"/>
  </w:num>
  <w:num w:numId="7">
    <w:abstractNumId w:val="9"/>
  </w:num>
  <w:num w:numId="8">
    <w:abstractNumId w:val="11"/>
  </w:num>
  <w:num w:numId="9">
    <w:abstractNumId w:val="12"/>
  </w:num>
  <w:num w:numId="10">
    <w:abstractNumId w:val="3"/>
  </w:num>
  <w:num w:numId="11">
    <w:abstractNumId w:val="6"/>
  </w:num>
  <w:num w:numId="12">
    <w:abstractNumId w:val="7"/>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E96"/>
    <w:rsid w:val="000162B0"/>
    <w:rsid w:val="000224DA"/>
    <w:rsid w:val="00030548"/>
    <w:rsid w:val="00040B2A"/>
    <w:rsid w:val="00041392"/>
    <w:rsid w:val="00041499"/>
    <w:rsid w:val="0004271B"/>
    <w:rsid w:val="000437B8"/>
    <w:rsid w:val="00045973"/>
    <w:rsid w:val="000560CD"/>
    <w:rsid w:val="00057F75"/>
    <w:rsid w:val="000746F3"/>
    <w:rsid w:val="000766FF"/>
    <w:rsid w:val="00081FAA"/>
    <w:rsid w:val="000D2439"/>
    <w:rsid w:val="000E0049"/>
    <w:rsid w:val="000E7CB9"/>
    <w:rsid w:val="000F3D4D"/>
    <w:rsid w:val="001026BD"/>
    <w:rsid w:val="00134C0E"/>
    <w:rsid w:val="00172CD0"/>
    <w:rsid w:val="00175D3A"/>
    <w:rsid w:val="00175E96"/>
    <w:rsid w:val="0017749C"/>
    <w:rsid w:val="00181B9B"/>
    <w:rsid w:val="00196385"/>
    <w:rsid w:val="001B52FC"/>
    <w:rsid w:val="001E2C6D"/>
    <w:rsid w:val="001F3E23"/>
    <w:rsid w:val="001F48C1"/>
    <w:rsid w:val="00200600"/>
    <w:rsid w:val="002037FF"/>
    <w:rsid w:val="0023796A"/>
    <w:rsid w:val="00241831"/>
    <w:rsid w:val="002549E3"/>
    <w:rsid w:val="00256409"/>
    <w:rsid w:val="00261544"/>
    <w:rsid w:val="002702EE"/>
    <w:rsid w:val="0028637E"/>
    <w:rsid w:val="00287CA7"/>
    <w:rsid w:val="00296209"/>
    <w:rsid w:val="002A1781"/>
    <w:rsid w:val="002A4F59"/>
    <w:rsid w:val="002C05B8"/>
    <w:rsid w:val="002C75D2"/>
    <w:rsid w:val="002D0205"/>
    <w:rsid w:val="002F6B32"/>
    <w:rsid w:val="00302507"/>
    <w:rsid w:val="003161CC"/>
    <w:rsid w:val="003246D8"/>
    <w:rsid w:val="00330096"/>
    <w:rsid w:val="00351372"/>
    <w:rsid w:val="0036105A"/>
    <w:rsid w:val="00362163"/>
    <w:rsid w:val="003645B3"/>
    <w:rsid w:val="00365E4D"/>
    <w:rsid w:val="00371565"/>
    <w:rsid w:val="0037270C"/>
    <w:rsid w:val="003768D0"/>
    <w:rsid w:val="00381FC6"/>
    <w:rsid w:val="003B4F18"/>
    <w:rsid w:val="003C12FE"/>
    <w:rsid w:val="003E037F"/>
    <w:rsid w:val="003E1E39"/>
    <w:rsid w:val="003F3574"/>
    <w:rsid w:val="00432A2F"/>
    <w:rsid w:val="0043511C"/>
    <w:rsid w:val="00461A7C"/>
    <w:rsid w:val="004639CC"/>
    <w:rsid w:val="00467A15"/>
    <w:rsid w:val="004741A5"/>
    <w:rsid w:val="00485945"/>
    <w:rsid w:val="00491523"/>
    <w:rsid w:val="00495519"/>
    <w:rsid w:val="004C196F"/>
    <w:rsid w:val="004C5063"/>
    <w:rsid w:val="004D7278"/>
    <w:rsid w:val="004E7E85"/>
    <w:rsid w:val="004F1F50"/>
    <w:rsid w:val="004F657F"/>
    <w:rsid w:val="004F6F8F"/>
    <w:rsid w:val="00512B34"/>
    <w:rsid w:val="00524351"/>
    <w:rsid w:val="00525139"/>
    <w:rsid w:val="0053189C"/>
    <w:rsid w:val="0055199B"/>
    <w:rsid w:val="00555310"/>
    <w:rsid w:val="00555CC5"/>
    <w:rsid w:val="00562F44"/>
    <w:rsid w:val="005638BA"/>
    <w:rsid w:val="00564CB9"/>
    <w:rsid w:val="00565AC6"/>
    <w:rsid w:val="00571BDD"/>
    <w:rsid w:val="0057530D"/>
    <w:rsid w:val="00586CF7"/>
    <w:rsid w:val="0059198C"/>
    <w:rsid w:val="005924D3"/>
    <w:rsid w:val="005A3403"/>
    <w:rsid w:val="005A7917"/>
    <w:rsid w:val="005B3002"/>
    <w:rsid w:val="005B3EE2"/>
    <w:rsid w:val="005C39A6"/>
    <w:rsid w:val="005D2A6C"/>
    <w:rsid w:val="005D6E31"/>
    <w:rsid w:val="005E3746"/>
    <w:rsid w:val="005E6E00"/>
    <w:rsid w:val="005E799C"/>
    <w:rsid w:val="005F4B52"/>
    <w:rsid w:val="0060309B"/>
    <w:rsid w:val="00603ED6"/>
    <w:rsid w:val="006308E5"/>
    <w:rsid w:val="00630F1F"/>
    <w:rsid w:val="00646CAC"/>
    <w:rsid w:val="00654C9C"/>
    <w:rsid w:val="00663ABD"/>
    <w:rsid w:val="00682434"/>
    <w:rsid w:val="006865D1"/>
    <w:rsid w:val="00695B54"/>
    <w:rsid w:val="006A39DF"/>
    <w:rsid w:val="006D5CCC"/>
    <w:rsid w:val="006D7861"/>
    <w:rsid w:val="006E3EE7"/>
    <w:rsid w:val="006E4EA5"/>
    <w:rsid w:val="006F5DB7"/>
    <w:rsid w:val="006F6814"/>
    <w:rsid w:val="006F6FA9"/>
    <w:rsid w:val="006F78C0"/>
    <w:rsid w:val="007021BE"/>
    <w:rsid w:val="00705E5A"/>
    <w:rsid w:val="007069A5"/>
    <w:rsid w:val="00714CCC"/>
    <w:rsid w:val="00725780"/>
    <w:rsid w:val="00735D31"/>
    <w:rsid w:val="00736063"/>
    <w:rsid w:val="0074322C"/>
    <w:rsid w:val="00743542"/>
    <w:rsid w:val="00751B62"/>
    <w:rsid w:val="00753219"/>
    <w:rsid w:val="00782189"/>
    <w:rsid w:val="00785638"/>
    <w:rsid w:val="007B0117"/>
    <w:rsid w:val="007C529C"/>
    <w:rsid w:val="007F485A"/>
    <w:rsid w:val="007F4970"/>
    <w:rsid w:val="00804C45"/>
    <w:rsid w:val="00821367"/>
    <w:rsid w:val="00831803"/>
    <w:rsid w:val="00843D99"/>
    <w:rsid w:val="00851CAF"/>
    <w:rsid w:val="008625C8"/>
    <w:rsid w:val="0086312F"/>
    <w:rsid w:val="0087276A"/>
    <w:rsid w:val="00881BDF"/>
    <w:rsid w:val="008846A9"/>
    <w:rsid w:val="008B4F89"/>
    <w:rsid w:val="008B68B3"/>
    <w:rsid w:val="008C11FC"/>
    <w:rsid w:val="008C4FE3"/>
    <w:rsid w:val="008D2257"/>
    <w:rsid w:val="008D53D1"/>
    <w:rsid w:val="008F5E0E"/>
    <w:rsid w:val="008F66F3"/>
    <w:rsid w:val="00931EC8"/>
    <w:rsid w:val="009326B0"/>
    <w:rsid w:val="00943A13"/>
    <w:rsid w:val="00944B7C"/>
    <w:rsid w:val="00957C5E"/>
    <w:rsid w:val="009642E5"/>
    <w:rsid w:val="00983CD6"/>
    <w:rsid w:val="009C71D1"/>
    <w:rsid w:val="009D687D"/>
    <w:rsid w:val="009F11AD"/>
    <w:rsid w:val="009F39B9"/>
    <w:rsid w:val="009F70ED"/>
    <w:rsid w:val="00A06171"/>
    <w:rsid w:val="00A12719"/>
    <w:rsid w:val="00A15870"/>
    <w:rsid w:val="00A20005"/>
    <w:rsid w:val="00A27EDE"/>
    <w:rsid w:val="00A34A08"/>
    <w:rsid w:val="00A73CBE"/>
    <w:rsid w:val="00A931E2"/>
    <w:rsid w:val="00A93F31"/>
    <w:rsid w:val="00A974E4"/>
    <w:rsid w:val="00A97A81"/>
    <w:rsid w:val="00AA3883"/>
    <w:rsid w:val="00AA49A8"/>
    <w:rsid w:val="00AB024F"/>
    <w:rsid w:val="00AB560A"/>
    <w:rsid w:val="00AC688C"/>
    <w:rsid w:val="00AD7A37"/>
    <w:rsid w:val="00AE0CFA"/>
    <w:rsid w:val="00AE3D7A"/>
    <w:rsid w:val="00AF537C"/>
    <w:rsid w:val="00B125CC"/>
    <w:rsid w:val="00B1372F"/>
    <w:rsid w:val="00B16E5D"/>
    <w:rsid w:val="00B17E64"/>
    <w:rsid w:val="00B347A1"/>
    <w:rsid w:val="00B750A8"/>
    <w:rsid w:val="00B84971"/>
    <w:rsid w:val="00BA6C86"/>
    <w:rsid w:val="00BC251C"/>
    <w:rsid w:val="00BC310C"/>
    <w:rsid w:val="00BD1E2D"/>
    <w:rsid w:val="00BF02A9"/>
    <w:rsid w:val="00C06AA2"/>
    <w:rsid w:val="00C27F81"/>
    <w:rsid w:val="00C479EC"/>
    <w:rsid w:val="00C654A6"/>
    <w:rsid w:val="00C85D3A"/>
    <w:rsid w:val="00C94AB4"/>
    <w:rsid w:val="00C960D9"/>
    <w:rsid w:val="00C97112"/>
    <w:rsid w:val="00CB3D08"/>
    <w:rsid w:val="00CB3DDB"/>
    <w:rsid w:val="00CC0BEF"/>
    <w:rsid w:val="00CD2E21"/>
    <w:rsid w:val="00CD659F"/>
    <w:rsid w:val="00CE5A7F"/>
    <w:rsid w:val="00D16813"/>
    <w:rsid w:val="00D22EC6"/>
    <w:rsid w:val="00D36B22"/>
    <w:rsid w:val="00D47E43"/>
    <w:rsid w:val="00D64C7D"/>
    <w:rsid w:val="00D82F19"/>
    <w:rsid w:val="00DA03AB"/>
    <w:rsid w:val="00DB5885"/>
    <w:rsid w:val="00DC154D"/>
    <w:rsid w:val="00DC5AC3"/>
    <w:rsid w:val="00DC6DB1"/>
    <w:rsid w:val="00E03945"/>
    <w:rsid w:val="00E13974"/>
    <w:rsid w:val="00E15E04"/>
    <w:rsid w:val="00E20129"/>
    <w:rsid w:val="00E30D1D"/>
    <w:rsid w:val="00E34144"/>
    <w:rsid w:val="00E4429B"/>
    <w:rsid w:val="00E50317"/>
    <w:rsid w:val="00E55B82"/>
    <w:rsid w:val="00E618AF"/>
    <w:rsid w:val="00E6592C"/>
    <w:rsid w:val="00E82D25"/>
    <w:rsid w:val="00E8380C"/>
    <w:rsid w:val="00E8727B"/>
    <w:rsid w:val="00EA0EBF"/>
    <w:rsid w:val="00EB1F2D"/>
    <w:rsid w:val="00EB344C"/>
    <w:rsid w:val="00EC721D"/>
    <w:rsid w:val="00ED3F38"/>
    <w:rsid w:val="00EE15E0"/>
    <w:rsid w:val="00F130EF"/>
    <w:rsid w:val="00F44D35"/>
    <w:rsid w:val="00F51065"/>
    <w:rsid w:val="00F515FD"/>
    <w:rsid w:val="00F53309"/>
    <w:rsid w:val="00F63F72"/>
    <w:rsid w:val="00F70DB8"/>
    <w:rsid w:val="00F75ADE"/>
    <w:rsid w:val="00F76200"/>
    <w:rsid w:val="00F84CDB"/>
    <w:rsid w:val="00F96199"/>
    <w:rsid w:val="00F96A69"/>
    <w:rsid w:val="00FB6671"/>
    <w:rsid w:val="00FD1953"/>
    <w:rsid w:val="00FE6428"/>
    <w:rsid w:val="00FF0A5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12B46E"/>
  <w15:chartTrackingRefBased/>
  <w15:docId w15:val="{DC287FDA-C010-4F85-A4F1-9E62FF337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565"/>
    <w:pPr>
      <w:spacing w:after="200" w:line="276" w:lineRule="auto"/>
    </w:pPr>
    <w:rPr>
      <w:rFonts w:ascii="Calibri" w:eastAsia="Calibri" w:hAnsi="Calibri" w:cs="Times New Roman"/>
    </w:rPr>
  </w:style>
  <w:style w:type="paragraph" w:styleId="Heading2">
    <w:name w:val="heading 2"/>
    <w:basedOn w:val="Normal"/>
    <w:link w:val="Heading2Char"/>
    <w:uiPriority w:val="9"/>
    <w:qFormat/>
    <w:rsid w:val="00175E96"/>
    <w:pPr>
      <w:spacing w:before="100" w:beforeAutospacing="1" w:after="100" w:afterAutospacing="1" w:line="240" w:lineRule="auto"/>
      <w:outlineLvl w:val="1"/>
    </w:pPr>
    <w:rPr>
      <w:rFonts w:ascii="Times New Roman" w:eastAsia="Times New Roman" w:hAnsi="Times New Roman"/>
      <w:b/>
      <w:bCs/>
      <w:sz w:val="36"/>
      <w:szCs w:val="36"/>
      <w:lang w:eastAsia="en-CA"/>
    </w:rPr>
  </w:style>
  <w:style w:type="paragraph" w:styleId="Heading3">
    <w:name w:val="heading 3"/>
    <w:basedOn w:val="Normal"/>
    <w:next w:val="Normal"/>
    <w:link w:val="Heading3Char"/>
    <w:uiPriority w:val="9"/>
    <w:semiHidden/>
    <w:unhideWhenUsed/>
    <w:qFormat/>
    <w:rsid w:val="00705E5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E96"/>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175E96"/>
  </w:style>
  <w:style w:type="paragraph" w:styleId="Footer">
    <w:name w:val="footer"/>
    <w:basedOn w:val="Normal"/>
    <w:link w:val="FooterChar"/>
    <w:uiPriority w:val="99"/>
    <w:unhideWhenUsed/>
    <w:rsid w:val="00175E96"/>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175E96"/>
  </w:style>
  <w:style w:type="character" w:customStyle="1" w:styleId="locality">
    <w:name w:val="locality"/>
    <w:basedOn w:val="DefaultParagraphFont"/>
    <w:rsid w:val="00175E96"/>
  </w:style>
  <w:style w:type="character" w:customStyle="1" w:styleId="state">
    <w:name w:val="state"/>
    <w:basedOn w:val="DefaultParagraphFont"/>
    <w:rsid w:val="00175E96"/>
  </w:style>
  <w:style w:type="character" w:customStyle="1" w:styleId="postal-code">
    <w:name w:val="postal-code"/>
    <w:basedOn w:val="DefaultParagraphFont"/>
    <w:rsid w:val="00175E96"/>
  </w:style>
  <w:style w:type="character" w:customStyle="1" w:styleId="country">
    <w:name w:val="country"/>
    <w:basedOn w:val="DefaultParagraphFont"/>
    <w:rsid w:val="00175E96"/>
  </w:style>
  <w:style w:type="character" w:customStyle="1" w:styleId="Heading2Char">
    <w:name w:val="Heading 2 Char"/>
    <w:basedOn w:val="DefaultParagraphFont"/>
    <w:link w:val="Heading2"/>
    <w:uiPriority w:val="9"/>
    <w:rsid w:val="00175E96"/>
    <w:rPr>
      <w:rFonts w:ascii="Times New Roman" w:eastAsia="Times New Roman" w:hAnsi="Times New Roman" w:cs="Times New Roman"/>
      <w:b/>
      <w:bCs/>
      <w:sz w:val="36"/>
      <w:szCs w:val="36"/>
      <w:lang w:eastAsia="en-CA"/>
    </w:rPr>
  </w:style>
  <w:style w:type="paragraph" w:styleId="BodyText">
    <w:name w:val="Body Text"/>
    <w:basedOn w:val="Normal"/>
    <w:link w:val="BodyTextChar"/>
    <w:rsid w:val="0057530D"/>
    <w:pPr>
      <w:widowControl w:val="0"/>
      <w:overflowPunct w:val="0"/>
      <w:autoSpaceDE w:val="0"/>
      <w:autoSpaceDN w:val="0"/>
      <w:adjustRightInd w:val="0"/>
      <w:spacing w:after="0" w:line="240" w:lineRule="auto"/>
      <w:textAlignment w:val="baseline"/>
    </w:pPr>
    <w:rPr>
      <w:rFonts w:ascii="Arial" w:eastAsia="Times New Roman" w:hAnsi="Arial"/>
      <w:sz w:val="24"/>
      <w:szCs w:val="20"/>
      <w:lang w:val="en-US"/>
    </w:rPr>
  </w:style>
  <w:style w:type="character" w:customStyle="1" w:styleId="BodyTextChar">
    <w:name w:val="Body Text Char"/>
    <w:basedOn w:val="DefaultParagraphFont"/>
    <w:link w:val="BodyText"/>
    <w:rsid w:val="0057530D"/>
    <w:rPr>
      <w:rFonts w:ascii="Arial" w:eastAsia="Times New Roman" w:hAnsi="Arial" w:cs="Times New Roman"/>
      <w:sz w:val="24"/>
      <w:szCs w:val="20"/>
      <w:lang w:val="en-US"/>
    </w:rPr>
  </w:style>
  <w:style w:type="character" w:customStyle="1" w:styleId="Heading3Char">
    <w:name w:val="Heading 3 Char"/>
    <w:basedOn w:val="DefaultParagraphFont"/>
    <w:link w:val="Heading3"/>
    <w:uiPriority w:val="9"/>
    <w:semiHidden/>
    <w:rsid w:val="00705E5A"/>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330096"/>
    <w:pPr>
      <w:spacing w:before="100" w:beforeAutospacing="1" w:after="100" w:afterAutospacing="1" w:line="240" w:lineRule="auto"/>
    </w:pPr>
    <w:rPr>
      <w:rFonts w:ascii="Times New Roman" w:eastAsiaTheme="minorHAnsi" w:hAnsi="Times New Roman"/>
      <w:sz w:val="24"/>
      <w:szCs w:val="24"/>
      <w:lang w:val="en-US"/>
    </w:rPr>
  </w:style>
  <w:style w:type="paragraph" w:styleId="ListParagraph">
    <w:name w:val="List Paragraph"/>
    <w:basedOn w:val="Normal"/>
    <w:uiPriority w:val="34"/>
    <w:qFormat/>
    <w:rsid w:val="00330096"/>
    <w:pPr>
      <w:ind w:left="720"/>
      <w:contextualSpacing/>
    </w:pPr>
  </w:style>
  <w:style w:type="paragraph" w:styleId="BalloonText">
    <w:name w:val="Balloon Text"/>
    <w:basedOn w:val="Normal"/>
    <w:link w:val="BalloonTextChar"/>
    <w:uiPriority w:val="99"/>
    <w:semiHidden/>
    <w:unhideWhenUsed/>
    <w:rsid w:val="00565A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AC6"/>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D22EC6"/>
    <w:rPr>
      <w:sz w:val="16"/>
      <w:szCs w:val="16"/>
    </w:rPr>
  </w:style>
  <w:style w:type="paragraph" w:styleId="CommentText">
    <w:name w:val="annotation text"/>
    <w:basedOn w:val="Normal"/>
    <w:link w:val="CommentTextChar"/>
    <w:uiPriority w:val="99"/>
    <w:semiHidden/>
    <w:unhideWhenUsed/>
    <w:rsid w:val="00D22EC6"/>
    <w:pPr>
      <w:spacing w:line="240" w:lineRule="auto"/>
    </w:pPr>
    <w:rPr>
      <w:sz w:val="20"/>
      <w:szCs w:val="20"/>
    </w:rPr>
  </w:style>
  <w:style w:type="character" w:customStyle="1" w:styleId="CommentTextChar">
    <w:name w:val="Comment Text Char"/>
    <w:basedOn w:val="DefaultParagraphFont"/>
    <w:link w:val="CommentText"/>
    <w:uiPriority w:val="99"/>
    <w:semiHidden/>
    <w:rsid w:val="00D22EC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22EC6"/>
    <w:rPr>
      <w:b/>
      <w:bCs/>
    </w:rPr>
  </w:style>
  <w:style w:type="character" w:customStyle="1" w:styleId="CommentSubjectChar">
    <w:name w:val="Comment Subject Char"/>
    <w:basedOn w:val="CommentTextChar"/>
    <w:link w:val="CommentSubject"/>
    <w:uiPriority w:val="99"/>
    <w:semiHidden/>
    <w:rsid w:val="00D22EC6"/>
    <w:rPr>
      <w:rFonts w:ascii="Calibri" w:eastAsia="Calibri" w:hAnsi="Calibri" w:cs="Times New Roman"/>
      <w:b/>
      <w:bCs/>
      <w:sz w:val="20"/>
      <w:szCs w:val="20"/>
    </w:rPr>
  </w:style>
  <w:style w:type="paragraph" w:styleId="Revision">
    <w:name w:val="Revision"/>
    <w:hidden/>
    <w:uiPriority w:val="99"/>
    <w:semiHidden/>
    <w:rsid w:val="001B52FC"/>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9F70ED"/>
    <w:rPr>
      <w:color w:val="0000FF"/>
      <w:u w:val="single"/>
    </w:rPr>
  </w:style>
  <w:style w:type="character" w:customStyle="1" w:styleId="UnresolvedMention1">
    <w:name w:val="Unresolved Mention1"/>
    <w:basedOn w:val="DefaultParagraphFont"/>
    <w:uiPriority w:val="99"/>
    <w:semiHidden/>
    <w:unhideWhenUsed/>
    <w:rsid w:val="00B17E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970300">
      <w:bodyDiv w:val="1"/>
      <w:marLeft w:val="0"/>
      <w:marRight w:val="0"/>
      <w:marTop w:val="0"/>
      <w:marBottom w:val="0"/>
      <w:divBdr>
        <w:top w:val="none" w:sz="0" w:space="0" w:color="auto"/>
        <w:left w:val="none" w:sz="0" w:space="0" w:color="auto"/>
        <w:bottom w:val="none" w:sz="0" w:space="0" w:color="auto"/>
        <w:right w:val="none" w:sz="0" w:space="0" w:color="auto"/>
      </w:divBdr>
    </w:div>
    <w:div w:id="609632841">
      <w:bodyDiv w:val="1"/>
      <w:marLeft w:val="0"/>
      <w:marRight w:val="0"/>
      <w:marTop w:val="0"/>
      <w:marBottom w:val="0"/>
      <w:divBdr>
        <w:top w:val="none" w:sz="0" w:space="0" w:color="auto"/>
        <w:left w:val="none" w:sz="0" w:space="0" w:color="auto"/>
        <w:bottom w:val="none" w:sz="0" w:space="0" w:color="auto"/>
        <w:right w:val="none" w:sz="0" w:space="0" w:color="auto"/>
      </w:divBdr>
    </w:div>
    <w:div w:id="999694800">
      <w:bodyDiv w:val="1"/>
      <w:marLeft w:val="0"/>
      <w:marRight w:val="0"/>
      <w:marTop w:val="0"/>
      <w:marBottom w:val="0"/>
      <w:divBdr>
        <w:top w:val="none" w:sz="0" w:space="0" w:color="auto"/>
        <w:left w:val="none" w:sz="0" w:space="0" w:color="auto"/>
        <w:bottom w:val="none" w:sz="0" w:space="0" w:color="auto"/>
        <w:right w:val="none" w:sz="0" w:space="0" w:color="auto"/>
      </w:divBdr>
      <w:divsChild>
        <w:div w:id="1226646809">
          <w:marLeft w:val="0"/>
          <w:marRight w:val="0"/>
          <w:marTop w:val="0"/>
          <w:marBottom w:val="0"/>
          <w:divBdr>
            <w:top w:val="none" w:sz="0" w:space="0" w:color="auto"/>
            <w:left w:val="none" w:sz="0" w:space="0" w:color="auto"/>
            <w:bottom w:val="none" w:sz="0" w:space="0" w:color="auto"/>
            <w:right w:val="none" w:sz="0" w:space="0" w:color="auto"/>
          </w:divBdr>
          <w:divsChild>
            <w:div w:id="1548106885">
              <w:marLeft w:val="0"/>
              <w:marRight w:val="0"/>
              <w:marTop w:val="0"/>
              <w:marBottom w:val="0"/>
              <w:divBdr>
                <w:top w:val="none" w:sz="0" w:space="0" w:color="auto"/>
                <w:left w:val="none" w:sz="0" w:space="0" w:color="auto"/>
                <w:bottom w:val="none" w:sz="0" w:space="0" w:color="auto"/>
                <w:right w:val="none" w:sz="0" w:space="0" w:color="auto"/>
              </w:divBdr>
            </w:div>
          </w:divsChild>
        </w:div>
        <w:div w:id="814879016">
          <w:marLeft w:val="0"/>
          <w:marRight w:val="0"/>
          <w:marTop w:val="0"/>
          <w:marBottom w:val="0"/>
          <w:divBdr>
            <w:top w:val="none" w:sz="0" w:space="0" w:color="auto"/>
            <w:left w:val="none" w:sz="0" w:space="0" w:color="auto"/>
            <w:bottom w:val="none" w:sz="0" w:space="0" w:color="auto"/>
            <w:right w:val="none" w:sz="0" w:space="0" w:color="auto"/>
          </w:divBdr>
        </w:div>
      </w:divsChild>
    </w:div>
    <w:div w:id="1375234359">
      <w:bodyDiv w:val="1"/>
      <w:marLeft w:val="0"/>
      <w:marRight w:val="0"/>
      <w:marTop w:val="0"/>
      <w:marBottom w:val="0"/>
      <w:divBdr>
        <w:top w:val="none" w:sz="0" w:space="0" w:color="auto"/>
        <w:left w:val="none" w:sz="0" w:space="0" w:color="auto"/>
        <w:bottom w:val="none" w:sz="0" w:space="0" w:color="auto"/>
        <w:right w:val="none" w:sz="0" w:space="0" w:color="auto"/>
      </w:divBdr>
    </w:div>
    <w:div w:id="159790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Arielle</cp:lastModifiedBy>
  <cp:revision>6</cp:revision>
  <dcterms:created xsi:type="dcterms:W3CDTF">2020-08-14T01:31:00Z</dcterms:created>
  <dcterms:modified xsi:type="dcterms:W3CDTF">2020-08-14T02:20:00Z</dcterms:modified>
</cp:coreProperties>
</file>