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452010" w14:textId="27EC882E" w:rsidR="00C479D2" w:rsidRDefault="00DB5C91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116E4" wp14:editId="396CC077">
            <wp:simplePos x="0" y="0"/>
            <wp:positionH relativeFrom="column">
              <wp:posOffset>4682050</wp:posOffset>
            </wp:positionH>
            <wp:positionV relativeFrom="paragraph">
              <wp:posOffset>-795215</wp:posOffset>
            </wp:positionV>
            <wp:extent cx="182880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CHEMIST FINAL 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6A76" w14:textId="77777777" w:rsidR="00DB5C91" w:rsidRDefault="00DB5C91">
      <w:pPr>
        <w:pStyle w:val="Title"/>
        <w:spacing w:after="0"/>
      </w:pPr>
    </w:p>
    <w:p w14:paraId="1A4428D3" w14:textId="77777777" w:rsidR="00DB5C91" w:rsidRDefault="00DB5C91">
      <w:pPr>
        <w:pStyle w:val="Title"/>
        <w:spacing w:after="0"/>
        <w:rPr>
          <w:caps w:val="0"/>
          <w:lang w:val="en-US"/>
        </w:rPr>
      </w:pPr>
    </w:p>
    <w:p w14:paraId="78B44DC0" w14:textId="66CBE6A9" w:rsidR="00015DD3" w:rsidRPr="00015DD3" w:rsidRDefault="0037491A" w:rsidP="00015DD3">
      <w:pPr>
        <w:shd w:val="clear" w:color="auto" w:fill="FFFFFF"/>
        <w:spacing w:after="180"/>
        <w:rPr>
          <w:rFonts w:ascii="Abel" w:eastAsia="Abel" w:hAnsi="Abel" w:cs="Abel"/>
          <w:color w:val="767171"/>
          <w:sz w:val="50"/>
          <w:szCs w:val="50"/>
        </w:rPr>
      </w:pPr>
      <w:r w:rsidRPr="00B162D4">
        <w:rPr>
          <w:rFonts w:ascii="Abel" w:eastAsia="Abel" w:hAnsi="Abel" w:cs="Abel"/>
          <w:color w:val="767171"/>
          <w:sz w:val="50"/>
          <w:szCs w:val="50"/>
        </w:rPr>
        <w:t xml:space="preserve">Alchemist </w:t>
      </w:r>
      <w:r w:rsidR="00B05726">
        <w:rPr>
          <w:rFonts w:ascii="Abel" w:eastAsia="Abel" w:hAnsi="Abel" w:cs="Abel"/>
          <w:color w:val="767171"/>
          <w:sz w:val="50"/>
          <w:szCs w:val="50"/>
        </w:rPr>
        <w:t>Announces</w:t>
      </w:r>
      <w:r w:rsidR="00B05726" w:rsidRPr="00B162D4">
        <w:rPr>
          <w:rFonts w:ascii="Abel" w:eastAsia="Abel" w:hAnsi="Abel" w:cs="Abel"/>
          <w:color w:val="767171"/>
          <w:sz w:val="50"/>
          <w:szCs w:val="50"/>
        </w:rPr>
        <w:t xml:space="preserve"> </w:t>
      </w:r>
      <w:r w:rsidR="0053778C">
        <w:rPr>
          <w:rFonts w:ascii="Abel" w:eastAsia="Abel" w:hAnsi="Abel" w:cs="Abel"/>
          <w:color w:val="767171"/>
          <w:sz w:val="50"/>
          <w:szCs w:val="50"/>
        </w:rPr>
        <w:t xml:space="preserve">Filing of </w:t>
      </w:r>
      <w:r w:rsidR="00856707">
        <w:rPr>
          <w:rFonts w:ascii="Abel" w:eastAsia="Abel" w:hAnsi="Abel" w:cs="Abel"/>
          <w:color w:val="767171"/>
          <w:sz w:val="50"/>
          <w:szCs w:val="50"/>
        </w:rPr>
        <w:t xml:space="preserve">Draft </w:t>
      </w:r>
      <w:r w:rsidR="0053778C">
        <w:rPr>
          <w:rFonts w:ascii="Abel" w:eastAsia="Abel" w:hAnsi="Abel" w:cs="Abel"/>
          <w:color w:val="767171"/>
          <w:sz w:val="50"/>
          <w:szCs w:val="50"/>
        </w:rPr>
        <w:t>Listing Statement with the CSE and Amendment of APA with All Nations</w:t>
      </w:r>
    </w:p>
    <w:p w14:paraId="6D26C501" w14:textId="77777777" w:rsidR="00C479D2" w:rsidRPr="00015DD3" w:rsidRDefault="00C479D2">
      <w:pPr>
        <w:pStyle w:val="Body"/>
        <w:spacing w:line="360" w:lineRule="auto"/>
        <w:rPr>
          <w:rFonts w:ascii="Abel" w:hAnsi="Abel"/>
        </w:rPr>
      </w:pPr>
    </w:p>
    <w:p w14:paraId="6392B835" w14:textId="1B49F4A6" w:rsidR="00015DD3" w:rsidRPr="00015DD3" w:rsidRDefault="0053778C" w:rsidP="00015DD3">
      <w:pPr>
        <w:pStyle w:val="Body"/>
        <w:spacing w:line="360" w:lineRule="auto"/>
        <w:rPr>
          <w:rFonts w:ascii="Abel" w:hAnsi="Abel"/>
        </w:rPr>
      </w:pPr>
      <w:r>
        <w:rPr>
          <w:rFonts w:ascii="Abel" w:hAnsi="Abel"/>
        </w:rPr>
        <w:t xml:space="preserve">March </w:t>
      </w:r>
      <w:r w:rsidR="005052EA">
        <w:rPr>
          <w:rFonts w:ascii="Abel" w:hAnsi="Abel"/>
        </w:rPr>
        <w:t>10</w:t>
      </w:r>
      <w:r>
        <w:rPr>
          <w:rFonts w:ascii="Abel" w:hAnsi="Abel"/>
        </w:rPr>
        <w:t>, 2021</w:t>
      </w:r>
    </w:p>
    <w:p w14:paraId="32FFC884" w14:textId="77777777" w:rsidR="00B91648" w:rsidRDefault="00F62268" w:rsidP="00800F97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 w:rsidRPr="00F62268">
        <w:rPr>
          <w:rFonts w:ascii="Abel" w:eastAsia="Abel" w:hAnsi="Abel" w:cs="Abel"/>
          <w:color w:val="6D7275"/>
          <w:sz w:val="22"/>
          <w:szCs w:val="22"/>
        </w:rPr>
        <w:t>Vancouver, BC – Alchemist Mining Inc. (</w:t>
      </w:r>
      <w:proofErr w:type="gramStart"/>
      <w:r w:rsidRPr="00F62268">
        <w:rPr>
          <w:rFonts w:ascii="Abel" w:eastAsia="Abel" w:hAnsi="Abel" w:cs="Abel"/>
          <w:color w:val="6D7275"/>
          <w:sz w:val="22"/>
          <w:szCs w:val="22"/>
        </w:rPr>
        <w:t>CSE:AMS.X</w:t>
      </w:r>
      <w:proofErr w:type="gramEnd"/>
      <w:r w:rsidRPr="00F62268">
        <w:rPr>
          <w:rFonts w:ascii="Abel" w:eastAsia="Abel" w:hAnsi="Abel" w:cs="Abel"/>
          <w:color w:val="6D7275"/>
          <w:sz w:val="22"/>
          <w:szCs w:val="22"/>
        </w:rPr>
        <w:t>) (“</w:t>
      </w:r>
      <w:r w:rsidRPr="008A07A2">
        <w:rPr>
          <w:rFonts w:ascii="Abel" w:eastAsia="Abel" w:hAnsi="Abel" w:cs="Abel"/>
          <w:b/>
          <w:bCs/>
          <w:color w:val="6D7275"/>
          <w:sz w:val="22"/>
          <w:szCs w:val="22"/>
        </w:rPr>
        <w:t>Alchemist</w:t>
      </w:r>
      <w:r w:rsidRPr="00F62268">
        <w:rPr>
          <w:rFonts w:ascii="Abel" w:eastAsia="Abel" w:hAnsi="Abel" w:cs="Abel"/>
          <w:color w:val="6D7275"/>
          <w:sz w:val="22"/>
          <w:szCs w:val="22"/>
        </w:rPr>
        <w:t>” or the “</w:t>
      </w:r>
      <w:r w:rsidRPr="008A07A2">
        <w:rPr>
          <w:rFonts w:ascii="Abel" w:eastAsia="Abel" w:hAnsi="Abel" w:cs="Abel"/>
          <w:b/>
          <w:bCs/>
          <w:color w:val="6D7275"/>
          <w:sz w:val="22"/>
          <w:szCs w:val="22"/>
        </w:rPr>
        <w:t>Company</w:t>
      </w:r>
      <w:r w:rsidRPr="00F62268">
        <w:rPr>
          <w:rFonts w:ascii="Abel" w:eastAsia="Abel" w:hAnsi="Abel" w:cs="Abel"/>
          <w:color w:val="6D7275"/>
          <w:sz w:val="22"/>
          <w:szCs w:val="22"/>
        </w:rPr>
        <w:t>”)</w:t>
      </w:r>
      <w:r>
        <w:rPr>
          <w:rFonts w:ascii="Abel" w:eastAsia="Abel" w:hAnsi="Abel" w:cs="Abel"/>
          <w:color w:val="6D7275"/>
          <w:sz w:val="22"/>
          <w:szCs w:val="22"/>
        </w:rPr>
        <w:t xml:space="preserve"> 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 xml:space="preserve">is pleased to announce </w:t>
      </w:r>
      <w:r>
        <w:rPr>
          <w:rFonts w:ascii="Abel" w:eastAsia="Abel" w:hAnsi="Abel" w:cs="Abel"/>
          <w:color w:val="6D7275"/>
          <w:sz w:val="22"/>
          <w:szCs w:val="22"/>
        </w:rPr>
        <w:t xml:space="preserve">that it has </w:t>
      </w:r>
      <w:r w:rsidR="00B91648">
        <w:rPr>
          <w:rFonts w:ascii="Abel" w:eastAsia="Abel" w:hAnsi="Abel" w:cs="Abel"/>
          <w:color w:val="6D7275"/>
          <w:sz w:val="22"/>
          <w:szCs w:val="22"/>
        </w:rPr>
        <w:t>submitted an initial listing statement (the “</w:t>
      </w:r>
      <w:r w:rsidR="00B91648" w:rsidRPr="00B91648">
        <w:rPr>
          <w:rFonts w:ascii="Abel" w:eastAsia="Abel" w:hAnsi="Abel" w:cs="Abel"/>
          <w:b/>
          <w:bCs/>
          <w:color w:val="6D7275"/>
          <w:sz w:val="22"/>
          <w:szCs w:val="22"/>
        </w:rPr>
        <w:t>Listing Statement</w:t>
      </w:r>
      <w:r w:rsidR="00B91648">
        <w:rPr>
          <w:rFonts w:ascii="Abel" w:eastAsia="Abel" w:hAnsi="Abel" w:cs="Abel"/>
          <w:color w:val="6D7275"/>
          <w:sz w:val="22"/>
          <w:szCs w:val="22"/>
        </w:rPr>
        <w:t>”) with the Canadian Securities Exchange (the “</w:t>
      </w:r>
      <w:r w:rsidR="00B91648" w:rsidRPr="00B91648">
        <w:rPr>
          <w:rFonts w:ascii="Abel" w:eastAsia="Abel" w:hAnsi="Abel" w:cs="Abel"/>
          <w:b/>
          <w:bCs/>
          <w:color w:val="6D7275"/>
          <w:sz w:val="22"/>
          <w:szCs w:val="22"/>
        </w:rPr>
        <w:t>CSE</w:t>
      </w:r>
      <w:r w:rsidR="00B91648">
        <w:rPr>
          <w:rFonts w:ascii="Abel" w:eastAsia="Abel" w:hAnsi="Abel" w:cs="Abel"/>
          <w:color w:val="6D7275"/>
          <w:sz w:val="22"/>
          <w:szCs w:val="22"/>
        </w:rPr>
        <w:t>”) respecting its previously announced acquisition of assets (the “</w:t>
      </w:r>
      <w:r w:rsidR="00B91648" w:rsidRPr="00B91648">
        <w:rPr>
          <w:rFonts w:ascii="Abel" w:eastAsia="Abel" w:hAnsi="Abel" w:cs="Abel"/>
          <w:b/>
          <w:bCs/>
          <w:color w:val="6D7275"/>
          <w:sz w:val="22"/>
          <w:szCs w:val="22"/>
        </w:rPr>
        <w:t>Acquisition</w:t>
      </w:r>
      <w:r w:rsidR="00B91648">
        <w:rPr>
          <w:rFonts w:ascii="Abel" w:eastAsia="Abel" w:hAnsi="Abel" w:cs="Abel"/>
          <w:color w:val="6D7275"/>
          <w:sz w:val="22"/>
          <w:szCs w:val="22"/>
        </w:rPr>
        <w:t>”) from All Nations Cannabis Corporation (“</w:t>
      </w:r>
      <w:r w:rsidR="00B91648" w:rsidRPr="00B91648">
        <w:rPr>
          <w:rFonts w:ascii="Abel" w:eastAsia="Abel" w:hAnsi="Abel" w:cs="Abel"/>
          <w:b/>
          <w:bCs/>
          <w:color w:val="6D7275"/>
          <w:sz w:val="22"/>
          <w:szCs w:val="22"/>
        </w:rPr>
        <w:t>All Nations</w:t>
      </w:r>
      <w:r w:rsidR="00B91648">
        <w:rPr>
          <w:rFonts w:ascii="Abel" w:eastAsia="Abel" w:hAnsi="Abel" w:cs="Abel"/>
          <w:color w:val="6D7275"/>
          <w:sz w:val="22"/>
          <w:szCs w:val="22"/>
        </w:rPr>
        <w:t xml:space="preserve">”). </w:t>
      </w:r>
    </w:p>
    <w:p w14:paraId="65C6F52B" w14:textId="77777777" w:rsidR="00B91648" w:rsidRDefault="00B91648" w:rsidP="00800F97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</w:p>
    <w:p w14:paraId="10CD012B" w14:textId="3A3AAD1E" w:rsidR="00800F97" w:rsidRPr="00800F97" w:rsidRDefault="00B91648" w:rsidP="00800F97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The Company also announces that it and All Nations have amended and restated the terms of their prior asset purchase agreement respecting the Acquisition (as amended and restated, the “</w:t>
      </w:r>
      <w:r w:rsidRPr="00B91648">
        <w:rPr>
          <w:rFonts w:ascii="Abel" w:eastAsia="Abel" w:hAnsi="Abel" w:cs="Abel"/>
          <w:b/>
          <w:bCs/>
          <w:color w:val="6D7275"/>
          <w:sz w:val="22"/>
          <w:szCs w:val="22"/>
        </w:rPr>
        <w:t>Amended and Restated APA</w:t>
      </w:r>
      <w:r>
        <w:rPr>
          <w:rFonts w:ascii="Abel" w:eastAsia="Abel" w:hAnsi="Abel" w:cs="Abel"/>
          <w:color w:val="6D7275"/>
          <w:sz w:val="22"/>
          <w:szCs w:val="22"/>
        </w:rPr>
        <w:t xml:space="preserve">”), to provide for a “holdback” of up to 6.2% of the share consideration </w:t>
      </w:r>
      <w:r w:rsidR="00F87BC2">
        <w:rPr>
          <w:rFonts w:ascii="Abel" w:eastAsia="Abel" w:hAnsi="Abel" w:cs="Abel"/>
          <w:color w:val="6D7275"/>
          <w:sz w:val="22"/>
          <w:szCs w:val="22"/>
        </w:rPr>
        <w:t>(the “</w:t>
      </w:r>
      <w:r w:rsidR="00F87BC2" w:rsidRPr="00F87BC2">
        <w:rPr>
          <w:rFonts w:ascii="Abel" w:eastAsia="Abel" w:hAnsi="Abel" w:cs="Abel"/>
          <w:b/>
          <w:bCs/>
          <w:color w:val="6D7275"/>
          <w:sz w:val="22"/>
          <w:szCs w:val="22"/>
        </w:rPr>
        <w:t>Holdback Shares</w:t>
      </w:r>
      <w:r w:rsidR="00F87BC2">
        <w:rPr>
          <w:rFonts w:ascii="Abel" w:eastAsia="Abel" w:hAnsi="Abel" w:cs="Abel"/>
          <w:color w:val="6D7275"/>
          <w:sz w:val="22"/>
          <w:szCs w:val="22"/>
        </w:rPr>
        <w:t xml:space="preserve">”) </w:t>
      </w:r>
      <w:r>
        <w:rPr>
          <w:rFonts w:ascii="Abel" w:eastAsia="Abel" w:hAnsi="Abel" w:cs="Abel"/>
          <w:color w:val="6D7275"/>
          <w:sz w:val="22"/>
          <w:szCs w:val="22"/>
        </w:rPr>
        <w:t>payable thereunder in the event two of the leases to be acquired by the Company (the “</w:t>
      </w:r>
      <w:r w:rsidRPr="00B91648">
        <w:rPr>
          <w:rFonts w:ascii="Abel" w:eastAsia="Abel" w:hAnsi="Abel" w:cs="Abel"/>
          <w:b/>
          <w:bCs/>
          <w:color w:val="6D7275"/>
          <w:sz w:val="22"/>
          <w:szCs w:val="22"/>
        </w:rPr>
        <w:t>Holdback Leases</w:t>
      </w:r>
      <w:r>
        <w:rPr>
          <w:rFonts w:ascii="Abel" w:eastAsia="Abel" w:hAnsi="Abel" w:cs="Abel"/>
          <w:color w:val="6D7275"/>
          <w:sz w:val="22"/>
          <w:szCs w:val="22"/>
        </w:rPr>
        <w:t>”) are not successfully transferred to the Company on closing (the “</w:t>
      </w:r>
      <w:r w:rsidRPr="00B91648">
        <w:rPr>
          <w:rFonts w:ascii="Abel" w:eastAsia="Abel" w:hAnsi="Abel" w:cs="Abel"/>
          <w:b/>
          <w:bCs/>
          <w:color w:val="6D7275"/>
          <w:sz w:val="22"/>
          <w:szCs w:val="22"/>
        </w:rPr>
        <w:t>Closing</w:t>
      </w:r>
      <w:r>
        <w:rPr>
          <w:rFonts w:ascii="Abel" w:eastAsia="Abel" w:hAnsi="Abel" w:cs="Abel"/>
          <w:color w:val="6D7275"/>
          <w:sz w:val="22"/>
          <w:szCs w:val="22"/>
        </w:rPr>
        <w:t xml:space="preserve">”). The Amended and Restated APA provides that, if the Holdback Leases are transferred to the Company following </w:t>
      </w:r>
      <w:r w:rsidR="00F87BC2">
        <w:rPr>
          <w:rFonts w:ascii="Abel" w:eastAsia="Abel" w:hAnsi="Abel" w:cs="Abel"/>
          <w:color w:val="6D7275"/>
          <w:sz w:val="22"/>
          <w:szCs w:val="22"/>
        </w:rPr>
        <w:t xml:space="preserve">the </w:t>
      </w:r>
      <w:r>
        <w:rPr>
          <w:rFonts w:ascii="Abel" w:eastAsia="Abel" w:hAnsi="Abel" w:cs="Abel"/>
          <w:color w:val="6D7275"/>
          <w:sz w:val="22"/>
          <w:szCs w:val="22"/>
        </w:rPr>
        <w:t xml:space="preserve">Closing, the </w:t>
      </w:r>
      <w:r w:rsidR="00F87BC2">
        <w:rPr>
          <w:rFonts w:ascii="Abel" w:eastAsia="Abel" w:hAnsi="Abel" w:cs="Abel"/>
          <w:color w:val="6D7275"/>
          <w:sz w:val="22"/>
          <w:szCs w:val="22"/>
        </w:rPr>
        <w:t xml:space="preserve">Holdback Shares </w:t>
      </w:r>
      <w:r>
        <w:rPr>
          <w:rFonts w:ascii="Abel" w:eastAsia="Abel" w:hAnsi="Abel" w:cs="Abel"/>
          <w:color w:val="6D7275"/>
          <w:sz w:val="22"/>
          <w:szCs w:val="22"/>
        </w:rPr>
        <w:t>will be issued to All Nations.</w:t>
      </w:r>
    </w:p>
    <w:p w14:paraId="23B28BFD" w14:textId="77777777" w:rsidR="00800F97" w:rsidRPr="00800F97" w:rsidRDefault="00800F97" w:rsidP="00800F97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</w:p>
    <w:p w14:paraId="13B139B0" w14:textId="7432F8D9" w:rsidR="00800F97" w:rsidRPr="00800F97" w:rsidRDefault="00B91648" w:rsidP="00800F97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 w:rsidRPr="00800F97">
        <w:rPr>
          <w:rFonts w:ascii="Abel" w:eastAsia="Abel" w:hAnsi="Abel" w:cs="Abel"/>
          <w:color w:val="6D7275"/>
          <w:sz w:val="22"/>
          <w:szCs w:val="22"/>
        </w:rPr>
        <w:t xml:space="preserve">The </w:t>
      </w:r>
      <w:r>
        <w:rPr>
          <w:rFonts w:ascii="Abel" w:eastAsia="Abel" w:hAnsi="Abel" w:cs="Abel"/>
          <w:color w:val="6D7275"/>
          <w:sz w:val="22"/>
          <w:szCs w:val="22"/>
        </w:rPr>
        <w:t>Acquisition</w:t>
      </w:r>
      <w:r w:rsidRPr="004D12EB">
        <w:rPr>
          <w:rFonts w:ascii="Abel" w:eastAsia="Abel" w:hAnsi="Abel" w:cs="Abel"/>
          <w:color w:val="6D7275"/>
          <w:sz w:val="22"/>
          <w:szCs w:val="22"/>
        </w:rPr>
        <w:t xml:space="preserve"> will be an arm's length transaction</w:t>
      </w:r>
      <w:r w:rsidRPr="00800F97">
        <w:rPr>
          <w:rFonts w:ascii="Abel" w:eastAsia="Abel" w:hAnsi="Abel" w:cs="Abel"/>
          <w:color w:val="6D7275"/>
          <w:sz w:val="22"/>
          <w:szCs w:val="22"/>
        </w:rPr>
        <w:t xml:space="preserve"> </w:t>
      </w:r>
      <w:r>
        <w:rPr>
          <w:rFonts w:ascii="Abel" w:eastAsia="Abel" w:hAnsi="Abel" w:cs="Abel"/>
          <w:color w:val="6D7275"/>
          <w:sz w:val="22"/>
          <w:szCs w:val="22"/>
        </w:rPr>
        <w:t xml:space="preserve">and </w:t>
      </w:r>
      <w:r w:rsidRPr="00800F97">
        <w:rPr>
          <w:rFonts w:ascii="Abel" w:eastAsia="Abel" w:hAnsi="Abel" w:cs="Abel"/>
          <w:color w:val="6D7275"/>
          <w:sz w:val="22"/>
          <w:szCs w:val="22"/>
        </w:rPr>
        <w:t>is expected to constitute a change of business of Alchemist under the CSE’s rules and policies.</w:t>
      </w:r>
      <w:r w:rsidRPr="00ED0D1F">
        <w:rPr>
          <w:rFonts w:ascii="Abel" w:eastAsia="Abel" w:hAnsi="Abel" w:cs="Abel"/>
          <w:color w:val="6D7275"/>
          <w:sz w:val="22"/>
          <w:szCs w:val="22"/>
        </w:rPr>
        <w:t xml:space="preserve"> 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 xml:space="preserve">Completion of the </w:t>
      </w:r>
      <w:r>
        <w:rPr>
          <w:rFonts w:ascii="Abel" w:eastAsia="Abel" w:hAnsi="Abel" w:cs="Abel"/>
          <w:color w:val="6D7275"/>
          <w:sz w:val="22"/>
          <w:szCs w:val="22"/>
        </w:rPr>
        <w:t>Acquisition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 xml:space="preserve"> </w:t>
      </w:r>
      <w:r>
        <w:rPr>
          <w:rFonts w:ascii="Abel" w:eastAsia="Abel" w:hAnsi="Abel" w:cs="Abel"/>
          <w:color w:val="6D7275"/>
          <w:sz w:val="22"/>
          <w:szCs w:val="22"/>
        </w:rPr>
        <w:t xml:space="preserve">is 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>subject to receipt of necessary consents and approvals, including without limitation (</w:t>
      </w:r>
      <w:proofErr w:type="spellStart"/>
      <w:r w:rsidR="00800F97" w:rsidRPr="00800F97">
        <w:rPr>
          <w:rFonts w:ascii="Abel" w:eastAsia="Abel" w:hAnsi="Abel" w:cs="Abel"/>
          <w:color w:val="6D7275"/>
          <w:sz w:val="22"/>
          <w:szCs w:val="22"/>
        </w:rPr>
        <w:t>i</w:t>
      </w:r>
      <w:proofErr w:type="spellEnd"/>
      <w:r w:rsidR="00800F97" w:rsidRPr="00800F97">
        <w:rPr>
          <w:rFonts w:ascii="Abel" w:eastAsia="Abel" w:hAnsi="Abel" w:cs="Abel"/>
          <w:color w:val="6D7275"/>
          <w:sz w:val="22"/>
          <w:szCs w:val="22"/>
        </w:rPr>
        <w:t xml:space="preserve">) approval of the </w:t>
      </w:r>
      <w:r>
        <w:rPr>
          <w:rFonts w:ascii="Abel" w:eastAsia="Abel" w:hAnsi="Abel" w:cs="Abel"/>
          <w:color w:val="6D7275"/>
          <w:sz w:val="22"/>
          <w:szCs w:val="22"/>
        </w:rPr>
        <w:t xml:space="preserve">CSE 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 xml:space="preserve">for the </w:t>
      </w:r>
      <w:r w:rsidR="005270D5">
        <w:rPr>
          <w:rFonts w:ascii="Abel" w:eastAsia="Abel" w:hAnsi="Abel" w:cs="Abel"/>
          <w:color w:val="6D7275"/>
          <w:sz w:val="22"/>
          <w:szCs w:val="22"/>
        </w:rPr>
        <w:t xml:space="preserve">Listing Statement and the 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>listing of the common shares of the resulting issuer</w:t>
      </w:r>
      <w:r>
        <w:rPr>
          <w:rFonts w:ascii="Abel" w:eastAsia="Abel" w:hAnsi="Abel" w:cs="Abel"/>
          <w:color w:val="6D7275"/>
          <w:sz w:val="22"/>
          <w:szCs w:val="22"/>
        </w:rPr>
        <w:t xml:space="preserve"> and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 xml:space="preserve"> (ii) approval of Alchemist</w:t>
      </w:r>
      <w:r w:rsidR="00F62268">
        <w:rPr>
          <w:rFonts w:ascii="Abel" w:eastAsia="Abel" w:hAnsi="Abel" w:cs="Abel"/>
          <w:color w:val="6D7275"/>
          <w:sz w:val="22"/>
          <w:szCs w:val="22"/>
        </w:rPr>
        <w:t>’s shareholders</w:t>
      </w:r>
      <w:r w:rsidR="00800F97" w:rsidRPr="00800F97">
        <w:rPr>
          <w:rFonts w:ascii="Abel" w:eastAsia="Abel" w:hAnsi="Abel" w:cs="Abel"/>
          <w:color w:val="6D7275"/>
          <w:sz w:val="22"/>
          <w:szCs w:val="22"/>
        </w:rPr>
        <w:t xml:space="preserve">. </w:t>
      </w:r>
      <w:r w:rsidR="00ED0D1F" w:rsidRPr="00ED0D1F">
        <w:rPr>
          <w:rFonts w:ascii="Abel" w:eastAsia="Abel" w:hAnsi="Abel" w:cs="Abel"/>
          <w:color w:val="6D7275"/>
          <w:sz w:val="22"/>
          <w:szCs w:val="22"/>
        </w:rPr>
        <w:t xml:space="preserve">There can be no assurance that the </w:t>
      </w:r>
      <w:r>
        <w:rPr>
          <w:rFonts w:ascii="Abel" w:eastAsia="Abel" w:hAnsi="Abel" w:cs="Abel"/>
          <w:color w:val="6D7275"/>
          <w:sz w:val="22"/>
          <w:szCs w:val="22"/>
        </w:rPr>
        <w:t>Acquisition</w:t>
      </w:r>
      <w:r w:rsidRPr="004D12EB">
        <w:rPr>
          <w:rFonts w:ascii="Abel" w:eastAsia="Abel" w:hAnsi="Abel" w:cs="Abel"/>
          <w:color w:val="6D7275"/>
          <w:sz w:val="22"/>
          <w:szCs w:val="22"/>
        </w:rPr>
        <w:t xml:space="preserve"> </w:t>
      </w:r>
      <w:r w:rsidR="00ED0D1F" w:rsidRPr="00ED0D1F">
        <w:rPr>
          <w:rFonts w:ascii="Abel" w:eastAsia="Abel" w:hAnsi="Abel" w:cs="Abel"/>
          <w:color w:val="6D7275"/>
          <w:sz w:val="22"/>
          <w:szCs w:val="22"/>
        </w:rPr>
        <w:t xml:space="preserve">will be completed on the terms proposed in the </w:t>
      </w:r>
      <w:r>
        <w:rPr>
          <w:rFonts w:ascii="Abel" w:eastAsia="Abel" w:hAnsi="Abel" w:cs="Abel"/>
          <w:color w:val="6D7275"/>
          <w:sz w:val="22"/>
          <w:szCs w:val="22"/>
        </w:rPr>
        <w:t>Amended and Restated APA</w:t>
      </w:r>
      <w:r w:rsidR="00ED0D1F" w:rsidRPr="00ED0D1F">
        <w:rPr>
          <w:rFonts w:ascii="Abel" w:eastAsia="Abel" w:hAnsi="Abel" w:cs="Abel"/>
          <w:color w:val="6D7275"/>
          <w:sz w:val="22"/>
          <w:szCs w:val="22"/>
        </w:rPr>
        <w:t xml:space="preserve"> or at all. </w:t>
      </w:r>
      <w:r w:rsidR="004D12EB" w:rsidRPr="004D12EB">
        <w:rPr>
          <w:rFonts w:ascii="Abel" w:eastAsia="Abel" w:hAnsi="Abel" w:cs="Abel"/>
          <w:color w:val="6D7275"/>
          <w:sz w:val="22"/>
          <w:szCs w:val="22"/>
        </w:rPr>
        <w:t xml:space="preserve">No finder’s fees are payable in connection with the </w:t>
      </w:r>
      <w:r>
        <w:rPr>
          <w:rFonts w:ascii="Abel" w:eastAsia="Abel" w:hAnsi="Abel" w:cs="Abel"/>
          <w:color w:val="6D7275"/>
          <w:sz w:val="22"/>
          <w:szCs w:val="22"/>
        </w:rPr>
        <w:t>Acquisition</w:t>
      </w:r>
      <w:r w:rsidRPr="004D12EB">
        <w:rPr>
          <w:rFonts w:ascii="Abel" w:eastAsia="Abel" w:hAnsi="Abel" w:cs="Abel"/>
          <w:color w:val="6D7275"/>
          <w:sz w:val="22"/>
          <w:szCs w:val="22"/>
        </w:rPr>
        <w:t xml:space="preserve"> </w:t>
      </w:r>
      <w:r w:rsidR="004D12EB" w:rsidRPr="004D12EB">
        <w:rPr>
          <w:rFonts w:ascii="Abel" w:eastAsia="Abel" w:hAnsi="Abel" w:cs="Abel"/>
          <w:color w:val="6D7275"/>
          <w:sz w:val="22"/>
          <w:szCs w:val="22"/>
        </w:rPr>
        <w:t>and</w:t>
      </w:r>
      <w:r w:rsidR="004D12EB">
        <w:rPr>
          <w:rFonts w:ascii="Abel" w:eastAsia="Abel" w:hAnsi="Abel" w:cs="Abel"/>
          <w:color w:val="6D7275"/>
          <w:sz w:val="22"/>
          <w:szCs w:val="22"/>
        </w:rPr>
        <w:t xml:space="preserve"> </w:t>
      </w:r>
      <w:r w:rsidR="004D12EB" w:rsidRPr="004D12EB">
        <w:rPr>
          <w:rFonts w:ascii="Abel" w:eastAsia="Abel" w:hAnsi="Abel" w:cs="Abel"/>
          <w:color w:val="6D7275"/>
          <w:sz w:val="22"/>
          <w:szCs w:val="22"/>
        </w:rPr>
        <w:t xml:space="preserve">no advances or other consideration will be paid by </w:t>
      </w:r>
      <w:r w:rsidR="004D12EB">
        <w:rPr>
          <w:rFonts w:ascii="Abel" w:eastAsia="Abel" w:hAnsi="Abel" w:cs="Abel"/>
          <w:color w:val="6D7275"/>
          <w:sz w:val="22"/>
          <w:szCs w:val="22"/>
        </w:rPr>
        <w:t>Alchemist to All Nations</w:t>
      </w:r>
      <w:r w:rsidR="004D12EB" w:rsidRPr="004D12EB">
        <w:rPr>
          <w:rFonts w:ascii="Abel" w:eastAsia="Abel" w:hAnsi="Abel" w:cs="Abel"/>
          <w:color w:val="6D7275"/>
          <w:sz w:val="22"/>
          <w:szCs w:val="22"/>
        </w:rPr>
        <w:t xml:space="preserve"> in advance of closing of the </w:t>
      </w:r>
      <w:r>
        <w:rPr>
          <w:rFonts w:ascii="Abel" w:eastAsia="Abel" w:hAnsi="Abel" w:cs="Abel"/>
          <w:color w:val="6D7275"/>
          <w:sz w:val="22"/>
          <w:szCs w:val="22"/>
        </w:rPr>
        <w:t>Acquisition</w:t>
      </w:r>
      <w:r w:rsidR="004D12EB">
        <w:rPr>
          <w:rFonts w:ascii="Abel" w:eastAsia="Abel" w:hAnsi="Abel" w:cs="Abel"/>
          <w:color w:val="6D7275"/>
          <w:sz w:val="22"/>
          <w:szCs w:val="22"/>
        </w:rPr>
        <w:t>.</w:t>
      </w:r>
    </w:p>
    <w:p w14:paraId="10FEC113" w14:textId="77777777" w:rsidR="00800F97" w:rsidRPr="00800F97" w:rsidRDefault="00800F97" w:rsidP="00800F97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</w:p>
    <w:p w14:paraId="298A5215" w14:textId="5A57D1EB" w:rsidR="00202154" w:rsidRDefault="00015DD3" w:rsidP="00FF2EB8">
      <w:pPr>
        <w:spacing w:line="276" w:lineRule="auto"/>
        <w:jc w:val="both"/>
        <w:rPr>
          <w:rFonts w:ascii="Abel" w:eastAsia="Abel" w:hAnsi="Abel" w:cs="Abel"/>
          <w:color w:val="000000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On Behalf of the Board,</w:t>
      </w:r>
    </w:p>
    <w:p w14:paraId="761D039A" w14:textId="61162A2F" w:rsidR="00152D23" w:rsidRDefault="00152D23" w:rsidP="00FF2EB8">
      <w:pPr>
        <w:spacing w:line="276" w:lineRule="auto"/>
        <w:jc w:val="both"/>
        <w:rPr>
          <w:rFonts w:ascii="Abel" w:eastAsia="Abel" w:hAnsi="Abel" w:cs="Abel"/>
          <w:color w:val="000000"/>
          <w:sz w:val="22"/>
          <w:szCs w:val="22"/>
        </w:rPr>
      </w:pPr>
    </w:p>
    <w:p w14:paraId="2A5D3839" w14:textId="77777777" w:rsidR="00FF2EB8" w:rsidRDefault="00FF2EB8" w:rsidP="00FF2EB8">
      <w:pPr>
        <w:spacing w:line="276" w:lineRule="auto"/>
        <w:jc w:val="both"/>
        <w:rPr>
          <w:rFonts w:ascii="Abel" w:eastAsia="Abel" w:hAnsi="Abel" w:cs="Abel"/>
          <w:color w:val="000000"/>
          <w:sz w:val="22"/>
          <w:szCs w:val="22"/>
        </w:rPr>
      </w:pPr>
    </w:p>
    <w:p w14:paraId="71B727E0" w14:textId="26F29879" w:rsidR="00C479D2" w:rsidRPr="00015DD3" w:rsidRDefault="00015DD3" w:rsidP="00FF2EB8">
      <w:pPr>
        <w:spacing w:line="276" w:lineRule="auto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lastRenderedPageBreak/>
        <w:t>Paul Mann, CEO</w:t>
      </w:r>
      <w:r>
        <w:rPr>
          <w:rFonts w:ascii="Abel" w:eastAsia="Abel" w:hAnsi="Abel" w:cs="Abel"/>
          <w:color w:val="6D7275"/>
          <w:sz w:val="22"/>
          <w:szCs w:val="22"/>
        </w:rPr>
        <w:br/>
        <w:t>Alchemist Mining Inc.</w:t>
      </w:r>
    </w:p>
    <w:p w14:paraId="1A81C0A0" w14:textId="77777777" w:rsidR="00C479D2" w:rsidRPr="00015DD3" w:rsidRDefault="001E221C" w:rsidP="00FF2EB8">
      <w:pPr>
        <w:pStyle w:val="Body"/>
        <w:spacing w:line="276" w:lineRule="auto"/>
        <w:rPr>
          <w:rFonts w:ascii="Abel" w:hAnsi="Abel"/>
        </w:rPr>
      </w:pPr>
      <w:r w:rsidRPr="00015DD3">
        <w:rPr>
          <w:rFonts w:ascii="Abel" w:eastAsia="Arial Unicode MS" w:hAnsi="Abel" w:cs="Arial Unicode MS"/>
          <w:lang w:val="en-US"/>
        </w:rPr>
        <w:t>________________</w:t>
      </w:r>
    </w:p>
    <w:p w14:paraId="58B879B9" w14:textId="77777777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For further information on this release, please contact:</w:t>
      </w:r>
    </w:p>
    <w:p w14:paraId="3822A079" w14:textId="7B4A523C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proofErr w:type="spellStart"/>
      <w:r>
        <w:rPr>
          <w:rFonts w:ascii="Abel" w:eastAsia="Abel" w:hAnsi="Abel" w:cs="Abel"/>
          <w:color w:val="6D7275"/>
          <w:sz w:val="22"/>
          <w:szCs w:val="22"/>
        </w:rPr>
        <w:t>Sukh</w:t>
      </w:r>
      <w:proofErr w:type="spellEnd"/>
      <w:r>
        <w:rPr>
          <w:rFonts w:ascii="Abel" w:eastAsia="Abel" w:hAnsi="Abel" w:cs="Abel"/>
          <w:color w:val="6D7275"/>
          <w:sz w:val="22"/>
          <w:szCs w:val="22"/>
        </w:rPr>
        <w:t xml:space="preserve"> Sandhu</w:t>
      </w:r>
      <w:r w:rsidR="00F62268">
        <w:rPr>
          <w:rFonts w:ascii="Abel" w:eastAsia="Abel" w:hAnsi="Abel" w:cs="Abel"/>
          <w:color w:val="6D7275"/>
          <w:sz w:val="22"/>
          <w:szCs w:val="22"/>
        </w:rPr>
        <w:t>,</w:t>
      </w:r>
      <w:r>
        <w:rPr>
          <w:rFonts w:ascii="Abel" w:eastAsia="Abel" w:hAnsi="Abel" w:cs="Abel"/>
          <w:color w:val="6D7275"/>
          <w:sz w:val="22"/>
          <w:szCs w:val="22"/>
        </w:rPr>
        <w:t xml:space="preserve"> Investor Relations</w:t>
      </w:r>
    </w:p>
    <w:p w14:paraId="23731BE0" w14:textId="77777777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Investors@alchemistinc.ca</w:t>
      </w:r>
    </w:p>
    <w:p w14:paraId="120112A8" w14:textId="77777777" w:rsidR="00015DD3" w:rsidRDefault="00015DD3" w:rsidP="00FF2EB8">
      <w:pPr>
        <w:spacing w:line="276" w:lineRule="auto"/>
        <w:jc w:val="both"/>
        <w:rPr>
          <w:rFonts w:ascii="Abel" w:eastAsia="Abel" w:hAnsi="Abel" w:cs="Abel"/>
          <w:color w:val="6D7275"/>
          <w:sz w:val="22"/>
          <w:szCs w:val="22"/>
        </w:rPr>
      </w:pPr>
      <w:r>
        <w:rPr>
          <w:rFonts w:ascii="Abel" w:eastAsia="Abel" w:hAnsi="Abel" w:cs="Abel"/>
          <w:color w:val="6D7275"/>
          <w:sz w:val="22"/>
          <w:szCs w:val="22"/>
        </w:rPr>
        <w:t>604-601-2093</w:t>
      </w:r>
    </w:p>
    <w:p w14:paraId="16458E00" w14:textId="77777777" w:rsidR="00E2378B" w:rsidRPr="00015DD3" w:rsidRDefault="00E2378B" w:rsidP="00FF2EB8">
      <w:pPr>
        <w:pStyle w:val="Body"/>
        <w:spacing w:line="276" w:lineRule="auto"/>
        <w:rPr>
          <w:rFonts w:ascii="Abel" w:hAnsi="Abel"/>
        </w:rPr>
      </w:pPr>
      <w:r w:rsidRPr="00015DD3">
        <w:rPr>
          <w:rFonts w:ascii="Abel" w:eastAsia="Arial Unicode MS" w:hAnsi="Abel" w:cs="Arial Unicode MS"/>
          <w:lang w:val="en-US"/>
        </w:rPr>
        <w:t>________________</w:t>
      </w:r>
    </w:p>
    <w:p w14:paraId="056563C8" w14:textId="77777777" w:rsidR="00E2378B" w:rsidRPr="00015DD3" w:rsidRDefault="00E2378B" w:rsidP="00E2378B">
      <w:pPr>
        <w:pStyle w:val="Body"/>
        <w:rPr>
          <w:rFonts w:ascii="Abel" w:hAnsi="Abel"/>
        </w:rPr>
      </w:pPr>
    </w:p>
    <w:p w14:paraId="1DB1919A" w14:textId="09EF124E" w:rsidR="00E2378B" w:rsidRPr="006E63B1" w:rsidRDefault="00E2378B" w:rsidP="00E2378B">
      <w:pPr>
        <w:pStyle w:val="Body"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  <w:r w:rsidRPr="006E63B1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 xml:space="preserve">About Alchemist </w:t>
      </w:r>
      <w:r w:rsidR="000510E0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 xml:space="preserve">Mining </w:t>
      </w:r>
      <w:r w:rsidRPr="006E63B1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>Inc.</w:t>
      </w:r>
    </w:p>
    <w:p w14:paraId="402B7F49" w14:textId="77777777" w:rsidR="00E2378B" w:rsidRPr="006E63B1" w:rsidRDefault="00E2378B" w:rsidP="00FF2EB8">
      <w:pPr>
        <w:keepNext/>
        <w:keepLines/>
        <w:spacing w:after="240"/>
        <w:jc w:val="both"/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</w:pPr>
      <w:r w:rsidRPr="006E63B1"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  <w:t xml:space="preserve">Alchemist’s goal is to be a global supplier of premium cannabis products. We are primarily focused on building a sustainable portfolio of cultivation, </w:t>
      </w:r>
      <w:proofErr w:type="gramStart"/>
      <w:r w:rsidRPr="006E63B1"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  <w:t>distribution</w:t>
      </w:r>
      <w:proofErr w:type="gramEnd"/>
      <w:r w:rsidRPr="006E63B1">
        <w:rPr>
          <w:rFonts w:ascii="Abel" w:eastAsia="Times New Roman" w:hAnsi="Abel"/>
          <w:iCs/>
          <w:color w:val="6C6355" w:themeColor="background2" w:themeShade="80"/>
          <w:sz w:val="20"/>
          <w:szCs w:val="20"/>
          <w:lang w:eastAsia="en-CA"/>
        </w:rPr>
        <w:t xml:space="preserve"> and retail business entities, with a goal to create shareholder value.</w:t>
      </w:r>
    </w:p>
    <w:p w14:paraId="5FBEF227" w14:textId="77777777" w:rsidR="00E2378B" w:rsidRPr="007B2E29" w:rsidRDefault="00E2378B" w:rsidP="00FF2EB8">
      <w:pPr>
        <w:pStyle w:val="Body"/>
        <w:spacing w:line="240" w:lineRule="auto"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  <w:r w:rsidRPr="007B2E29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eastAsia="en-CA"/>
        </w:rPr>
        <w:t xml:space="preserve">Neither the </w:t>
      </w:r>
      <w:r w:rsidRPr="007B2E29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Canadian Securities Exchange nor its Market Regulator (as that term is defined in the policies of the Canadian Securities Exchange) </w:t>
      </w:r>
      <w:r w:rsidRPr="007B2E29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eastAsia="en-CA"/>
        </w:rPr>
        <w:t>accepts responsibility for the adequacy or accuracy of this release</w:t>
      </w:r>
      <w:r w:rsidRPr="007B2E29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>.</w:t>
      </w:r>
    </w:p>
    <w:p w14:paraId="3B5CABD1" w14:textId="77777777" w:rsidR="00E2378B" w:rsidRPr="007B2E29" w:rsidRDefault="00E2378B" w:rsidP="00E2378B">
      <w:pPr>
        <w:pStyle w:val="Body"/>
        <w:spacing w:line="240" w:lineRule="auto"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</w:p>
    <w:p w14:paraId="6D384F1C" w14:textId="77777777" w:rsidR="00E2378B" w:rsidRPr="006E63B1" w:rsidRDefault="00E2378B" w:rsidP="00E2378B">
      <w:pPr>
        <w:pStyle w:val="Body"/>
        <w:spacing w:line="240" w:lineRule="auto"/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</w:pPr>
      <w:r w:rsidRPr="006E63B1">
        <w:rPr>
          <w:rFonts w:ascii="Abel" w:hAnsi="Abel" w:cs="Open Sans SemiBold"/>
          <w:b/>
          <w:color w:val="6C6355" w:themeColor="background2" w:themeShade="80"/>
          <w:sz w:val="20"/>
          <w:szCs w:val="20"/>
          <w:lang w:val="en-US"/>
        </w:rPr>
        <w:t>Notice Regarding Forward-Looking Statements</w:t>
      </w:r>
    </w:p>
    <w:p w14:paraId="243FCB60" w14:textId="2DED47D0" w:rsidR="00E2378B" w:rsidRPr="0052012B" w:rsidRDefault="00E2378B" w:rsidP="00FF2EB8">
      <w:pPr>
        <w:pStyle w:val="Body"/>
        <w:spacing w:line="240" w:lineRule="auto"/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</w:pPr>
      <w:bookmarkStart w:id="0" w:name="_Hlk4927044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This press release contains forward-looking statements. The use of any of the words “anticipate”, “continue”, “estimate”, “expect”, “may”, “will”, “project”, “intends”, “should”, “believe” and similar expressions are intended to identify forward-looking statements. Forward-looking statements in this press release include statements regarding: the proposed </w:t>
      </w:r>
      <w:r w:rsidR="00B91648" w:rsidRPr="00B91648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Acquisition</w:t>
      </w:r>
      <w:r w:rsidR="00B91648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 and completion of the conditions to closing thereof</w:t>
      </w:r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. Although the Company believes that the expectations and assumptions on which the forward-looking statements are based are reasonable, undue reliance should not be placed on the forward-looking statements because the Company can give no assurance that they will prove to be correct. Since forward-looking statements address future events and conditions, by their very nature they involve inherent risks and uncertainties, </w:t>
      </w:r>
      <w:proofErr w:type="gramStart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including:</w:t>
      </w:r>
      <w:proofErr w:type="gramEnd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 that the </w:t>
      </w:r>
      <w:r w:rsidR="00B91648">
        <w:rPr>
          <w:rFonts w:ascii="Abel" w:eastAsia="Abel" w:hAnsi="Abel" w:cs="Abel"/>
          <w:sz w:val="22"/>
          <w:szCs w:val="22"/>
        </w:rPr>
        <w:t>Acquisition</w:t>
      </w:r>
      <w:r w:rsidR="00B91648" w:rsidRPr="004D12EB">
        <w:rPr>
          <w:rFonts w:ascii="Abel" w:eastAsia="Abel" w:hAnsi="Abel" w:cs="Abel"/>
          <w:sz w:val="22"/>
          <w:szCs w:val="22"/>
        </w:rPr>
        <w:t xml:space="preserve"> </w:t>
      </w:r>
      <w:r w:rsidR="008779B6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will not complete</w:t>
      </w:r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; that the Company will not be able to execute its proposed business plan in the time required or at all due to regulatory, financial or other issues; changes in regulatory requirements; and other factors beyond the Company’s control. Additional risk factors are included in the Company’s Management’s Discussion and Analysis, available under the Company’s profile on www.sedar.com. The forward-looking statements are made as at the date hereof and the Company disclaims any intent or obligation to publicly update any forward-looking statements, where because of new information, future </w:t>
      </w:r>
      <w:proofErr w:type="gramStart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>events</w:t>
      </w:r>
      <w:proofErr w:type="gramEnd"/>
      <w:r w:rsidRPr="0052012B">
        <w:rPr>
          <w:rFonts w:ascii="Abel" w:eastAsia="Times New Roman" w:hAnsi="Abel" w:cs="Times New Roman"/>
          <w:iCs/>
          <w:color w:val="6C6355" w:themeColor="background2" w:themeShade="80"/>
          <w:sz w:val="20"/>
          <w:szCs w:val="20"/>
          <w:lang w:val="en-US" w:eastAsia="en-CA"/>
        </w:rPr>
        <w:t xml:space="preserve"> or results, or otherwise, except as required by applicable securities laws.</w:t>
      </w:r>
    </w:p>
    <w:bookmarkEnd w:id="0"/>
    <w:p w14:paraId="321F5B2F" w14:textId="283B028C" w:rsidR="00C479D2" w:rsidRPr="00015DD3" w:rsidRDefault="00C479D2" w:rsidP="00E2378B">
      <w:pPr>
        <w:pStyle w:val="Body"/>
        <w:rPr>
          <w:rFonts w:ascii="Abel" w:hAnsi="Abel"/>
          <w:sz w:val="20"/>
          <w:szCs w:val="20"/>
          <w:lang w:val="en-US"/>
        </w:rPr>
      </w:pPr>
    </w:p>
    <w:sectPr w:rsidR="00C479D2" w:rsidRPr="00015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EBAF" w14:textId="77777777" w:rsidR="00771821" w:rsidRDefault="00771821">
      <w:r>
        <w:separator/>
      </w:r>
    </w:p>
  </w:endnote>
  <w:endnote w:type="continuationSeparator" w:id="0">
    <w:p w14:paraId="4CBFAB3A" w14:textId="77777777" w:rsidR="00771821" w:rsidRDefault="0077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Regular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bel">
    <w:altName w:val="Abel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oefler Text">
    <w:altName w:val="Hoefler 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4667" w14:textId="77777777" w:rsidR="00015DD3" w:rsidRDefault="00015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1EF2" w14:textId="77777777" w:rsidR="00015DD3" w:rsidRDefault="0001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374D" w14:textId="77777777" w:rsidR="00015DD3" w:rsidRDefault="0001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7B16" w14:textId="77777777" w:rsidR="00771821" w:rsidRDefault="00771821">
      <w:r>
        <w:separator/>
      </w:r>
    </w:p>
  </w:footnote>
  <w:footnote w:type="continuationSeparator" w:id="0">
    <w:p w14:paraId="17EF0267" w14:textId="77777777" w:rsidR="00771821" w:rsidRDefault="0077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7918" w14:textId="77777777" w:rsidR="00DB5C91" w:rsidRDefault="00DB5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0AE5" w14:textId="75C30BF1" w:rsidR="00C479D2" w:rsidRDefault="00C479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30A1" w14:textId="77777777" w:rsidR="00DB5C91" w:rsidRDefault="00DB5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D2"/>
    <w:rsid w:val="00015DD3"/>
    <w:rsid w:val="00020535"/>
    <w:rsid w:val="000510E0"/>
    <w:rsid w:val="000841B1"/>
    <w:rsid w:val="000F7170"/>
    <w:rsid w:val="00101752"/>
    <w:rsid w:val="00152D23"/>
    <w:rsid w:val="001E221C"/>
    <w:rsid w:val="00202154"/>
    <w:rsid w:val="00255CD2"/>
    <w:rsid w:val="0029511A"/>
    <w:rsid w:val="00371C73"/>
    <w:rsid w:val="0037491A"/>
    <w:rsid w:val="00402745"/>
    <w:rsid w:val="00455CCA"/>
    <w:rsid w:val="004D12EB"/>
    <w:rsid w:val="005052EA"/>
    <w:rsid w:val="005162B7"/>
    <w:rsid w:val="005270D5"/>
    <w:rsid w:val="0053778C"/>
    <w:rsid w:val="005B717B"/>
    <w:rsid w:val="0070134D"/>
    <w:rsid w:val="00771821"/>
    <w:rsid w:val="007B2E29"/>
    <w:rsid w:val="00800F97"/>
    <w:rsid w:val="00812C1E"/>
    <w:rsid w:val="00856707"/>
    <w:rsid w:val="008779B6"/>
    <w:rsid w:val="008A07A2"/>
    <w:rsid w:val="008C177A"/>
    <w:rsid w:val="009A0FEB"/>
    <w:rsid w:val="00A70902"/>
    <w:rsid w:val="00A82D67"/>
    <w:rsid w:val="00AB27E3"/>
    <w:rsid w:val="00B05726"/>
    <w:rsid w:val="00B162D4"/>
    <w:rsid w:val="00B43A72"/>
    <w:rsid w:val="00B5561D"/>
    <w:rsid w:val="00B91648"/>
    <w:rsid w:val="00C479D2"/>
    <w:rsid w:val="00D070D7"/>
    <w:rsid w:val="00DB5C91"/>
    <w:rsid w:val="00E2378B"/>
    <w:rsid w:val="00ED0D1F"/>
    <w:rsid w:val="00F108D3"/>
    <w:rsid w:val="00F62268"/>
    <w:rsid w:val="00F87BC2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2CDD8"/>
  <w15:docId w15:val="{A0F1D205-272C-154A-8EF1-D44890B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uiPriority w:val="10"/>
    <w:qFormat/>
    <w:pPr>
      <w:keepNext/>
      <w:spacing w:after="60"/>
    </w:pPr>
    <w:rPr>
      <w:rFonts w:ascii="Open Sans Regular" w:hAnsi="Open Sans Regular" w:cs="Arial Unicode MS"/>
      <w:caps/>
      <w:color w:val="969FAA"/>
      <w:spacing w:val="50"/>
      <w:sz w:val="50"/>
      <w:szCs w:val="50"/>
    </w:rPr>
  </w:style>
  <w:style w:type="paragraph" w:customStyle="1" w:styleId="Body">
    <w:name w:val="Body"/>
    <w:pPr>
      <w:suppressAutoHyphens/>
      <w:spacing w:line="312" w:lineRule="auto"/>
      <w:jc w:val="both"/>
    </w:pPr>
    <w:rPr>
      <w:rFonts w:ascii="Open Sans Regular" w:eastAsia="Open Sans Regular" w:hAnsi="Open Sans Regular" w:cs="Open Sans Regular"/>
      <w:color w:val="6D7275"/>
      <w:sz w:val="24"/>
      <w:szCs w:val="24"/>
    </w:rPr>
  </w:style>
  <w:style w:type="paragraph" w:styleId="Subtitle">
    <w:name w:val="Subtitle"/>
    <w:next w:val="Body2"/>
    <w:uiPriority w:val="11"/>
    <w:qFormat/>
    <w:pPr>
      <w:spacing w:before="240" w:after="240"/>
    </w:pPr>
    <w:rPr>
      <w:rFonts w:ascii="Abel" w:hAnsi="Abel" w:cs="Arial Unicode MS"/>
      <w:caps/>
      <w:color w:val="969FAA"/>
      <w:spacing w:val="48"/>
      <w:sz w:val="32"/>
      <w:szCs w:val="32"/>
      <w:lang w:val="en-US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5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91"/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5C91"/>
  </w:style>
  <w:style w:type="character" w:customStyle="1" w:styleId="DateChar">
    <w:name w:val="Date Char"/>
    <w:basedOn w:val="DefaultParagraphFont"/>
    <w:link w:val="Date"/>
    <w:uiPriority w:val="99"/>
    <w:semiHidden/>
    <w:rsid w:val="00DB5C9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20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zh-CN"/>
    </w:rPr>
  </w:style>
  <w:style w:type="character" w:styleId="Strong">
    <w:name w:val="Strong"/>
    <w:basedOn w:val="DefaultParagraphFont"/>
    <w:uiPriority w:val="22"/>
    <w:qFormat/>
    <w:rsid w:val="000205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Open Sans Regular"/>
        <a:ea typeface="Open Sans Regular"/>
        <a:cs typeface="Open Sans Regular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mann</cp:lastModifiedBy>
  <cp:revision>6</cp:revision>
  <dcterms:created xsi:type="dcterms:W3CDTF">2021-03-01T23:28:00Z</dcterms:created>
  <dcterms:modified xsi:type="dcterms:W3CDTF">2021-03-10T02:27:00Z</dcterms:modified>
</cp:coreProperties>
</file>