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EFE51" w14:textId="77777777" w:rsidR="00FE140B" w:rsidRDefault="00BE5C67">
      <w:bookmarkStart w:id="0" w:name="_gjdgxs" w:colFirst="0" w:colLast="0"/>
      <w:bookmarkEnd w:id="0"/>
      <w:r>
        <w:rPr>
          <w:noProof/>
          <w:lang w:val="en-US" w:eastAsia="zh-CN"/>
        </w:rPr>
        <w:drawing>
          <wp:inline distT="0" distB="0" distL="0" distR="0" wp14:anchorId="2820FD4F" wp14:editId="14A2841D">
            <wp:extent cx="2135324" cy="58832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35324" cy="588321"/>
                    </a:xfrm>
                    <a:prstGeom prst="rect">
                      <a:avLst/>
                    </a:prstGeom>
                    <a:ln/>
                  </pic:spPr>
                </pic:pic>
              </a:graphicData>
            </a:graphic>
          </wp:inline>
        </w:drawing>
      </w:r>
    </w:p>
    <w:p w14:paraId="3EDF5699" w14:textId="77777777" w:rsidR="00FE140B" w:rsidRDefault="00FE140B">
      <w:pPr>
        <w:rPr>
          <w:b/>
        </w:rPr>
      </w:pPr>
    </w:p>
    <w:p w14:paraId="2E7F28ED" w14:textId="42F4F362" w:rsidR="00FE140B" w:rsidRPr="00B24C48" w:rsidRDefault="00BE5C67">
      <w:pPr>
        <w:rPr>
          <w:rFonts w:ascii="Calibri" w:eastAsia="Calibri" w:hAnsi="Calibri" w:cs="Calibri"/>
          <w:sz w:val="20"/>
        </w:rPr>
      </w:pPr>
      <w:r>
        <w:rPr>
          <w:b/>
        </w:rPr>
        <w:t xml:space="preserve"> </w:t>
      </w:r>
      <w:proofErr w:type="spellStart"/>
      <w:r w:rsidRPr="00B24C48">
        <w:rPr>
          <w:rFonts w:ascii="Calibri" w:eastAsia="Calibri" w:hAnsi="Calibri" w:cs="Calibri"/>
          <w:sz w:val="20"/>
        </w:rPr>
        <w:t>CellCube</w:t>
      </w:r>
      <w:proofErr w:type="spellEnd"/>
      <w:r w:rsidRPr="00B24C48">
        <w:rPr>
          <w:rFonts w:ascii="Calibri" w:eastAsia="Calibri" w:hAnsi="Calibri" w:cs="Calibri"/>
          <w:sz w:val="20"/>
        </w:rPr>
        <w:t xml:space="preserve"> Energy Storage Systems Inc. </w:t>
      </w:r>
    </w:p>
    <w:p w14:paraId="5F51EA22" w14:textId="77777777" w:rsidR="00FE140B" w:rsidRPr="00B24C48" w:rsidRDefault="00BE5C67" w:rsidP="005D7BFE">
      <w:pPr>
        <w:tabs>
          <w:tab w:val="left" w:pos="5355"/>
        </w:tabs>
        <w:rPr>
          <w:rFonts w:ascii="Calibri" w:eastAsia="Calibri" w:hAnsi="Calibri" w:cs="Calibri"/>
          <w:sz w:val="20"/>
        </w:rPr>
      </w:pPr>
      <w:r w:rsidRPr="00B24C48">
        <w:rPr>
          <w:rFonts w:ascii="Calibri" w:eastAsia="Calibri" w:hAnsi="Calibri" w:cs="Calibri"/>
          <w:sz w:val="20"/>
        </w:rPr>
        <w:t xml:space="preserve">Ste 10 – 8331 River Road </w:t>
      </w:r>
      <w:r w:rsidR="005D7BFE" w:rsidRPr="00B24C48">
        <w:rPr>
          <w:rFonts w:ascii="Calibri" w:eastAsia="Calibri" w:hAnsi="Calibri" w:cs="Calibri"/>
          <w:sz w:val="20"/>
        </w:rPr>
        <w:tab/>
      </w:r>
    </w:p>
    <w:p w14:paraId="648FF29D" w14:textId="77777777" w:rsidR="00FE140B" w:rsidRPr="00B24C48" w:rsidRDefault="00BE5C67">
      <w:pPr>
        <w:rPr>
          <w:rFonts w:ascii="Calibri" w:eastAsia="Calibri" w:hAnsi="Calibri" w:cs="Calibri"/>
          <w:sz w:val="20"/>
        </w:rPr>
      </w:pPr>
      <w:r w:rsidRPr="00B24C48">
        <w:rPr>
          <w:rFonts w:ascii="Calibri" w:eastAsia="Calibri" w:hAnsi="Calibri" w:cs="Calibri"/>
          <w:sz w:val="20"/>
        </w:rPr>
        <w:t xml:space="preserve">Richmond, BC V6X 1Y1 </w:t>
      </w:r>
    </w:p>
    <w:p w14:paraId="015B7031" w14:textId="77777777" w:rsidR="00FE140B" w:rsidRPr="00B24C48" w:rsidRDefault="00BE5C67">
      <w:pPr>
        <w:rPr>
          <w:rFonts w:ascii="Calibri" w:eastAsia="Calibri" w:hAnsi="Calibri" w:cs="Calibri"/>
          <w:sz w:val="20"/>
        </w:rPr>
      </w:pPr>
      <w:r w:rsidRPr="00B24C48">
        <w:rPr>
          <w:rFonts w:ascii="Calibri" w:eastAsia="Calibri" w:hAnsi="Calibri" w:cs="Calibri"/>
          <w:sz w:val="20"/>
        </w:rPr>
        <w:t xml:space="preserve">65 Queen St West, Suite 520 </w:t>
      </w:r>
    </w:p>
    <w:p w14:paraId="2BEBC4A5" w14:textId="77777777" w:rsidR="00FE140B" w:rsidRPr="00B24C48" w:rsidRDefault="00BE5C67">
      <w:pPr>
        <w:rPr>
          <w:rFonts w:ascii="Calibri" w:eastAsia="Calibri" w:hAnsi="Calibri" w:cs="Calibri"/>
          <w:sz w:val="20"/>
        </w:rPr>
      </w:pPr>
      <w:r w:rsidRPr="00B24C48">
        <w:rPr>
          <w:rFonts w:ascii="Calibri" w:eastAsia="Calibri" w:hAnsi="Calibri" w:cs="Calibri"/>
          <w:sz w:val="20"/>
        </w:rPr>
        <w:t xml:space="preserve">Toronto, Ontario M5H2M5 </w:t>
      </w:r>
      <w:bookmarkStart w:id="1" w:name="_GoBack"/>
      <w:bookmarkEnd w:id="1"/>
    </w:p>
    <w:p w14:paraId="0EE3B44E" w14:textId="77777777" w:rsidR="00FE140B" w:rsidRPr="00B24C48" w:rsidRDefault="00BE5C67">
      <w:pPr>
        <w:rPr>
          <w:rFonts w:ascii="Calibri" w:eastAsia="Calibri" w:hAnsi="Calibri" w:cs="Calibri"/>
          <w:sz w:val="20"/>
        </w:rPr>
      </w:pPr>
      <w:r w:rsidRPr="00B24C48">
        <w:rPr>
          <w:rFonts w:ascii="Calibri" w:eastAsia="Calibri" w:hAnsi="Calibri" w:cs="Calibri"/>
          <w:sz w:val="20"/>
        </w:rPr>
        <w:t xml:space="preserve">1-800-882-3213 </w:t>
      </w:r>
    </w:p>
    <w:p w14:paraId="5088C274" w14:textId="77777777" w:rsidR="00FE140B" w:rsidRPr="00B24C48" w:rsidRDefault="00BE5C67">
      <w:pPr>
        <w:rPr>
          <w:rFonts w:ascii="Calibri" w:eastAsia="Calibri" w:hAnsi="Calibri" w:cs="Calibri"/>
          <w:sz w:val="20"/>
        </w:rPr>
      </w:pPr>
      <w:r w:rsidRPr="00B24C48">
        <w:rPr>
          <w:rFonts w:ascii="Calibri" w:eastAsia="Calibri" w:hAnsi="Calibri" w:cs="Calibri"/>
          <w:sz w:val="20"/>
        </w:rPr>
        <w:t xml:space="preserve">CSE CUBE 12g3-2(b): 82-2062 OTCQB CECBF  Frankfurt: 01X </w:t>
      </w:r>
    </w:p>
    <w:p w14:paraId="2998C17C" w14:textId="77777777" w:rsidR="00FE140B" w:rsidRDefault="00BE5C67" w:rsidP="006B3BE1">
      <w:pPr>
        <w:tabs>
          <w:tab w:val="left" w:pos="4068"/>
        </w:tabs>
        <w:rPr>
          <w:rFonts w:ascii="Calibri" w:eastAsia="Calibri" w:hAnsi="Calibri" w:cs="Calibri"/>
        </w:rPr>
      </w:pPr>
      <w:r w:rsidRPr="00B24C48">
        <w:rPr>
          <w:rFonts w:ascii="Calibri" w:eastAsia="Calibri" w:hAnsi="Calibri" w:cs="Calibri"/>
          <w:sz w:val="20"/>
        </w:rPr>
        <w:t>www.cellcubeenergystorage.com</w:t>
      </w:r>
      <w:r w:rsidR="006B3BE1">
        <w:rPr>
          <w:rFonts w:ascii="Calibri" w:eastAsia="Calibri" w:hAnsi="Calibri" w:cs="Calibri"/>
        </w:rPr>
        <w:tab/>
      </w:r>
    </w:p>
    <w:p w14:paraId="64436C0A" w14:textId="77777777" w:rsidR="00FE140B" w:rsidRDefault="00FE140B"/>
    <w:p w14:paraId="4A29E08D" w14:textId="77777777" w:rsidR="00B24C48" w:rsidRDefault="00B24C48" w:rsidP="00DA7BF8">
      <w:pPr>
        <w:jc w:val="center"/>
        <w:rPr>
          <w:rFonts w:asciiTheme="majorHAnsi" w:hAnsiTheme="majorHAnsi" w:cstheme="majorHAnsi"/>
          <w:color w:val="000000"/>
          <w:sz w:val="28"/>
          <w:szCs w:val="28"/>
        </w:rPr>
      </w:pPr>
      <w:r>
        <w:rPr>
          <w:rFonts w:asciiTheme="majorHAnsi" w:hAnsiTheme="majorHAnsi" w:cstheme="majorHAnsi"/>
          <w:color w:val="000000"/>
          <w:sz w:val="28"/>
          <w:szCs w:val="28"/>
        </w:rPr>
        <w:t>NEWS RELEASE</w:t>
      </w:r>
    </w:p>
    <w:p w14:paraId="45FE9117" w14:textId="77777777" w:rsidR="00B24C48" w:rsidRDefault="00B24C48" w:rsidP="00DA7BF8">
      <w:pPr>
        <w:jc w:val="center"/>
        <w:rPr>
          <w:rFonts w:asciiTheme="majorHAnsi" w:hAnsiTheme="majorHAnsi" w:cstheme="majorHAnsi"/>
          <w:color w:val="000000"/>
          <w:sz w:val="28"/>
          <w:szCs w:val="28"/>
        </w:rPr>
      </w:pPr>
    </w:p>
    <w:p w14:paraId="0994AC1B" w14:textId="439854EB" w:rsidR="00DA7BF8" w:rsidRPr="00DA7BF8" w:rsidRDefault="00DA7BF8" w:rsidP="00DA7BF8">
      <w:pPr>
        <w:jc w:val="center"/>
        <w:rPr>
          <w:rFonts w:asciiTheme="majorHAnsi" w:hAnsiTheme="majorHAnsi" w:cstheme="majorHAnsi"/>
          <w:sz w:val="28"/>
          <w:szCs w:val="28"/>
        </w:rPr>
      </w:pPr>
      <w:r w:rsidRPr="00DA7BF8">
        <w:rPr>
          <w:rFonts w:asciiTheme="majorHAnsi" w:hAnsiTheme="majorHAnsi" w:cstheme="majorHAnsi"/>
          <w:color w:val="000000"/>
          <w:sz w:val="28"/>
          <w:szCs w:val="28"/>
        </w:rPr>
        <w:t>CELLCUBE TO CANCEL FINANCE AGREEMENT</w:t>
      </w:r>
    </w:p>
    <w:p w14:paraId="279B2D93" w14:textId="77777777" w:rsidR="00A15354" w:rsidRPr="00DA7BF8" w:rsidRDefault="00A15354" w:rsidP="00DA7BF8">
      <w:pPr>
        <w:jc w:val="center"/>
        <w:rPr>
          <w:rFonts w:asciiTheme="majorHAnsi" w:eastAsia="Calibri" w:hAnsiTheme="majorHAnsi" w:cstheme="majorHAnsi"/>
          <w:sz w:val="28"/>
          <w:szCs w:val="28"/>
        </w:rPr>
      </w:pPr>
    </w:p>
    <w:p w14:paraId="073028DD" w14:textId="77777777" w:rsidR="00DA7BF8" w:rsidRPr="00B24C48" w:rsidRDefault="00DA7BF8" w:rsidP="00DA7BF8">
      <w:pPr>
        <w:spacing w:after="240"/>
        <w:jc w:val="both"/>
        <w:rPr>
          <w:rFonts w:asciiTheme="majorHAnsi" w:hAnsiTheme="majorHAnsi" w:cstheme="majorHAnsi"/>
          <w:color w:val="000000"/>
          <w:sz w:val="22"/>
        </w:rPr>
      </w:pPr>
      <w:r w:rsidRPr="00B24C48">
        <w:rPr>
          <w:rFonts w:ascii="Calibri" w:eastAsia="Calibri" w:hAnsi="Calibri" w:cs="Calibri"/>
          <w:sz w:val="22"/>
        </w:rPr>
        <w:t>August 2</w:t>
      </w:r>
      <w:r w:rsidR="00BE5C67" w:rsidRPr="00B24C48">
        <w:rPr>
          <w:rFonts w:ascii="Calibri" w:eastAsia="Calibri" w:hAnsi="Calibri" w:cs="Calibri"/>
          <w:sz w:val="22"/>
        </w:rPr>
        <w:t>, 2018, Toronto, Canada – CellCube Energy Storage Systems Inc. (“</w:t>
      </w:r>
      <w:r w:rsidR="00BE5C67" w:rsidRPr="00B24C48">
        <w:rPr>
          <w:rFonts w:ascii="Calibri" w:eastAsia="Calibri" w:hAnsi="Calibri" w:cs="Calibri"/>
          <w:b/>
          <w:sz w:val="22"/>
        </w:rPr>
        <w:t>CellCube</w:t>
      </w:r>
      <w:r w:rsidR="00BE5C67" w:rsidRPr="00B24C48">
        <w:rPr>
          <w:rFonts w:ascii="Calibri" w:eastAsia="Calibri" w:hAnsi="Calibri" w:cs="Calibri"/>
          <w:sz w:val="22"/>
        </w:rPr>
        <w:t>” or the “</w:t>
      </w:r>
      <w:r w:rsidR="00BE5C67" w:rsidRPr="00B24C48">
        <w:rPr>
          <w:rFonts w:ascii="Calibri" w:eastAsia="Calibri" w:hAnsi="Calibri" w:cs="Calibri"/>
          <w:b/>
          <w:sz w:val="22"/>
        </w:rPr>
        <w:t>Company</w:t>
      </w:r>
      <w:r w:rsidR="00BE5C67" w:rsidRPr="00B24C48">
        <w:rPr>
          <w:rFonts w:ascii="Calibri" w:eastAsia="Calibri" w:hAnsi="Calibri" w:cs="Calibri"/>
          <w:sz w:val="22"/>
        </w:rPr>
        <w:t>”) (CSE CUBE) (OTCQB CECBF) (Frankfurt 01X)</w:t>
      </w:r>
      <w:r w:rsidR="0003557B" w:rsidRPr="00B24C48">
        <w:rPr>
          <w:rFonts w:ascii="Calibri" w:eastAsia="Calibri" w:hAnsi="Calibri" w:cs="Calibri"/>
          <w:sz w:val="22"/>
        </w:rPr>
        <w:t xml:space="preserve">. </w:t>
      </w:r>
      <w:r w:rsidR="00BE5C67" w:rsidRPr="00B24C48">
        <w:rPr>
          <w:rFonts w:ascii="Calibri" w:eastAsia="Calibri" w:hAnsi="Calibri" w:cs="Calibri"/>
          <w:sz w:val="22"/>
        </w:rPr>
        <w:t xml:space="preserve"> </w:t>
      </w:r>
      <w:r w:rsidRPr="00B24C48">
        <w:rPr>
          <w:rFonts w:asciiTheme="majorHAnsi" w:hAnsiTheme="majorHAnsi" w:cstheme="majorHAnsi"/>
          <w:color w:val="000000"/>
          <w:sz w:val="22"/>
        </w:rPr>
        <w:t xml:space="preserve">After further review and input from our major shareholders, CellCube </w:t>
      </w:r>
      <w:r w:rsidR="0003557B" w:rsidRPr="00B24C48">
        <w:rPr>
          <w:rFonts w:asciiTheme="majorHAnsi" w:hAnsiTheme="majorHAnsi" w:cstheme="majorHAnsi"/>
          <w:color w:val="000000"/>
          <w:sz w:val="22"/>
        </w:rPr>
        <w:t>has decided not to proceed</w:t>
      </w:r>
      <w:r w:rsidRPr="00B24C48">
        <w:rPr>
          <w:rFonts w:asciiTheme="majorHAnsi" w:hAnsiTheme="majorHAnsi" w:cstheme="majorHAnsi"/>
          <w:color w:val="000000"/>
          <w:sz w:val="22"/>
        </w:rPr>
        <w:t xml:space="preserve"> with the recently announced Alumina </w:t>
      </w:r>
      <w:r w:rsidR="006B3BE1" w:rsidRPr="00B24C48">
        <w:rPr>
          <w:rFonts w:asciiTheme="majorHAnsi" w:hAnsiTheme="majorHAnsi" w:cstheme="majorHAnsi"/>
          <w:color w:val="000000"/>
          <w:sz w:val="22"/>
        </w:rPr>
        <w:t xml:space="preserve">Partners </w:t>
      </w:r>
      <w:r w:rsidRPr="00B24C48">
        <w:rPr>
          <w:rFonts w:asciiTheme="majorHAnsi" w:hAnsiTheme="majorHAnsi" w:cstheme="majorHAnsi"/>
          <w:color w:val="000000"/>
          <w:sz w:val="22"/>
        </w:rPr>
        <w:t>financing.</w:t>
      </w:r>
      <w:r w:rsidRPr="00B24C48">
        <w:rPr>
          <w:rStyle w:val="apple-converted-space"/>
          <w:rFonts w:asciiTheme="majorHAnsi" w:hAnsiTheme="majorHAnsi" w:cstheme="majorHAnsi"/>
          <w:color w:val="000000"/>
          <w:sz w:val="22"/>
        </w:rPr>
        <w:t> </w:t>
      </w:r>
      <w:r w:rsidR="001D2D9C" w:rsidRPr="00B24C48">
        <w:rPr>
          <w:rFonts w:asciiTheme="majorHAnsi" w:hAnsiTheme="majorHAnsi" w:cstheme="majorHAnsi"/>
          <w:color w:val="000000"/>
          <w:sz w:val="22"/>
        </w:rPr>
        <w:t xml:space="preserve"> </w:t>
      </w:r>
    </w:p>
    <w:p w14:paraId="5D9C4C33" w14:textId="77777777" w:rsidR="00C87345" w:rsidRPr="00B24C48" w:rsidRDefault="00DA7BF8" w:rsidP="00DA7BF8">
      <w:pPr>
        <w:spacing w:after="240"/>
        <w:jc w:val="both"/>
        <w:rPr>
          <w:rStyle w:val="apple-converted-space"/>
          <w:rFonts w:asciiTheme="majorHAnsi" w:hAnsiTheme="majorHAnsi" w:cstheme="majorHAnsi"/>
          <w:color w:val="000000"/>
          <w:sz w:val="22"/>
        </w:rPr>
      </w:pPr>
      <w:r w:rsidRPr="00B24C48">
        <w:rPr>
          <w:rFonts w:asciiTheme="majorHAnsi" w:hAnsiTheme="majorHAnsi" w:cstheme="majorHAnsi"/>
          <w:color w:val="000000"/>
          <w:sz w:val="22"/>
        </w:rPr>
        <w:t xml:space="preserve">We are very thankful for Alumina </w:t>
      </w:r>
      <w:r w:rsidR="00C87345" w:rsidRPr="00B24C48">
        <w:rPr>
          <w:rFonts w:asciiTheme="majorHAnsi" w:hAnsiTheme="majorHAnsi" w:cstheme="majorHAnsi"/>
          <w:color w:val="000000"/>
          <w:sz w:val="22"/>
        </w:rPr>
        <w:t xml:space="preserve">Partners </w:t>
      </w:r>
      <w:r w:rsidRPr="00B24C48">
        <w:rPr>
          <w:rFonts w:asciiTheme="majorHAnsi" w:hAnsiTheme="majorHAnsi" w:cstheme="majorHAnsi"/>
          <w:color w:val="000000"/>
          <w:sz w:val="22"/>
        </w:rPr>
        <w:t xml:space="preserve">having considered us as a portfolio investment but we believe our shareholders will be better served </w:t>
      </w:r>
      <w:r w:rsidR="00C87345" w:rsidRPr="00B24C48">
        <w:rPr>
          <w:rFonts w:asciiTheme="majorHAnsi" w:hAnsiTheme="majorHAnsi" w:cstheme="majorHAnsi"/>
          <w:color w:val="000000"/>
          <w:sz w:val="22"/>
        </w:rPr>
        <w:t>by allowing the C</w:t>
      </w:r>
      <w:r w:rsidRPr="00B24C48">
        <w:rPr>
          <w:rFonts w:asciiTheme="majorHAnsi" w:hAnsiTheme="majorHAnsi" w:cstheme="majorHAnsi"/>
          <w:color w:val="000000"/>
          <w:sz w:val="22"/>
        </w:rPr>
        <w:t>ompany to limit any major dilution a</w:t>
      </w:r>
      <w:r w:rsidR="006B3BE1" w:rsidRPr="00B24C48">
        <w:rPr>
          <w:rFonts w:asciiTheme="majorHAnsi" w:hAnsiTheme="majorHAnsi" w:cstheme="majorHAnsi"/>
          <w:color w:val="000000"/>
          <w:sz w:val="22"/>
        </w:rPr>
        <w:t>t this time as it builds out it</w:t>
      </w:r>
      <w:r w:rsidRPr="00B24C48">
        <w:rPr>
          <w:rFonts w:asciiTheme="majorHAnsi" w:hAnsiTheme="majorHAnsi" w:cstheme="majorHAnsi"/>
          <w:color w:val="000000"/>
          <w:sz w:val="22"/>
        </w:rPr>
        <w:t>s global strategy.</w:t>
      </w:r>
      <w:r w:rsidRPr="00B24C48">
        <w:rPr>
          <w:rStyle w:val="apple-converted-space"/>
          <w:rFonts w:asciiTheme="majorHAnsi" w:hAnsiTheme="majorHAnsi" w:cstheme="majorHAnsi"/>
          <w:color w:val="000000"/>
          <w:sz w:val="22"/>
        </w:rPr>
        <w:t> </w:t>
      </w:r>
    </w:p>
    <w:p w14:paraId="502416EB" w14:textId="77777777" w:rsidR="00FE140B" w:rsidRPr="00B24C48" w:rsidRDefault="00C87345" w:rsidP="00DA7BF8">
      <w:pPr>
        <w:spacing w:after="240"/>
        <w:jc w:val="both"/>
        <w:rPr>
          <w:rFonts w:asciiTheme="majorHAnsi" w:hAnsiTheme="majorHAnsi" w:cstheme="majorHAnsi"/>
          <w:color w:val="000000"/>
          <w:sz w:val="22"/>
        </w:rPr>
      </w:pPr>
      <w:r w:rsidRPr="00B24C48">
        <w:rPr>
          <w:rStyle w:val="apple-converted-space"/>
          <w:rFonts w:asciiTheme="majorHAnsi" w:hAnsiTheme="majorHAnsi" w:cstheme="majorHAnsi"/>
          <w:color w:val="000000"/>
          <w:sz w:val="22"/>
        </w:rPr>
        <w:t>No fees have been paid and no penalties are associated with the cancellation of the facility.</w:t>
      </w:r>
    </w:p>
    <w:p w14:paraId="1B1F9FB6" w14:textId="34077AB4" w:rsidR="00FE140B" w:rsidRPr="00B24C48" w:rsidRDefault="00BE5C67">
      <w:pPr>
        <w:spacing w:after="280"/>
        <w:jc w:val="both"/>
        <w:rPr>
          <w:rFonts w:ascii="Calibri" w:eastAsia="Calibri" w:hAnsi="Calibri" w:cs="Calibri"/>
          <w:color w:val="000000"/>
          <w:sz w:val="22"/>
        </w:rPr>
      </w:pPr>
      <w:r w:rsidRPr="00B24C48">
        <w:rPr>
          <w:rFonts w:ascii="Calibri" w:eastAsia="Calibri" w:hAnsi="Calibri" w:cs="Calibri"/>
          <w:b/>
          <w:color w:val="000000"/>
          <w:sz w:val="22"/>
        </w:rPr>
        <w:t xml:space="preserve">About </w:t>
      </w:r>
      <w:proofErr w:type="spellStart"/>
      <w:r w:rsidRPr="00B24C48">
        <w:rPr>
          <w:rFonts w:ascii="Calibri" w:eastAsia="Calibri" w:hAnsi="Calibri" w:cs="Calibri"/>
          <w:b/>
          <w:color w:val="000000"/>
          <w:sz w:val="22"/>
        </w:rPr>
        <w:t>CellCube</w:t>
      </w:r>
      <w:proofErr w:type="spellEnd"/>
      <w:r w:rsidRPr="00B24C48">
        <w:rPr>
          <w:rFonts w:ascii="Calibri" w:eastAsia="Calibri" w:hAnsi="Calibri" w:cs="Calibri"/>
          <w:b/>
          <w:color w:val="000000"/>
          <w:sz w:val="22"/>
        </w:rPr>
        <w:t xml:space="preserve">: </w:t>
      </w:r>
      <w:proofErr w:type="spellStart"/>
      <w:r w:rsidRPr="00B24C48">
        <w:rPr>
          <w:rFonts w:ascii="Calibri" w:eastAsia="Calibri" w:hAnsi="Calibri" w:cs="Calibri"/>
          <w:color w:val="000000"/>
          <w:sz w:val="22"/>
        </w:rPr>
        <w:t>CellCube's</w:t>
      </w:r>
      <w:proofErr w:type="spellEnd"/>
      <w:r w:rsidRPr="00B24C48">
        <w:rPr>
          <w:rFonts w:ascii="Calibri" w:eastAsia="Calibri" w:hAnsi="Calibri" w:cs="Calibri"/>
          <w:color w:val="000000"/>
          <w:sz w:val="22"/>
        </w:rPr>
        <w:t xml:space="preserve"> acquisition of the assets of Gildemeister Energy Storage GmbH has transformed CellCube and its wholly-owned subsidiary, Enerox GmbH, into a leading integrated resource and energy storage company. Together with the company's recent acquisition of Jet Power &amp; Control Systems Ltd. (now renamed EnerCube Switchgear Systems Inc.) and Hillcroft Consulting Ltd. (renamed PowerHaz Energy Mobile Solutions Inc.) and its investment in Braggawatt Energy Inc., CellCube is gearing up to deliver fully vertically integrated energy storage solutions to utilities and independent power producers for both stand-alone energy storage projects as well as projects where energy storage enhances the value proposition from renewable energy generation.  </w:t>
      </w:r>
    </w:p>
    <w:p w14:paraId="273EC61C" w14:textId="77777777" w:rsidR="00FE140B" w:rsidRPr="00B24C48" w:rsidRDefault="00BE5C67">
      <w:pPr>
        <w:rPr>
          <w:rFonts w:ascii="Calibri" w:eastAsia="Calibri" w:hAnsi="Calibri" w:cs="Calibri"/>
          <w:color w:val="000000"/>
          <w:sz w:val="22"/>
          <w:u w:val="single"/>
        </w:rPr>
      </w:pPr>
      <w:r w:rsidRPr="00B24C48">
        <w:rPr>
          <w:rFonts w:ascii="Calibri" w:eastAsia="Calibri" w:hAnsi="Calibri" w:cs="Calibri"/>
          <w:color w:val="000000"/>
          <w:sz w:val="22"/>
          <w:u w:val="single"/>
        </w:rPr>
        <w:t xml:space="preserve">For further information, please contact:  </w:t>
      </w:r>
    </w:p>
    <w:p w14:paraId="2E42F478" w14:textId="77777777" w:rsidR="00FE140B" w:rsidRPr="00B24C48" w:rsidRDefault="00BE5C67">
      <w:pPr>
        <w:rPr>
          <w:rFonts w:ascii="Calibri" w:eastAsia="Calibri" w:hAnsi="Calibri" w:cs="Calibri"/>
          <w:color w:val="000000"/>
          <w:sz w:val="22"/>
        </w:rPr>
      </w:pPr>
      <w:r w:rsidRPr="00B24C48">
        <w:rPr>
          <w:rFonts w:ascii="Calibri" w:eastAsia="Calibri" w:hAnsi="Calibri" w:cs="Calibri"/>
          <w:color w:val="000000"/>
          <w:sz w:val="22"/>
        </w:rPr>
        <w:t xml:space="preserve">Glenda Kelly </w:t>
      </w:r>
    </w:p>
    <w:p w14:paraId="59A96055" w14:textId="77777777" w:rsidR="00FE140B" w:rsidRPr="00B24C48" w:rsidRDefault="00BE5C67">
      <w:pPr>
        <w:rPr>
          <w:rFonts w:ascii="Calibri" w:eastAsia="Calibri" w:hAnsi="Calibri" w:cs="Calibri"/>
          <w:color w:val="000000"/>
          <w:sz w:val="22"/>
        </w:rPr>
      </w:pPr>
      <w:r w:rsidRPr="00B24C48">
        <w:rPr>
          <w:rFonts w:ascii="Calibri" w:eastAsia="Calibri" w:hAnsi="Calibri" w:cs="Calibri"/>
          <w:color w:val="000000"/>
          <w:sz w:val="22"/>
        </w:rPr>
        <w:t xml:space="preserve">CellCube Energy Storage Systems Inc. </w:t>
      </w:r>
    </w:p>
    <w:p w14:paraId="51E17452" w14:textId="77777777" w:rsidR="00FE140B" w:rsidRPr="00B24C48" w:rsidRDefault="00233D8F">
      <w:pPr>
        <w:rPr>
          <w:rFonts w:ascii="Calibri" w:eastAsia="Calibri" w:hAnsi="Calibri" w:cs="Calibri"/>
          <w:color w:val="000000"/>
          <w:sz w:val="22"/>
        </w:rPr>
      </w:pPr>
      <w:r w:rsidRPr="00B24C48">
        <w:rPr>
          <w:rFonts w:ascii="Calibri" w:eastAsia="Calibri" w:hAnsi="Calibri" w:cs="Calibri"/>
          <w:color w:val="000000"/>
          <w:sz w:val="22"/>
        </w:rPr>
        <w:t>Telephone: 1800 88</w:t>
      </w:r>
      <w:r w:rsidR="00BE5C67" w:rsidRPr="00B24C48">
        <w:rPr>
          <w:rFonts w:ascii="Calibri" w:eastAsia="Calibri" w:hAnsi="Calibri" w:cs="Calibri"/>
          <w:color w:val="000000"/>
          <w:sz w:val="22"/>
        </w:rPr>
        <w:t xml:space="preserve">2-3213  </w:t>
      </w:r>
    </w:p>
    <w:p w14:paraId="513846A7" w14:textId="77777777" w:rsidR="00FE140B" w:rsidRPr="00B24C48" w:rsidRDefault="00BE5C67">
      <w:pPr>
        <w:rPr>
          <w:rFonts w:ascii="Calibri" w:eastAsia="Calibri" w:hAnsi="Calibri" w:cs="Calibri"/>
          <w:color w:val="000000"/>
          <w:sz w:val="22"/>
        </w:rPr>
      </w:pPr>
      <w:r w:rsidRPr="00B24C48">
        <w:rPr>
          <w:rFonts w:ascii="Calibri" w:eastAsia="Calibri" w:hAnsi="Calibri" w:cs="Calibri"/>
          <w:color w:val="000000"/>
          <w:sz w:val="22"/>
        </w:rPr>
        <w:t xml:space="preserve">Email: info@cellcubeenergystorage.com </w:t>
      </w:r>
    </w:p>
    <w:p w14:paraId="76FB5ED7" w14:textId="77777777" w:rsidR="00FE140B" w:rsidRPr="00B24C48" w:rsidRDefault="00BE5C67">
      <w:pPr>
        <w:spacing w:after="280"/>
        <w:rPr>
          <w:rFonts w:ascii="Calibri" w:eastAsia="Calibri" w:hAnsi="Calibri" w:cs="Calibri"/>
          <w:color w:val="000000"/>
          <w:sz w:val="22"/>
        </w:rPr>
      </w:pPr>
      <w:r w:rsidRPr="00B24C48">
        <w:rPr>
          <w:rFonts w:ascii="Calibri" w:eastAsia="Calibri" w:hAnsi="Calibri" w:cs="Calibri"/>
          <w:color w:val="000000"/>
          <w:sz w:val="22"/>
        </w:rPr>
        <w:t xml:space="preserve">www.cellcubeenergystorage.com  </w:t>
      </w:r>
    </w:p>
    <w:p w14:paraId="2B5CF49D" w14:textId="7ACD60CC" w:rsidR="00FE140B" w:rsidRDefault="00BE5C67" w:rsidP="00D41866">
      <w:pPr>
        <w:spacing w:after="280"/>
        <w:jc w:val="both"/>
        <w:rPr>
          <w:rFonts w:ascii="Calibri" w:eastAsia="Calibri" w:hAnsi="Calibri" w:cs="Calibri"/>
        </w:rPr>
      </w:pPr>
      <w:r w:rsidRPr="00B24C48">
        <w:rPr>
          <w:rFonts w:ascii="Calibri" w:eastAsia="Calibri" w:hAnsi="Calibri" w:cs="Calibri"/>
          <w:color w:val="000000"/>
          <w:sz w:val="18"/>
          <w:szCs w:val="18"/>
        </w:rPr>
        <w:t xml:space="preserve">This news release contains certain "forward-looking statements" within the meaning of Canadian securities legislation. Forward-looking statements are statements that are not historical facts which address events, results, outcomes or developments that the Company expects to occur; they are generally, but not always, identified by the words "expects", "plans", "anticipates", "believes", "intends", "estimates", "projects", "aims", "potential", "goal", "objective", "prospective", and similar expressions, or that events or conditions "will", "would", "may", "can", "could" or "should" occur. Forward-looking statements are based on the beliefs, estimates and opinions of the Company's management on the date the statements are made and they involve a number of risks and uncertainties. Certain material assumptions regarding such forward-looking statements are discussed in this news release and the Company's annual and quarterly management's discussion and analysis filed at www.sedar.com. Except as required by the securities disclosure laws and regulations applicable to the Company, the Company undertakes no obligation to update these forward-looking statements if management's beliefs, estimates or opinions, or other factors, should change.  </w:t>
      </w:r>
      <w:r w:rsidR="00D41866">
        <w:rPr>
          <w:rFonts w:ascii="Calibri" w:eastAsia="Calibri" w:hAnsi="Calibri" w:cs="Calibri"/>
          <w:color w:val="000000"/>
          <w:sz w:val="18"/>
          <w:szCs w:val="18"/>
        </w:rPr>
        <w:t xml:space="preserve"> </w:t>
      </w:r>
      <w:r w:rsidRPr="00B24C48">
        <w:rPr>
          <w:rFonts w:ascii="Calibri" w:eastAsia="Calibri" w:hAnsi="Calibri" w:cs="Calibri"/>
          <w:color w:val="000000"/>
          <w:sz w:val="18"/>
          <w:szCs w:val="18"/>
        </w:rPr>
        <w:t>Neither the CSE nor its Regulation Services Provider (as that term is defined in the policies of the CSE) accepts responsibility for the adequacy or accuracy of this release.</w:t>
      </w:r>
    </w:p>
    <w:sectPr w:rsidR="00FE140B" w:rsidSect="00350F22">
      <w:pgSz w:w="12240" w:h="15840"/>
      <w:pgMar w:top="720" w:right="1080" w:bottom="720" w:left="108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0B"/>
    <w:rsid w:val="0003557B"/>
    <w:rsid w:val="00046281"/>
    <w:rsid w:val="0018368C"/>
    <w:rsid w:val="001D2D9C"/>
    <w:rsid w:val="00233D8F"/>
    <w:rsid w:val="002560E2"/>
    <w:rsid w:val="00334210"/>
    <w:rsid w:val="00350F22"/>
    <w:rsid w:val="00352DEC"/>
    <w:rsid w:val="003A7510"/>
    <w:rsid w:val="00446823"/>
    <w:rsid w:val="00503233"/>
    <w:rsid w:val="0053798B"/>
    <w:rsid w:val="005752B1"/>
    <w:rsid w:val="005D7BFE"/>
    <w:rsid w:val="006B3BE1"/>
    <w:rsid w:val="00715E4F"/>
    <w:rsid w:val="0077596C"/>
    <w:rsid w:val="00794283"/>
    <w:rsid w:val="00842711"/>
    <w:rsid w:val="009939E9"/>
    <w:rsid w:val="00A15354"/>
    <w:rsid w:val="00B24C48"/>
    <w:rsid w:val="00BB792D"/>
    <w:rsid w:val="00BE5C67"/>
    <w:rsid w:val="00C87345"/>
    <w:rsid w:val="00CA6368"/>
    <w:rsid w:val="00D41866"/>
    <w:rsid w:val="00DA7BF8"/>
    <w:rsid w:val="00DD6998"/>
    <w:rsid w:val="00ED0F31"/>
    <w:rsid w:val="00EE0A8C"/>
    <w:rsid w:val="00FE140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AF7F"/>
  <w15:docId w15:val="{0EE03F70-64CB-A54B-8B73-D6CCCE1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 w:type="character" w:customStyle="1" w:styleId="apple-converted-space">
    <w:name w:val="apple-converted-space"/>
    <w:basedOn w:val="DefaultParagraphFont"/>
    <w:rsid w:val="00DA7BF8"/>
  </w:style>
  <w:style w:type="paragraph" w:styleId="BalloonText">
    <w:name w:val="Balloon Text"/>
    <w:basedOn w:val="Normal"/>
    <w:link w:val="BalloonTextChar"/>
    <w:uiPriority w:val="99"/>
    <w:semiHidden/>
    <w:unhideWhenUsed/>
    <w:rsid w:val="006B3BE1"/>
    <w:rPr>
      <w:rFonts w:ascii="Tahoma" w:hAnsi="Tahoma" w:cs="Tahoma"/>
      <w:sz w:val="16"/>
      <w:szCs w:val="16"/>
    </w:rPr>
  </w:style>
  <w:style w:type="character" w:customStyle="1" w:styleId="BalloonTextChar">
    <w:name w:val="Balloon Text Char"/>
    <w:basedOn w:val="DefaultParagraphFont"/>
    <w:link w:val="BalloonText"/>
    <w:uiPriority w:val="99"/>
    <w:semiHidden/>
    <w:rsid w:val="006B3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40629">
      <w:bodyDiv w:val="1"/>
      <w:marLeft w:val="0"/>
      <w:marRight w:val="0"/>
      <w:marTop w:val="0"/>
      <w:marBottom w:val="0"/>
      <w:divBdr>
        <w:top w:val="none" w:sz="0" w:space="0" w:color="auto"/>
        <w:left w:val="none" w:sz="0" w:space="0" w:color="auto"/>
        <w:bottom w:val="none" w:sz="0" w:space="0" w:color="auto"/>
        <w:right w:val="none" w:sz="0" w:space="0" w:color="auto"/>
      </w:divBdr>
      <w:divsChild>
        <w:div w:id="14692822">
          <w:marLeft w:val="0"/>
          <w:marRight w:val="0"/>
          <w:marTop w:val="0"/>
          <w:marBottom w:val="0"/>
          <w:divBdr>
            <w:top w:val="none" w:sz="0" w:space="0" w:color="auto"/>
            <w:left w:val="none" w:sz="0" w:space="0" w:color="auto"/>
            <w:bottom w:val="none" w:sz="0" w:space="0" w:color="auto"/>
            <w:right w:val="none" w:sz="0" w:space="0" w:color="auto"/>
          </w:divBdr>
        </w:div>
        <w:div w:id="2114352146">
          <w:marLeft w:val="0"/>
          <w:marRight w:val="0"/>
          <w:marTop w:val="0"/>
          <w:marBottom w:val="0"/>
          <w:divBdr>
            <w:top w:val="none" w:sz="0" w:space="0" w:color="auto"/>
            <w:left w:val="none" w:sz="0" w:space="0" w:color="auto"/>
            <w:bottom w:val="none" w:sz="0" w:space="0" w:color="auto"/>
            <w:right w:val="none" w:sz="0" w:space="0" w:color="auto"/>
          </w:divBdr>
        </w:div>
        <w:div w:id="2074547385">
          <w:marLeft w:val="0"/>
          <w:marRight w:val="0"/>
          <w:marTop w:val="0"/>
          <w:marBottom w:val="0"/>
          <w:divBdr>
            <w:top w:val="none" w:sz="0" w:space="0" w:color="auto"/>
            <w:left w:val="none" w:sz="0" w:space="0" w:color="auto"/>
            <w:bottom w:val="none" w:sz="0" w:space="0" w:color="auto"/>
            <w:right w:val="none" w:sz="0" w:space="0" w:color="auto"/>
          </w:divBdr>
        </w:div>
        <w:div w:id="14232557">
          <w:marLeft w:val="0"/>
          <w:marRight w:val="0"/>
          <w:marTop w:val="0"/>
          <w:marBottom w:val="0"/>
          <w:divBdr>
            <w:top w:val="none" w:sz="0" w:space="0" w:color="auto"/>
            <w:left w:val="none" w:sz="0" w:space="0" w:color="auto"/>
            <w:bottom w:val="none" w:sz="0" w:space="0" w:color="auto"/>
            <w:right w:val="none" w:sz="0" w:space="0" w:color="auto"/>
          </w:divBdr>
        </w:div>
      </w:divsChild>
    </w:div>
    <w:div w:id="173319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Neylan</dc:creator>
  <cp:lastModifiedBy>Jim Wall</cp:lastModifiedBy>
  <cp:revision>6</cp:revision>
  <cp:lastPrinted>2018-07-30T23:10:00Z</cp:lastPrinted>
  <dcterms:created xsi:type="dcterms:W3CDTF">2018-08-02T13:21:00Z</dcterms:created>
  <dcterms:modified xsi:type="dcterms:W3CDTF">2018-08-02T13:23:00Z</dcterms:modified>
</cp:coreProperties>
</file>