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3C39C" w14:textId="65B97C8C" w:rsidR="00267511" w:rsidRPr="003E0787" w:rsidRDefault="00910800" w:rsidP="00923B96">
      <w:pPr>
        <w:jc w:val="center"/>
        <w:rPr>
          <w:rFonts w:ascii="Avenir Next" w:hAnsi="Avenir Next"/>
          <w:b/>
          <w:caps/>
          <w:sz w:val="28"/>
          <w:szCs w:val="22"/>
        </w:rPr>
      </w:pPr>
      <w:r w:rsidRPr="003E0787">
        <w:rPr>
          <w:rFonts w:ascii="Avenir Next" w:hAnsi="Avenir Next"/>
          <w:b/>
          <w:caps/>
          <w:sz w:val="28"/>
          <w:szCs w:val="22"/>
        </w:rPr>
        <w:t>Canna</w:t>
      </w:r>
      <w:r w:rsidR="00E971F2" w:rsidRPr="003E0787">
        <w:rPr>
          <w:rFonts w:ascii="Avenir Next" w:hAnsi="Avenir Next"/>
          <w:b/>
          <w:caps/>
          <w:sz w:val="28"/>
          <w:szCs w:val="22"/>
        </w:rPr>
        <w:t>bis Growth Opportunity Corporation</w:t>
      </w:r>
      <w:r w:rsidR="0069031B" w:rsidRPr="003E0787">
        <w:rPr>
          <w:rFonts w:ascii="Avenir Next" w:hAnsi="Avenir Next"/>
          <w:b/>
          <w:caps/>
          <w:sz w:val="28"/>
          <w:szCs w:val="22"/>
        </w:rPr>
        <w:t xml:space="preserve"> </w:t>
      </w:r>
      <w:r w:rsidR="00795568" w:rsidRPr="003E0787">
        <w:rPr>
          <w:rFonts w:ascii="Avenir Next" w:hAnsi="Avenir Next"/>
          <w:b/>
          <w:caps/>
          <w:sz w:val="28"/>
          <w:szCs w:val="22"/>
        </w:rPr>
        <w:t xml:space="preserve">Announces </w:t>
      </w:r>
      <w:r w:rsidR="00257726" w:rsidRPr="003E0787">
        <w:rPr>
          <w:rFonts w:ascii="Avenir Next" w:hAnsi="Avenir Next"/>
          <w:b/>
          <w:caps/>
          <w:sz w:val="28"/>
          <w:szCs w:val="22"/>
        </w:rPr>
        <w:t>NAV</w:t>
      </w:r>
      <w:r w:rsidR="003D7835" w:rsidRPr="003E0787">
        <w:rPr>
          <w:rFonts w:ascii="Avenir Next" w:hAnsi="Avenir Next"/>
          <w:b/>
          <w:caps/>
          <w:sz w:val="28"/>
          <w:szCs w:val="22"/>
        </w:rPr>
        <w:t xml:space="preserve"> </w:t>
      </w:r>
      <w:r w:rsidR="00FD399B" w:rsidRPr="003E0787">
        <w:rPr>
          <w:rFonts w:ascii="Avenir Next" w:hAnsi="Avenir Next"/>
          <w:b/>
          <w:caps/>
          <w:sz w:val="28"/>
          <w:szCs w:val="22"/>
        </w:rPr>
        <w:t>of $</w:t>
      </w:r>
      <w:r w:rsidR="00A4284F">
        <w:rPr>
          <w:rFonts w:ascii="Avenir Next" w:hAnsi="Avenir Next"/>
          <w:b/>
          <w:caps/>
          <w:sz w:val="28"/>
          <w:szCs w:val="22"/>
        </w:rPr>
        <w:t>2.63</w:t>
      </w:r>
      <w:bookmarkStart w:id="0" w:name="_GoBack"/>
      <w:bookmarkEnd w:id="0"/>
    </w:p>
    <w:p w14:paraId="7B30D6BE" w14:textId="1BAB2971" w:rsidR="00910800" w:rsidRPr="00855969" w:rsidRDefault="00910800" w:rsidP="002F0241">
      <w:pPr>
        <w:jc w:val="both"/>
        <w:rPr>
          <w:rFonts w:ascii="Avenir Next" w:hAnsi="Avenir Next"/>
          <w:sz w:val="22"/>
          <w:szCs w:val="22"/>
        </w:rPr>
      </w:pPr>
    </w:p>
    <w:p w14:paraId="013F1D4C" w14:textId="0D346CB2" w:rsidR="00305850" w:rsidRPr="00305850" w:rsidRDefault="00910800" w:rsidP="00305850">
      <w:pPr>
        <w:jc w:val="both"/>
        <w:rPr>
          <w:rFonts w:ascii="Arial" w:hAnsi="Arial" w:cs="Arial"/>
          <w:sz w:val="22"/>
          <w:szCs w:val="22"/>
        </w:rPr>
      </w:pPr>
      <w:r w:rsidRPr="00F244FC">
        <w:rPr>
          <w:rFonts w:ascii="Arial" w:hAnsi="Arial" w:cs="Arial"/>
          <w:sz w:val="22"/>
          <w:szCs w:val="22"/>
        </w:rPr>
        <w:t>Toronto, ON –</w:t>
      </w:r>
      <w:r w:rsidR="00A528C5" w:rsidRPr="00F244FC">
        <w:rPr>
          <w:rFonts w:ascii="Arial" w:hAnsi="Arial" w:cs="Arial"/>
          <w:sz w:val="22"/>
          <w:szCs w:val="22"/>
        </w:rPr>
        <w:t xml:space="preserve"> </w:t>
      </w:r>
      <w:r w:rsidRPr="00F244FC">
        <w:rPr>
          <w:rFonts w:ascii="Arial" w:hAnsi="Arial" w:cs="Arial"/>
          <w:sz w:val="22"/>
          <w:szCs w:val="22"/>
        </w:rPr>
        <w:t xml:space="preserve">Cannabis Growth Opportunity Corporation </w:t>
      </w:r>
      <w:r w:rsidR="005473DB" w:rsidRPr="00F244FC">
        <w:rPr>
          <w:rFonts w:ascii="Arial" w:hAnsi="Arial" w:cs="Arial"/>
          <w:sz w:val="22"/>
          <w:szCs w:val="22"/>
        </w:rPr>
        <w:t>(“</w:t>
      </w:r>
      <w:r w:rsidR="005473DB" w:rsidRPr="00F244FC">
        <w:rPr>
          <w:rFonts w:ascii="Arial" w:hAnsi="Arial" w:cs="Arial"/>
          <w:b/>
          <w:sz w:val="22"/>
          <w:szCs w:val="22"/>
        </w:rPr>
        <w:t>CGOC</w:t>
      </w:r>
      <w:r w:rsidR="005473DB" w:rsidRPr="00F244FC">
        <w:rPr>
          <w:rFonts w:ascii="Arial" w:hAnsi="Arial" w:cs="Arial"/>
          <w:sz w:val="22"/>
          <w:szCs w:val="22"/>
        </w:rPr>
        <w:t>”, or the “</w:t>
      </w:r>
      <w:r w:rsidR="005473DB" w:rsidRPr="00F244FC">
        <w:rPr>
          <w:rFonts w:ascii="Arial" w:hAnsi="Arial" w:cs="Arial"/>
          <w:b/>
          <w:sz w:val="22"/>
          <w:szCs w:val="22"/>
        </w:rPr>
        <w:t>Company</w:t>
      </w:r>
      <w:r w:rsidR="005473DB" w:rsidRPr="00F244FC">
        <w:rPr>
          <w:rFonts w:ascii="Arial" w:hAnsi="Arial" w:cs="Arial"/>
          <w:sz w:val="22"/>
          <w:szCs w:val="22"/>
        </w:rPr>
        <w:t>”)</w:t>
      </w:r>
      <w:r w:rsidR="003E0787" w:rsidRPr="00F244FC">
        <w:rPr>
          <w:rFonts w:ascii="Arial" w:hAnsi="Arial" w:cs="Arial"/>
          <w:sz w:val="22"/>
          <w:szCs w:val="22"/>
        </w:rPr>
        <w:t xml:space="preserve"> (</w:t>
      </w:r>
      <w:r w:rsidR="003E0787" w:rsidRPr="00F244FC">
        <w:rPr>
          <w:rFonts w:ascii="Arial" w:hAnsi="Arial" w:cs="Arial"/>
          <w:b/>
          <w:sz w:val="22"/>
          <w:szCs w:val="22"/>
        </w:rPr>
        <w:t>CSE: CGOC</w:t>
      </w:r>
      <w:r w:rsidR="003E0787" w:rsidRPr="00F244FC">
        <w:rPr>
          <w:rFonts w:ascii="Arial" w:hAnsi="Arial" w:cs="Arial"/>
          <w:sz w:val="22"/>
          <w:szCs w:val="22"/>
        </w:rPr>
        <w:t xml:space="preserve">), </w:t>
      </w:r>
      <w:r w:rsidRPr="00F244FC">
        <w:rPr>
          <w:rFonts w:ascii="Arial" w:hAnsi="Arial" w:cs="Arial"/>
          <w:sz w:val="22"/>
          <w:szCs w:val="22"/>
        </w:rPr>
        <w:t>a cannabis focused investment corporation with both public and private cannabis holdings,</w:t>
      </w:r>
      <w:r w:rsidR="00440FF6" w:rsidRPr="00F244FC">
        <w:rPr>
          <w:rFonts w:ascii="Arial" w:hAnsi="Arial" w:cs="Arial"/>
          <w:sz w:val="22"/>
          <w:szCs w:val="22"/>
        </w:rPr>
        <w:t xml:space="preserve"> </w:t>
      </w:r>
      <w:r w:rsidR="00795568" w:rsidRPr="00F244FC">
        <w:rPr>
          <w:rFonts w:ascii="Arial" w:hAnsi="Arial" w:cs="Arial"/>
          <w:sz w:val="22"/>
          <w:szCs w:val="22"/>
        </w:rPr>
        <w:t>is pleased to announce</w:t>
      </w:r>
      <w:r w:rsidR="00305850">
        <w:rPr>
          <w:rFonts w:ascii="Arial" w:hAnsi="Arial" w:cs="Arial"/>
          <w:sz w:val="22"/>
          <w:szCs w:val="22"/>
        </w:rPr>
        <w:t xml:space="preserve"> </w:t>
      </w:r>
      <w:r w:rsidR="00305850" w:rsidRPr="00305850">
        <w:rPr>
          <w:rFonts w:ascii="Arial" w:hAnsi="Arial" w:cs="Arial"/>
          <w:sz w:val="22"/>
          <w:szCs w:val="22"/>
        </w:rPr>
        <w:t xml:space="preserve">the company’s updated net asset value per common share (“NAV”) of </w:t>
      </w:r>
      <w:r w:rsidR="00305850" w:rsidRPr="00CD21F9">
        <w:rPr>
          <w:rFonts w:ascii="Arial" w:hAnsi="Arial" w:cs="Arial"/>
          <w:sz w:val="22"/>
          <w:szCs w:val="22"/>
        </w:rPr>
        <w:t>$</w:t>
      </w:r>
      <w:r w:rsidR="00297A3F" w:rsidRPr="00CD21F9">
        <w:rPr>
          <w:rFonts w:ascii="Arial" w:hAnsi="Arial" w:cs="Arial"/>
          <w:sz w:val="22"/>
          <w:szCs w:val="22"/>
        </w:rPr>
        <w:t>2.63</w:t>
      </w:r>
      <w:r w:rsidR="00305850" w:rsidRPr="00305850">
        <w:rPr>
          <w:rFonts w:ascii="Arial" w:hAnsi="Arial" w:cs="Arial"/>
          <w:sz w:val="22"/>
          <w:szCs w:val="22"/>
        </w:rPr>
        <w:t xml:space="preserve"> at the close of business on </w:t>
      </w:r>
      <w:r w:rsidR="00D67AF3">
        <w:rPr>
          <w:rFonts w:ascii="Arial" w:hAnsi="Arial" w:cs="Arial"/>
          <w:sz w:val="22"/>
          <w:szCs w:val="22"/>
        </w:rPr>
        <w:t>Novem</w:t>
      </w:r>
      <w:r w:rsidR="00305850" w:rsidRPr="00305850">
        <w:rPr>
          <w:rFonts w:ascii="Arial" w:hAnsi="Arial" w:cs="Arial"/>
          <w:sz w:val="22"/>
          <w:szCs w:val="22"/>
        </w:rPr>
        <w:t xml:space="preserve">ber 15, 2018. This represents growth of </w:t>
      </w:r>
      <w:r w:rsidR="006F5F3C" w:rsidRPr="006F5F3C">
        <w:rPr>
          <w:rFonts w:ascii="Arial" w:hAnsi="Arial" w:cs="Arial"/>
          <w:sz w:val="22"/>
          <w:szCs w:val="22"/>
        </w:rPr>
        <w:t>13.5</w:t>
      </w:r>
      <w:r w:rsidR="00305850" w:rsidRPr="00305850">
        <w:rPr>
          <w:rFonts w:ascii="Arial" w:hAnsi="Arial" w:cs="Arial"/>
          <w:sz w:val="22"/>
          <w:szCs w:val="22"/>
        </w:rPr>
        <w:t xml:space="preserve">% since our Initial Public Offering at the beginning of this year. </w:t>
      </w:r>
    </w:p>
    <w:p w14:paraId="6D538B7A" w14:textId="77777777" w:rsidR="00305850" w:rsidRPr="00305850" w:rsidRDefault="00305850" w:rsidP="00305850">
      <w:pPr>
        <w:jc w:val="both"/>
        <w:rPr>
          <w:rFonts w:ascii="Arial" w:hAnsi="Arial" w:cs="Arial"/>
          <w:sz w:val="22"/>
          <w:szCs w:val="22"/>
        </w:rPr>
      </w:pPr>
    </w:p>
    <w:p w14:paraId="5273C7D4" w14:textId="17AB3F80" w:rsidR="00305850" w:rsidRPr="00305850" w:rsidRDefault="00305850" w:rsidP="00305850">
      <w:pPr>
        <w:jc w:val="both"/>
        <w:rPr>
          <w:rFonts w:ascii="Arial" w:hAnsi="Arial" w:cs="Arial"/>
          <w:sz w:val="22"/>
          <w:szCs w:val="22"/>
        </w:rPr>
      </w:pPr>
      <w:r w:rsidRPr="00305850">
        <w:rPr>
          <w:rFonts w:ascii="Arial" w:hAnsi="Arial" w:cs="Arial"/>
          <w:sz w:val="22"/>
          <w:szCs w:val="22"/>
        </w:rPr>
        <w:t xml:space="preserve">CGOC is now over </w:t>
      </w:r>
      <w:r w:rsidRPr="00F408CC">
        <w:rPr>
          <w:rFonts w:ascii="Arial" w:hAnsi="Arial" w:cs="Arial"/>
          <w:sz w:val="22"/>
          <w:szCs w:val="22"/>
        </w:rPr>
        <w:t>9</w:t>
      </w:r>
      <w:r w:rsidR="006F5F3C" w:rsidRPr="00F408CC">
        <w:rPr>
          <w:rFonts w:ascii="Arial" w:hAnsi="Arial" w:cs="Arial"/>
          <w:sz w:val="22"/>
          <w:szCs w:val="22"/>
        </w:rPr>
        <w:t>7</w:t>
      </w:r>
      <w:r w:rsidRPr="00305850">
        <w:rPr>
          <w:rFonts w:ascii="Arial" w:hAnsi="Arial" w:cs="Arial"/>
          <w:sz w:val="22"/>
          <w:szCs w:val="22"/>
        </w:rPr>
        <w:t xml:space="preserve"> percent invested in companies operating in Canada, the U.S., Jamaica and Israel. CGOC’s top ten public investments as of </w:t>
      </w:r>
      <w:r w:rsidR="001116D0">
        <w:rPr>
          <w:rFonts w:ascii="Arial" w:hAnsi="Arial" w:cs="Arial"/>
          <w:sz w:val="22"/>
          <w:szCs w:val="22"/>
        </w:rPr>
        <w:t>November</w:t>
      </w:r>
      <w:r w:rsidRPr="00305850">
        <w:rPr>
          <w:rFonts w:ascii="Arial" w:hAnsi="Arial" w:cs="Arial"/>
          <w:sz w:val="22"/>
          <w:szCs w:val="22"/>
        </w:rPr>
        <w:t xml:space="preserve"> 15, 2018 (in alphabetical order) are</w:t>
      </w:r>
      <w:r w:rsidRPr="00CD21F9">
        <w:rPr>
          <w:rFonts w:ascii="Arial" w:hAnsi="Arial" w:cs="Arial"/>
          <w:sz w:val="22"/>
          <w:szCs w:val="22"/>
        </w:rPr>
        <w:t xml:space="preserve">: C21 Investments </w:t>
      </w:r>
      <w:r w:rsidR="00F408CC" w:rsidRPr="00CD21F9">
        <w:rPr>
          <w:rFonts w:ascii="Arial" w:hAnsi="Arial" w:cs="Arial"/>
          <w:sz w:val="22"/>
          <w:szCs w:val="22"/>
        </w:rPr>
        <w:t xml:space="preserve">Corp. </w:t>
      </w:r>
      <w:r w:rsidRPr="00CD21F9">
        <w:rPr>
          <w:rFonts w:ascii="Arial" w:hAnsi="Arial" w:cs="Arial"/>
          <w:sz w:val="22"/>
          <w:szCs w:val="22"/>
        </w:rPr>
        <w:t xml:space="preserve">(CSE : CXXI), </w:t>
      </w:r>
      <w:proofErr w:type="spellStart"/>
      <w:r w:rsidRPr="00CD21F9">
        <w:rPr>
          <w:rFonts w:ascii="Arial" w:hAnsi="Arial" w:cs="Arial"/>
          <w:sz w:val="22"/>
          <w:szCs w:val="22"/>
        </w:rPr>
        <w:t>CannTrust</w:t>
      </w:r>
      <w:proofErr w:type="spellEnd"/>
      <w:r w:rsidRPr="00CD21F9">
        <w:rPr>
          <w:rFonts w:ascii="Arial" w:hAnsi="Arial" w:cs="Arial"/>
          <w:sz w:val="22"/>
          <w:szCs w:val="22"/>
        </w:rPr>
        <w:t xml:space="preserve"> </w:t>
      </w:r>
      <w:r w:rsidR="00CD21F9" w:rsidRPr="00CD21F9">
        <w:rPr>
          <w:rFonts w:ascii="Arial" w:hAnsi="Arial" w:cs="Arial"/>
          <w:sz w:val="22"/>
          <w:szCs w:val="22"/>
        </w:rPr>
        <w:t xml:space="preserve">Holdings Inc. </w:t>
      </w:r>
      <w:r w:rsidRPr="00CD21F9">
        <w:rPr>
          <w:rFonts w:ascii="Arial" w:hAnsi="Arial" w:cs="Arial"/>
          <w:sz w:val="22"/>
          <w:szCs w:val="22"/>
        </w:rPr>
        <w:t xml:space="preserve">(TSX : TRST), </w:t>
      </w:r>
      <w:r w:rsidR="00F408CC" w:rsidRPr="00CD21F9">
        <w:rPr>
          <w:rFonts w:ascii="Arial" w:hAnsi="Arial" w:cs="Arial"/>
          <w:sz w:val="22"/>
          <w:szCs w:val="22"/>
        </w:rPr>
        <w:t xml:space="preserve">Cresco Labs Com (listing pending), </w:t>
      </w:r>
      <w:r w:rsidRPr="00CD21F9">
        <w:rPr>
          <w:rFonts w:ascii="Arial" w:hAnsi="Arial" w:cs="Arial"/>
          <w:sz w:val="22"/>
          <w:szCs w:val="22"/>
        </w:rPr>
        <w:t xml:space="preserve">HEXO Corp. (TSX : HEXO), </w:t>
      </w:r>
      <w:proofErr w:type="spellStart"/>
      <w:r w:rsidR="00F408CC" w:rsidRPr="00CD21F9">
        <w:rPr>
          <w:rFonts w:ascii="Arial" w:hAnsi="Arial" w:cs="Arial"/>
          <w:sz w:val="22"/>
          <w:szCs w:val="22"/>
        </w:rPr>
        <w:t>Indiva</w:t>
      </w:r>
      <w:proofErr w:type="spellEnd"/>
      <w:r w:rsidR="00F408CC" w:rsidRPr="00CD21F9">
        <w:rPr>
          <w:rFonts w:ascii="Arial" w:hAnsi="Arial" w:cs="Arial"/>
          <w:sz w:val="22"/>
          <w:szCs w:val="22"/>
        </w:rPr>
        <w:t xml:space="preserve"> Limited  (TSX-V : NDVA), (</w:t>
      </w:r>
      <w:r w:rsidRPr="00CD21F9">
        <w:rPr>
          <w:rFonts w:ascii="Arial" w:hAnsi="Arial" w:cs="Arial"/>
          <w:sz w:val="22"/>
          <w:szCs w:val="22"/>
        </w:rPr>
        <w:t xml:space="preserve">Organigram </w:t>
      </w:r>
      <w:r w:rsidR="00F408CC" w:rsidRPr="00CD21F9">
        <w:rPr>
          <w:rFonts w:ascii="Arial" w:hAnsi="Arial" w:cs="Arial"/>
          <w:sz w:val="22"/>
          <w:szCs w:val="22"/>
        </w:rPr>
        <w:t xml:space="preserve">Holdings Inc. </w:t>
      </w:r>
      <w:r w:rsidRPr="00CD21F9">
        <w:rPr>
          <w:rFonts w:ascii="Arial" w:hAnsi="Arial" w:cs="Arial"/>
          <w:sz w:val="22"/>
          <w:szCs w:val="22"/>
        </w:rPr>
        <w:t>(TSX-V : OGI), Planet 13</w:t>
      </w:r>
      <w:r w:rsidR="00F408CC" w:rsidRPr="00CD21F9">
        <w:rPr>
          <w:rFonts w:ascii="Arial" w:hAnsi="Arial" w:cs="Arial"/>
          <w:sz w:val="22"/>
          <w:szCs w:val="22"/>
        </w:rPr>
        <w:t xml:space="preserve"> Holdings Inc.</w:t>
      </w:r>
      <w:r w:rsidRPr="00CD21F9">
        <w:rPr>
          <w:rFonts w:ascii="Arial" w:hAnsi="Arial" w:cs="Arial"/>
          <w:sz w:val="22"/>
          <w:szCs w:val="22"/>
        </w:rPr>
        <w:t xml:space="preserve"> (CSE : PLTH), </w:t>
      </w:r>
      <w:proofErr w:type="spellStart"/>
      <w:r w:rsidR="00CD21F9" w:rsidRPr="00CD21F9">
        <w:rPr>
          <w:rFonts w:ascii="Arial" w:hAnsi="Arial" w:cs="Arial"/>
          <w:sz w:val="22"/>
          <w:szCs w:val="22"/>
        </w:rPr>
        <w:t>Sunniva</w:t>
      </w:r>
      <w:proofErr w:type="spellEnd"/>
      <w:r w:rsidR="00CD21F9" w:rsidRPr="00CD21F9">
        <w:rPr>
          <w:rFonts w:ascii="Arial" w:hAnsi="Arial" w:cs="Arial"/>
          <w:sz w:val="22"/>
          <w:szCs w:val="22"/>
        </w:rPr>
        <w:t xml:space="preserve"> Inc. (CSE : SNN), (</w:t>
      </w:r>
      <w:r w:rsidRPr="00CD21F9">
        <w:rPr>
          <w:rFonts w:ascii="Arial" w:hAnsi="Arial" w:cs="Arial"/>
          <w:sz w:val="22"/>
          <w:szCs w:val="22"/>
        </w:rPr>
        <w:t xml:space="preserve">Valens </w:t>
      </w:r>
      <w:proofErr w:type="spellStart"/>
      <w:r w:rsidRPr="00CD21F9">
        <w:rPr>
          <w:rFonts w:ascii="Arial" w:hAnsi="Arial" w:cs="Arial"/>
          <w:sz w:val="22"/>
          <w:szCs w:val="22"/>
        </w:rPr>
        <w:t>GroWorks</w:t>
      </w:r>
      <w:proofErr w:type="spellEnd"/>
      <w:r w:rsidRPr="00CD21F9">
        <w:rPr>
          <w:rFonts w:ascii="Arial" w:hAnsi="Arial" w:cs="Arial"/>
          <w:sz w:val="22"/>
          <w:szCs w:val="22"/>
        </w:rPr>
        <w:t xml:space="preserve"> </w:t>
      </w:r>
      <w:r w:rsidR="00CD21F9" w:rsidRPr="00CD21F9">
        <w:rPr>
          <w:rFonts w:ascii="Arial" w:hAnsi="Arial" w:cs="Arial"/>
          <w:sz w:val="22"/>
          <w:szCs w:val="22"/>
        </w:rPr>
        <w:t xml:space="preserve">Corp. </w:t>
      </w:r>
      <w:r w:rsidRPr="00CD21F9">
        <w:rPr>
          <w:rFonts w:ascii="Arial" w:hAnsi="Arial" w:cs="Arial"/>
          <w:sz w:val="22"/>
          <w:szCs w:val="22"/>
        </w:rPr>
        <w:t xml:space="preserve">(CSE : VGW), and </w:t>
      </w:r>
      <w:r w:rsidR="00CD21F9" w:rsidRPr="00CD21F9">
        <w:rPr>
          <w:rFonts w:ascii="Arial" w:hAnsi="Arial" w:cs="Arial"/>
          <w:sz w:val="22"/>
          <w:szCs w:val="22"/>
        </w:rPr>
        <w:t>VIVO Cannabis (TSX-V : VIVO).</w:t>
      </w:r>
      <w:r w:rsidRPr="00CD21F9">
        <w:rPr>
          <w:rFonts w:ascii="Arial" w:hAnsi="Arial" w:cs="Arial"/>
          <w:sz w:val="22"/>
          <w:szCs w:val="22"/>
        </w:rPr>
        <w:t xml:space="preserve"> CGOC’s </w:t>
      </w:r>
      <w:r w:rsidR="00CD21F9" w:rsidRPr="00CD21F9">
        <w:rPr>
          <w:rFonts w:ascii="Arial" w:hAnsi="Arial" w:cs="Arial"/>
          <w:sz w:val="22"/>
          <w:szCs w:val="22"/>
        </w:rPr>
        <w:t xml:space="preserve">public investments represent approximately 60 percent of the overall portfolio, with the </w:t>
      </w:r>
      <w:r w:rsidRPr="00CD21F9">
        <w:rPr>
          <w:rFonts w:ascii="Arial" w:hAnsi="Arial" w:cs="Arial"/>
          <w:sz w:val="22"/>
          <w:szCs w:val="22"/>
        </w:rPr>
        <w:t>private investments represent</w:t>
      </w:r>
      <w:r w:rsidR="00CD21F9" w:rsidRPr="00CD21F9">
        <w:rPr>
          <w:rFonts w:ascii="Arial" w:hAnsi="Arial" w:cs="Arial"/>
          <w:sz w:val="22"/>
          <w:szCs w:val="22"/>
        </w:rPr>
        <w:t>ing</w:t>
      </w:r>
      <w:r w:rsidRPr="00CD21F9">
        <w:rPr>
          <w:rFonts w:ascii="Arial" w:hAnsi="Arial" w:cs="Arial"/>
          <w:sz w:val="22"/>
          <w:szCs w:val="22"/>
        </w:rPr>
        <w:t xml:space="preserve"> approximately 37 percent of the </w:t>
      </w:r>
      <w:r w:rsidR="00CD21F9" w:rsidRPr="00CD21F9">
        <w:rPr>
          <w:rFonts w:ascii="Arial" w:hAnsi="Arial" w:cs="Arial"/>
          <w:sz w:val="22"/>
          <w:szCs w:val="22"/>
        </w:rPr>
        <w:t>overall</w:t>
      </w:r>
      <w:r w:rsidRPr="00CD21F9">
        <w:rPr>
          <w:rFonts w:ascii="Arial" w:hAnsi="Arial" w:cs="Arial"/>
          <w:sz w:val="22"/>
          <w:szCs w:val="22"/>
        </w:rPr>
        <w:t xml:space="preserve"> portfolio</w:t>
      </w:r>
      <w:r w:rsidR="00CD21F9" w:rsidRPr="00CD21F9">
        <w:rPr>
          <w:rFonts w:ascii="Arial" w:hAnsi="Arial" w:cs="Arial"/>
          <w:sz w:val="22"/>
          <w:szCs w:val="22"/>
        </w:rPr>
        <w:t>.</w:t>
      </w:r>
    </w:p>
    <w:p w14:paraId="3EC5F039" w14:textId="77777777" w:rsidR="00305850" w:rsidRDefault="00305850" w:rsidP="00305850">
      <w:pPr>
        <w:jc w:val="both"/>
        <w:rPr>
          <w:rFonts w:ascii="Avenir Next" w:hAnsi="Avenir Next"/>
          <w:sz w:val="22"/>
          <w:szCs w:val="22"/>
        </w:rPr>
      </w:pPr>
    </w:p>
    <w:p w14:paraId="4A9D9D3D" w14:textId="2ADD9883" w:rsidR="00305850" w:rsidRPr="00D67AF3" w:rsidRDefault="00305850" w:rsidP="00305850">
      <w:pPr>
        <w:jc w:val="both"/>
        <w:rPr>
          <w:rFonts w:ascii="Arial" w:hAnsi="Arial" w:cs="Arial"/>
          <w:sz w:val="22"/>
          <w:szCs w:val="22"/>
        </w:rPr>
      </w:pPr>
      <w:r w:rsidRPr="001116D0">
        <w:rPr>
          <w:rFonts w:ascii="Arial" w:hAnsi="Arial" w:cs="Arial"/>
          <w:b/>
          <w:sz w:val="22"/>
          <w:szCs w:val="22"/>
        </w:rPr>
        <w:t>Jamie Blundell, President and Chief Operating Officer of CGOC commented, “</w:t>
      </w:r>
      <w:r w:rsidR="004F4181">
        <w:rPr>
          <w:rFonts w:ascii="Arial" w:hAnsi="Arial" w:cs="Arial"/>
          <w:sz w:val="22"/>
          <w:szCs w:val="22"/>
        </w:rPr>
        <w:t xml:space="preserve">CGOC realized a loss of 13.2% over last month compared to the North American </w:t>
      </w:r>
      <w:proofErr w:type="spellStart"/>
      <w:r w:rsidR="004F4181">
        <w:rPr>
          <w:rFonts w:ascii="Arial" w:hAnsi="Arial" w:cs="Arial"/>
          <w:sz w:val="22"/>
          <w:szCs w:val="22"/>
        </w:rPr>
        <w:t>Marijauna</w:t>
      </w:r>
      <w:proofErr w:type="spellEnd"/>
      <w:r w:rsidR="004F4181">
        <w:rPr>
          <w:rFonts w:ascii="Arial" w:hAnsi="Arial" w:cs="Arial"/>
          <w:sz w:val="22"/>
          <w:szCs w:val="22"/>
        </w:rPr>
        <w:t xml:space="preserve"> Index, which saw a 26.7% decrease.</w:t>
      </w:r>
      <w:r w:rsidR="004F4181" w:rsidRPr="006F5F3C">
        <w:rPr>
          <w:rFonts w:ascii="Arial" w:hAnsi="Arial" w:cs="Arial"/>
          <w:sz w:val="22"/>
          <w:szCs w:val="22"/>
        </w:rPr>
        <w:t xml:space="preserve"> </w:t>
      </w:r>
      <w:r w:rsidR="006F5F3C" w:rsidRPr="006F5F3C">
        <w:rPr>
          <w:rFonts w:ascii="Arial" w:hAnsi="Arial" w:cs="Arial"/>
          <w:sz w:val="22"/>
          <w:szCs w:val="22"/>
        </w:rPr>
        <w:t>We believe this</w:t>
      </w:r>
      <w:r w:rsidR="006F5F3C">
        <w:rPr>
          <w:rFonts w:ascii="Arial" w:hAnsi="Arial" w:cs="Arial"/>
          <w:sz w:val="22"/>
          <w:szCs w:val="22"/>
        </w:rPr>
        <w:t xml:space="preserve"> month’s NAV of $2.63 demonstrates </w:t>
      </w:r>
      <w:r w:rsidR="00A0271E">
        <w:rPr>
          <w:rFonts w:ascii="Arial" w:hAnsi="Arial" w:cs="Arial"/>
          <w:sz w:val="22"/>
          <w:szCs w:val="22"/>
        </w:rPr>
        <w:t xml:space="preserve">that our </w:t>
      </w:r>
      <w:r w:rsidR="006B1E86" w:rsidRPr="00431187">
        <w:rPr>
          <w:rFonts w:ascii="Arial" w:hAnsi="Arial" w:cs="Arial"/>
          <w:sz w:val="22"/>
          <w:szCs w:val="22"/>
        </w:rPr>
        <w:t xml:space="preserve">diversified actively managed portfolio </w:t>
      </w:r>
      <w:r w:rsidR="006F5F3C">
        <w:rPr>
          <w:rFonts w:ascii="Arial" w:hAnsi="Arial" w:cs="Arial"/>
          <w:sz w:val="22"/>
          <w:szCs w:val="22"/>
        </w:rPr>
        <w:t>continues to provide</w:t>
      </w:r>
      <w:r w:rsidR="006B1E86" w:rsidRPr="00431187">
        <w:rPr>
          <w:rFonts w:ascii="Arial" w:hAnsi="Arial" w:cs="Arial"/>
          <w:sz w:val="22"/>
          <w:szCs w:val="22"/>
        </w:rPr>
        <w:t xml:space="preserve"> </w:t>
      </w:r>
      <w:r w:rsidR="004F4181">
        <w:rPr>
          <w:rFonts w:ascii="Arial" w:hAnsi="Arial" w:cs="Arial"/>
          <w:sz w:val="22"/>
          <w:szCs w:val="22"/>
        </w:rPr>
        <w:t xml:space="preserve">downside </w:t>
      </w:r>
      <w:r w:rsidR="006B1E86" w:rsidRPr="00431187">
        <w:rPr>
          <w:rFonts w:ascii="Arial" w:hAnsi="Arial" w:cs="Arial"/>
          <w:sz w:val="22"/>
          <w:szCs w:val="22"/>
        </w:rPr>
        <w:t>protection</w:t>
      </w:r>
      <w:r w:rsidR="00431187" w:rsidRPr="00431187">
        <w:rPr>
          <w:rFonts w:ascii="Arial" w:hAnsi="Arial" w:cs="Arial"/>
          <w:sz w:val="22"/>
          <w:szCs w:val="22"/>
        </w:rPr>
        <w:t xml:space="preserve"> in these </w:t>
      </w:r>
      <w:r w:rsidR="004F4181">
        <w:rPr>
          <w:rFonts w:ascii="Arial" w:hAnsi="Arial" w:cs="Arial"/>
          <w:sz w:val="22"/>
          <w:szCs w:val="22"/>
        </w:rPr>
        <w:t>volatile</w:t>
      </w:r>
      <w:r w:rsidR="00431187" w:rsidRPr="00431187">
        <w:rPr>
          <w:rFonts w:ascii="Arial" w:hAnsi="Arial" w:cs="Arial"/>
          <w:sz w:val="22"/>
          <w:szCs w:val="22"/>
        </w:rPr>
        <w:t xml:space="preserve"> markets</w:t>
      </w:r>
      <w:r w:rsidR="004F4181">
        <w:rPr>
          <w:rFonts w:ascii="Arial" w:hAnsi="Arial" w:cs="Arial"/>
          <w:sz w:val="22"/>
          <w:szCs w:val="22"/>
        </w:rPr>
        <w:t>.”</w:t>
      </w:r>
    </w:p>
    <w:p w14:paraId="1BA60188" w14:textId="77777777" w:rsidR="00305850" w:rsidRPr="00D67AF3" w:rsidRDefault="00305850" w:rsidP="00305850">
      <w:pPr>
        <w:jc w:val="both"/>
        <w:rPr>
          <w:rFonts w:ascii="Arial" w:hAnsi="Arial" w:cs="Arial"/>
          <w:sz w:val="22"/>
          <w:szCs w:val="22"/>
        </w:rPr>
      </w:pPr>
    </w:p>
    <w:p w14:paraId="4A95861D" w14:textId="53A7E4F0" w:rsidR="00305850" w:rsidRPr="001116D0" w:rsidRDefault="001116D0" w:rsidP="0030585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November </w:t>
      </w:r>
      <w:r w:rsidR="00305850" w:rsidRPr="001116D0">
        <w:rPr>
          <w:rFonts w:ascii="Arial" w:hAnsi="Arial" w:cs="Arial"/>
          <w:b/>
          <w:sz w:val="22"/>
          <w:szCs w:val="22"/>
        </w:rPr>
        <w:t>Webinar</w:t>
      </w:r>
    </w:p>
    <w:p w14:paraId="6546D9DA" w14:textId="114F00EE" w:rsidR="00305850" w:rsidRPr="00D67AF3" w:rsidRDefault="00305850" w:rsidP="00305850">
      <w:pPr>
        <w:jc w:val="both"/>
        <w:rPr>
          <w:rFonts w:ascii="Arial" w:hAnsi="Arial" w:cs="Arial"/>
          <w:sz w:val="22"/>
          <w:szCs w:val="22"/>
        </w:rPr>
      </w:pPr>
      <w:r w:rsidRPr="00D67AF3">
        <w:rPr>
          <w:rFonts w:ascii="Arial" w:hAnsi="Arial" w:cs="Arial"/>
          <w:sz w:val="22"/>
          <w:szCs w:val="22"/>
        </w:rPr>
        <w:t xml:space="preserve">CGOC will host </w:t>
      </w:r>
      <w:r w:rsidR="00CD21F9">
        <w:rPr>
          <w:rFonts w:ascii="Arial" w:hAnsi="Arial" w:cs="Arial"/>
          <w:sz w:val="22"/>
          <w:szCs w:val="22"/>
        </w:rPr>
        <w:t>the</w:t>
      </w:r>
      <w:r w:rsidRPr="00D67AF3">
        <w:rPr>
          <w:rFonts w:ascii="Arial" w:hAnsi="Arial" w:cs="Arial"/>
          <w:sz w:val="22"/>
          <w:szCs w:val="22"/>
        </w:rPr>
        <w:t xml:space="preserve"> </w:t>
      </w:r>
      <w:r w:rsidR="00CD21F9">
        <w:rPr>
          <w:rFonts w:ascii="Arial" w:hAnsi="Arial" w:cs="Arial"/>
          <w:sz w:val="22"/>
          <w:szCs w:val="22"/>
        </w:rPr>
        <w:t xml:space="preserve">November </w:t>
      </w:r>
      <w:r w:rsidRPr="00D67AF3">
        <w:rPr>
          <w:rFonts w:ascii="Arial" w:hAnsi="Arial" w:cs="Arial"/>
          <w:sz w:val="22"/>
          <w:szCs w:val="22"/>
        </w:rPr>
        <w:t>webinar on T</w:t>
      </w:r>
      <w:r w:rsidR="004E15BD">
        <w:rPr>
          <w:rFonts w:ascii="Arial" w:hAnsi="Arial" w:cs="Arial"/>
          <w:sz w:val="22"/>
          <w:szCs w:val="22"/>
        </w:rPr>
        <w:t>uesday</w:t>
      </w:r>
      <w:r w:rsidRPr="00D67AF3">
        <w:rPr>
          <w:rFonts w:ascii="Arial" w:hAnsi="Arial" w:cs="Arial"/>
          <w:sz w:val="22"/>
          <w:szCs w:val="22"/>
        </w:rPr>
        <w:t xml:space="preserve">, </w:t>
      </w:r>
      <w:r w:rsidR="004E15BD">
        <w:rPr>
          <w:rFonts w:ascii="Arial" w:hAnsi="Arial" w:cs="Arial"/>
          <w:sz w:val="22"/>
          <w:szCs w:val="22"/>
        </w:rPr>
        <w:t>November 20th</w:t>
      </w:r>
      <w:r w:rsidRPr="00D67AF3">
        <w:rPr>
          <w:rFonts w:ascii="Arial" w:hAnsi="Arial" w:cs="Arial"/>
          <w:sz w:val="22"/>
          <w:szCs w:val="22"/>
        </w:rPr>
        <w:t xml:space="preserve"> at 4:30 pm E</w:t>
      </w:r>
      <w:r w:rsidR="00CD21F9">
        <w:rPr>
          <w:rFonts w:ascii="Arial" w:hAnsi="Arial" w:cs="Arial"/>
          <w:sz w:val="22"/>
          <w:szCs w:val="22"/>
        </w:rPr>
        <w:t>S</w:t>
      </w:r>
      <w:r w:rsidRPr="00D67AF3">
        <w:rPr>
          <w:rFonts w:ascii="Arial" w:hAnsi="Arial" w:cs="Arial"/>
          <w:sz w:val="22"/>
          <w:szCs w:val="22"/>
        </w:rPr>
        <w:t xml:space="preserve">T during which company executives will provide a brief update on the business, review CGOC’s performance, and provide an update on both the public and private holdings. Interested webinar attendees can </w:t>
      </w:r>
      <w:hyperlink r:id="rId7" w:history="1">
        <w:r w:rsidR="004E15BD" w:rsidRPr="004E15BD">
          <w:rPr>
            <w:rStyle w:val="Hyperlink"/>
            <w:rFonts w:ascii="Arial" w:hAnsi="Arial" w:cs="Arial"/>
            <w:b/>
            <w:color w:val="007D3F"/>
            <w:sz w:val="22"/>
            <w:szCs w:val="22"/>
          </w:rPr>
          <w:t>Register Here</w:t>
        </w:r>
      </w:hyperlink>
      <w:r w:rsidRPr="00D67AF3">
        <w:rPr>
          <w:rFonts w:ascii="Arial" w:hAnsi="Arial" w:cs="Arial"/>
          <w:sz w:val="22"/>
          <w:szCs w:val="22"/>
        </w:rPr>
        <w:t xml:space="preserve"> </w:t>
      </w:r>
      <w:r w:rsidR="004E15BD">
        <w:rPr>
          <w:rFonts w:ascii="Arial" w:hAnsi="Arial" w:cs="Arial"/>
        </w:rPr>
        <w:t xml:space="preserve">or by visiting the website at </w:t>
      </w:r>
      <w:hyperlink r:id="rId8" w:history="1">
        <w:r w:rsidR="004E15BD" w:rsidRPr="00851593">
          <w:rPr>
            <w:rStyle w:val="Hyperlink"/>
            <w:rFonts w:ascii="Arial" w:hAnsi="Arial" w:cs="Arial"/>
          </w:rPr>
          <w:t>www.cgoc.com</w:t>
        </w:r>
      </w:hyperlink>
      <w:r w:rsidR="004E15BD">
        <w:rPr>
          <w:rFonts w:ascii="Arial" w:hAnsi="Arial" w:cs="Arial"/>
        </w:rPr>
        <w:t xml:space="preserve">. </w:t>
      </w:r>
    </w:p>
    <w:p w14:paraId="6A207FCC" w14:textId="77777777" w:rsidR="00305850" w:rsidRPr="00855969" w:rsidRDefault="00305850" w:rsidP="00305850">
      <w:pPr>
        <w:jc w:val="both"/>
        <w:rPr>
          <w:rFonts w:ascii="Avenir Next" w:hAnsi="Avenir Next"/>
          <w:sz w:val="22"/>
          <w:szCs w:val="22"/>
        </w:rPr>
      </w:pPr>
    </w:p>
    <w:p w14:paraId="000B5BD7" w14:textId="5C27175C" w:rsidR="00305850" w:rsidRPr="004E15BD" w:rsidRDefault="00305850" w:rsidP="00305850">
      <w:pPr>
        <w:jc w:val="both"/>
        <w:rPr>
          <w:rFonts w:ascii="Arial" w:hAnsi="Arial" w:cs="Arial"/>
          <w:sz w:val="22"/>
          <w:szCs w:val="22"/>
        </w:rPr>
      </w:pPr>
      <w:r w:rsidRPr="004E15BD">
        <w:rPr>
          <w:rFonts w:ascii="Arial" w:hAnsi="Arial" w:cs="Arial"/>
          <w:sz w:val="22"/>
          <w:szCs w:val="22"/>
        </w:rPr>
        <w:t xml:space="preserve">A recording of the webinar will be available </w:t>
      </w:r>
      <w:r w:rsidR="004E15BD">
        <w:rPr>
          <w:rFonts w:ascii="Arial" w:hAnsi="Arial" w:cs="Arial"/>
          <w:sz w:val="22"/>
          <w:szCs w:val="22"/>
        </w:rPr>
        <w:t>on the Company website on November 20th</w:t>
      </w:r>
      <w:r w:rsidRPr="004E15BD">
        <w:rPr>
          <w:rFonts w:ascii="Arial" w:hAnsi="Arial" w:cs="Arial"/>
          <w:sz w:val="22"/>
          <w:szCs w:val="22"/>
        </w:rPr>
        <w:t xml:space="preserve"> at 6:30 pm EDT. Previous webinars can be found there as well.</w:t>
      </w:r>
    </w:p>
    <w:p w14:paraId="70B7EED7" w14:textId="6D8A8AB3" w:rsidR="00257726" w:rsidRPr="00F244FC" w:rsidRDefault="00257726" w:rsidP="002F0241">
      <w:pPr>
        <w:jc w:val="both"/>
        <w:rPr>
          <w:rFonts w:ascii="Arial" w:hAnsi="Arial" w:cs="Arial"/>
          <w:sz w:val="22"/>
          <w:szCs w:val="22"/>
        </w:rPr>
      </w:pPr>
    </w:p>
    <w:p w14:paraId="0536CF98" w14:textId="4910EA2D" w:rsidR="00910800" w:rsidRPr="00F244FC" w:rsidRDefault="00910800" w:rsidP="002F0241">
      <w:pPr>
        <w:jc w:val="both"/>
        <w:rPr>
          <w:rFonts w:ascii="Arial" w:hAnsi="Arial" w:cs="Arial"/>
          <w:sz w:val="22"/>
          <w:szCs w:val="22"/>
        </w:rPr>
      </w:pPr>
    </w:p>
    <w:p w14:paraId="65C970BF" w14:textId="5726B75B" w:rsidR="00FF6DF7" w:rsidRPr="00F244FC" w:rsidRDefault="00FF6DF7" w:rsidP="00D5739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Arial" w:hAnsi="Arial" w:cs="Arial"/>
          <w:color w:val="000000" w:themeColor="text1"/>
          <w:sz w:val="22"/>
          <w:szCs w:val="22"/>
        </w:rPr>
      </w:pPr>
      <w:r w:rsidRPr="00F244FC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About </w:t>
      </w:r>
      <w:r w:rsidR="002F632F">
        <w:rPr>
          <w:rStyle w:val="Strong"/>
          <w:rFonts w:ascii="Arial" w:hAnsi="Arial" w:cs="Arial"/>
          <w:color w:val="000000" w:themeColor="text1"/>
          <w:sz w:val="22"/>
          <w:szCs w:val="22"/>
        </w:rPr>
        <w:t>CGOC</w:t>
      </w:r>
    </w:p>
    <w:p w14:paraId="7BF7391B" w14:textId="61184871" w:rsidR="00FF6DF7" w:rsidRPr="00F244FC" w:rsidRDefault="00FF6DF7" w:rsidP="00D5739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Arial" w:hAnsi="Arial" w:cs="Arial"/>
          <w:color w:val="000000" w:themeColor="text1"/>
          <w:sz w:val="22"/>
          <w:szCs w:val="22"/>
        </w:rPr>
      </w:pPr>
      <w:r w:rsidRPr="00F244FC">
        <w:rPr>
          <w:rFonts w:ascii="Arial" w:hAnsi="Arial" w:cs="Arial"/>
          <w:color w:val="000000" w:themeColor="text1"/>
          <w:sz w:val="22"/>
          <w:szCs w:val="22"/>
        </w:rPr>
        <w:t xml:space="preserve">CGOC is </w:t>
      </w:r>
      <w:r w:rsidR="009252B1">
        <w:rPr>
          <w:rFonts w:ascii="Arial" w:hAnsi="Arial" w:cs="Arial"/>
          <w:color w:val="000000" w:themeColor="text1"/>
          <w:sz w:val="22"/>
          <w:szCs w:val="22"/>
        </w:rPr>
        <w:t>a</w:t>
      </w:r>
      <w:r w:rsidR="004011E6">
        <w:rPr>
          <w:rFonts w:ascii="Arial" w:hAnsi="Arial" w:cs="Arial"/>
          <w:color w:val="000000" w:themeColor="text1"/>
          <w:sz w:val="22"/>
          <w:szCs w:val="22"/>
        </w:rPr>
        <w:t xml:space="preserve">n </w:t>
      </w:r>
      <w:r w:rsidRPr="00F244FC">
        <w:rPr>
          <w:rFonts w:ascii="Arial" w:hAnsi="Arial" w:cs="Arial"/>
          <w:color w:val="000000" w:themeColor="text1"/>
          <w:sz w:val="22"/>
          <w:szCs w:val="22"/>
        </w:rPr>
        <w:t xml:space="preserve">investment corporation </w:t>
      </w:r>
      <w:r w:rsidR="009252B1">
        <w:rPr>
          <w:rFonts w:ascii="Arial" w:hAnsi="Arial" w:cs="Arial"/>
          <w:color w:val="000000" w:themeColor="text1"/>
          <w:sz w:val="22"/>
          <w:szCs w:val="22"/>
        </w:rPr>
        <w:t xml:space="preserve">that offers </w:t>
      </w:r>
      <w:r w:rsidR="004011E6">
        <w:rPr>
          <w:rFonts w:ascii="Arial" w:hAnsi="Arial" w:cs="Arial"/>
          <w:color w:val="000000" w:themeColor="text1"/>
          <w:sz w:val="22"/>
          <w:szCs w:val="22"/>
        </w:rPr>
        <w:t xml:space="preserve">unique global </w:t>
      </w:r>
      <w:r w:rsidR="009252B1">
        <w:rPr>
          <w:rFonts w:ascii="Arial" w:hAnsi="Arial" w:cs="Arial"/>
          <w:color w:val="000000" w:themeColor="text1"/>
          <w:sz w:val="22"/>
          <w:szCs w:val="22"/>
        </w:rPr>
        <w:t>exposure to the emerging global cannabis sector. CGOC’s</w:t>
      </w:r>
      <w:r w:rsidR="00F244FC">
        <w:rPr>
          <w:rFonts w:ascii="Arial" w:hAnsi="Arial" w:cs="Arial"/>
          <w:color w:val="000000" w:themeColor="text1"/>
          <w:sz w:val="22"/>
          <w:szCs w:val="22"/>
        </w:rPr>
        <w:t xml:space="preserve"> main objective </w:t>
      </w:r>
      <w:r w:rsidR="009252B1">
        <w:rPr>
          <w:rFonts w:ascii="Arial" w:hAnsi="Arial" w:cs="Arial"/>
          <w:color w:val="000000" w:themeColor="text1"/>
          <w:sz w:val="22"/>
          <w:szCs w:val="22"/>
        </w:rPr>
        <w:t>is to provide</w:t>
      </w:r>
      <w:r w:rsidRPr="00F244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244FC">
        <w:rPr>
          <w:rFonts w:ascii="Arial" w:hAnsi="Arial" w:cs="Arial"/>
          <w:color w:val="000000" w:themeColor="text1"/>
          <w:sz w:val="22"/>
          <w:szCs w:val="22"/>
        </w:rPr>
        <w:t>share</w:t>
      </w:r>
      <w:r w:rsidRPr="00F244FC">
        <w:rPr>
          <w:rFonts w:ascii="Arial" w:hAnsi="Arial" w:cs="Arial"/>
          <w:color w:val="000000" w:themeColor="text1"/>
          <w:sz w:val="22"/>
          <w:szCs w:val="22"/>
        </w:rPr>
        <w:t xml:space="preserve">holders long-term total return through </w:t>
      </w:r>
      <w:r w:rsidR="00F244FC">
        <w:rPr>
          <w:rFonts w:ascii="Arial" w:hAnsi="Arial" w:cs="Arial"/>
          <w:color w:val="000000" w:themeColor="text1"/>
          <w:sz w:val="22"/>
          <w:szCs w:val="22"/>
        </w:rPr>
        <w:t xml:space="preserve">its actively managed portfolio </w:t>
      </w:r>
      <w:r w:rsidRPr="00F244FC">
        <w:rPr>
          <w:rFonts w:ascii="Arial" w:hAnsi="Arial" w:cs="Arial"/>
          <w:color w:val="000000" w:themeColor="text1"/>
          <w:sz w:val="22"/>
          <w:szCs w:val="22"/>
        </w:rPr>
        <w:t>of securities</w:t>
      </w:r>
      <w:r w:rsidR="004011E6">
        <w:rPr>
          <w:rFonts w:ascii="Arial" w:hAnsi="Arial" w:cs="Arial"/>
          <w:color w:val="000000" w:themeColor="text1"/>
          <w:sz w:val="22"/>
          <w:szCs w:val="22"/>
        </w:rPr>
        <w:t>, both</w:t>
      </w:r>
      <w:r w:rsidRPr="00F244FC">
        <w:rPr>
          <w:rFonts w:ascii="Arial" w:hAnsi="Arial" w:cs="Arial"/>
          <w:color w:val="000000" w:themeColor="text1"/>
          <w:sz w:val="22"/>
          <w:szCs w:val="22"/>
        </w:rPr>
        <w:t xml:space="preserve"> public and private</w:t>
      </w:r>
      <w:r w:rsidR="004011E6">
        <w:rPr>
          <w:rFonts w:ascii="Arial" w:hAnsi="Arial" w:cs="Arial"/>
          <w:color w:val="000000" w:themeColor="text1"/>
          <w:sz w:val="22"/>
          <w:szCs w:val="22"/>
        </w:rPr>
        <w:t>,</w:t>
      </w:r>
      <w:r w:rsidRPr="00F244FC">
        <w:rPr>
          <w:rFonts w:ascii="Arial" w:hAnsi="Arial" w:cs="Arial"/>
          <w:color w:val="000000" w:themeColor="text1"/>
          <w:sz w:val="22"/>
          <w:szCs w:val="22"/>
        </w:rPr>
        <w:t xml:space="preserve"> operating in, or that derive a portion of their revenue or earnings from</w:t>
      </w:r>
      <w:r w:rsidR="004011E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244FC">
        <w:rPr>
          <w:rFonts w:ascii="Arial" w:hAnsi="Arial" w:cs="Arial"/>
          <w:color w:val="000000" w:themeColor="text1"/>
          <w:sz w:val="22"/>
          <w:szCs w:val="22"/>
        </w:rPr>
        <w:t xml:space="preserve">products or services related to the cannabis industry. </w:t>
      </w:r>
    </w:p>
    <w:p w14:paraId="37460454" w14:textId="1420DB4B" w:rsidR="005473DB" w:rsidRPr="00F244FC" w:rsidRDefault="005473DB" w:rsidP="00D5739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Arial" w:hAnsi="Arial" w:cs="Arial"/>
          <w:color w:val="000000" w:themeColor="text1"/>
          <w:sz w:val="22"/>
          <w:szCs w:val="22"/>
        </w:rPr>
      </w:pPr>
    </w:p>
    <w:p w14:paraId="11D105DF" w14:textId="0081FCD2" w:rsidR="00F244FC" w:rsidRDefault="005473DB" w:rsidP="002F024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44FC">
        <w:rPr>
          <w:rFonts w:ascii="Arial" w:hAnsi="Arial" w:cs="Arial"/>
          <w:b/>
          <w:color w:val="000000" w:themeColor="text1"/>
          <w:sz w:val="22"/>
          <w:szCs w:val="22"/>
        </w:rPr>
        <w:t>For further information</w:t>
      </w:r>
      <w:r w:rsidR="00F244FC" w:rsidRPr="00F244FC">
        <w:rPr>
          <w:rFonts w:ascii="Arial" w:hAnsi="Arial" w:cs="Arial"/>
          <w:b/>
          <w:color w:val="000000" w:themeColor="text1"/>
          <w:sz w:val="22"/>
          <w:szCs w:val="22"/>
        </w:rPr>
        <w:t xml:space="preserve"> please contact</w:t>
      </w:r>
      <w:r w:rsidRPr="00F244FC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Pr="00F244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D221B9B" w14:textId="559B8B03" w:rsidR="0091706D" w:rsidRPr="0091706D" w:rsidRDefault="002F632F" w:rsidP="00FC0C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1706D">
        <w:rPr>
          <w:rFonts w:ascii="Arial" w:hAnsi="Arial" w:cs="Arial"/>
          <w:b/>
          <w:color w:val="000000" w:themeColor="text1"/>
          <w:sz w:val="22"/>
          <w:szCs w:val="22"/>
        </w:rPr>
        <w:t>C</w:t>
      </w:r>
      <w:r w:rsidR="0091706D" w:rsidRPr="0091706D">
        <w:rPr>
          <w:rFonts w:ascii="Arial" w:hAnsi="Arial" w:cs="Arial"/>
          <w:b/>
          <w:color w:val="000000" w:themeColor="text1"/>
          <w:sz w:val="22"/>
          <w:szCs w:val="22"/>
        </w:rPr>
        <w:t>annabis Growth Investment Corporation</w:t>
      </w:r>
    </w:p>
    <w:p w14:paraId="08F30A09" w14:textId="31FAFB70" w:rsidR="00FC0C2F" w:rsidRDefault="008555E9" w:rsidP="00FC0C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hyperlink r:id="rId9" w:history="1">
        <w:r w:rsidR="00FC0C2F" w:rsidRPr="005B630C">
          <w:rPr>
            <w:rStyle w:val="Hyperlink"/>
            <w:rFonts w:ascii="Arial" w:hAnsi="Arial" w:cs="Arial"/>
            <w:sz w:val="22"/>
            <w:szCs w:val="22"/>
          </w:rPr>
          <w:t>www.cgocorp.com</w:t>
        </w:r>
      </w:hyperlink>
    </w:p>
    <w:p w14:paraId="264CBF16" w14:textId="77777777" w:rsidR="00FC0C2F" w:rsidRDefault="00FC0C2F" w:rsidP="001E6A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5CCB2AC" w14:textId="3EB1643F" w:rsidR="00B75CF2" w:rsidRDefault="001E6A7C" w:rsidP="001E6A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Investor Relations</w:t>
      </w:r>
    </w:p>
    <w:p w14:paraId="7A5D8EAA" w14:textId="367D1A9D" w:rsidR="001E6A7C" w:rsidRDefault="001E6A7C" w:rsidP="001E6A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Email: </w:t>
      </w:r>
      <w:hyperlink r:id="rId10" w:history="1">
        <w:r w:rsidRPr="005B630C">
          <w:rPr>
            <w:rStyle w:val="Hyperlink"/>
            <w:rFonts w:ascii="Arial" w:hAnsi="Arial" w:cs="Arial"/>
            <w:sz w:val="22"/>
            <w:szCs w:val="22"/>
          </w:rPr>
          <w:t>info@cgocorp.com</w:t>
        </w:r>
      </w:hyperlink>
    </w:p>
    <w:p w14:paraId="4C510132" w14:textId="77777777" w:rsidR="00D57397" w:rsidRDefault="00D57397" w:rsidP="00D57397">
      <w:pPr>
        <w:shd w:val="clear" w:color="auto" w:fill="FFFFFF"/>
        <w:jc w:val="both"/>
        <w:rPr>
          <w:rFonts w:ascii="Arial" w:eastAsia="Times New Roman" w:hAnsi="Arial" w:cs="Arial"/>
          <w:i/>
          <w:iCs/>
          <w:color w:val="000000"/>
          <w:sz w:val="20"/>
          <w:szCs w:val="22"/>
        </w:rPr>
      </w:pPr>
    </w:p>
    <w:p w14:paraId="6CCC9092" w14:textId="77777777" w:rsidR="00D57397" w:rsidRDefault="00D57397" w:rsidP="00D57397">
      <w:pPr>
        <w:shd w:val="clear" w:color="auto" w:fill="FFFFFF"/>
        <w:jc w:val="both"/>
        <w:rPr>
          <w:rFonts w:ascii="Arial" w:eastAsia="Times New Roman" w:hAnsi="Arial" w:cs="Arial"/>
          <w:i/>
          <w:iCs/>
          <w:color w:val="000000"/>
          <w:sz w:val="20"/>
          <w:szCs w:val="22"/>
        </w:rPr>
      </w:pPr>
    </w:p>
    <w:p w14:paraId="29FF9967" w14:textId="5AA7A75D" w:rsidR="00F244FC" w:rsidRPr="00F244FC" w:rsidRDefault="00F244FC" w:rsidP="00D57397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2"/>
        </w:rPr>
      </w:pPr>
      <w:r w:rsidRPr="00902764">
        <w:rPr>
          <w:rFonts w:ascii="Arial" w:eastAsia="Times New Roman" w:hAnsi="Arial" w:cs="Arial"/>
          <w:i/>
          <w:iCs/>
          <w:color w:val="000000"/>
          <w:sz w:val="20"/>
          <w:szCs w:val="22"/>
        </w:rPr>
        <w:t xml:space="preserve">Neither the </w:t>
      </w:r>
      <w:r w:rsidR="00C54BCF" w:rsidRPr="00902764">
        <w:rPr>
          <w:rFonts w:ascii="Arial" w:eastAsia="Times New Roman" w:hAnsi="Arial" w:cs="Arial"/>
          <w:i/>
          <w:iCs/>
          <w:color w:val="000000"/>
          <w:sz w:val="20"/>
          <w:szCs w:val="22"/>
        </w:rPr>
        <w:t>Canadian Securities Exchange</w:t>
      </w:r>
      <w:r w:rsidRPr="00902764">
        <w:rPr>
          <w:rFonts w:ascii="Arial" w:eastAsia="Times New Roman" w:hAnsi="Arial" w:cs="Arial"/>
          <w:i/>
          <w:iCs/>
          <w:color w:val="000000"/>
          <w:sz w:val="20"/>
          <w:szCs w:val="22"/>
        </w:rPr>
        <w:t xml:space="preserve"> nor its Regulation Services Provider accepts responsibility for the adequacy or accuracy of this release.</w:t>
      </w:r>
    </w:p>
    <w:p w14:paraId="3D86E8A3" w14:textId="37E2A74A" w:rsidR="00F9517F" w:rsidRPr="00F244FC" w:rsidRDefault="00D57397" w:rsidP="00D5739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-30-</w:t>
      </w:r>
      <w:r w:rsidR="00FF6DF7" w:rsidRPr="00F244FC">
        <w:rPr>
          <w:rFonts w:ascii="Arial" w:hAnsi="Arial" w:cs="Arial"/>
          <w:color w:val="000000" w:themeColor="text1"/>
          <w:sz w:val="22"/>
          <w:szCs w:val="22"/>
        </w:rPr>
        <w:br/>
      </w:r>
    </w:p>
    <w:sectPr w:rsidR="00F9517F" w:rsidRPr="00F244FC" w:rsidSect="00F244FC">
      <w:headerReference w:type="default" r:id="rId11"/>
      <w:pgSz w:w="12240" w:h="15840"/>
      <w:pgMar w:top="1530" w:right="720" w:bottom="720" w:left="72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7A5E2" w14:textId="77777777" w:rsidR="008555E9" w:rsidRDefault="008555E9" w:rsidP="003E0787">
      <w:r>
        <w:separator/>
      </w:r>
    </w:p>
  </w:endnote>
  <w:endnote w:type="continuationSeparator" w:id="0">
    <w:p w14:paraId="5777E192" w14:textId="77777777" w:rsidR="008555E9" w:rsidRDefault="008555E9" w:rsidP="003E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9587A" w14:textId="77777777" w:rsidR="008555E9" w:rsidRDefault="008555E9" w:rsidP="003E0787">
      <w:r>
        <w:separator/>
      </w:r>
    </w:p>
  </w:footnote>
  <w:footnote w:type="continuationSeparator" w:id="0">
    <w:p w14:paraId="05742621" w14:textId="77777777" w:rsidR="008555E9" w:rsidRDefault="008555E9" w:rsidP="003E0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3E0787" w14:paraId="38DA668B" w14:textId="77777777" w:rsidTr="003E0787">
      <w:trPr>
        <w:trHeight w:val="1172"/>
      </w:trPr>
      <w:tc>
        <w:tcPr>
          <w:tcW w:w="5395" w:type="dxa"/>
          <w:vAlign w:val="center"/>
        </w:tcPr>
        <w:p w14:paraId="3083B222" w14:textId="4ADA5C77" w:rsidR="003E0787" w:rsidRDefault="003E0787" w:rsidP="003E0787">
          <w:pPr>
            <w:pStyle w:val="Header"/>
          </w:pPr>
          <w:r>
            <w:rPr>
              <w:rFonts w:ascii="Avenir Next" w:hAnsi="Avenir Next"/>
              <w:b/>
              <w:noProof/>
              <w:sz w:val="22"/>
              <w:szCs w:val="22"/>
            </w:rPr>
            <w:drawing>
              <wp:inline distT="0" distB="0" distL="0" distR="0" wp14:anchorId="361A2A35" wp14:editId="24D1F917">
                <wp:extent cx="2671638" cy="650619"/>
                <wp:effectExtent l="0" t="0" r="0" b="0"/>
                <wp:docPr id="5" name="Picture 5" descr="A picture containing clipart&#10;&#10;Description generated with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nnabisGrowth-CMYK-H-Logo.R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4583" cy="6635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5" w:type="dxa"/>
          <w:vAlign w:val="center"/>
        </w:tcPr>
        <w:p w14:paraId="4755924D" w14:textId="533106EE" w:rsidR="003E0787" w:rsidRPr="003E0787" w:rsidRDefault="003E0787" w:rsidP="003E0787">
          <w:pPr>
            <w:pStyle w:val="Header"/>
            <w:jc w:val="right"/>
            <w:rPr>
              <w:b/>
              <w:color w:val="7F7F7F" w:themeColor="text1" w:themeTint="80"/>
            </w:rPr>
          </w:pPr>
          <w:proofErr w:type="gramStart"/>
          <w:r w:rsidRPr="003E0787">
            <w:rPr>
              <w:b/>
              <w:color w:val="7F7F7F" w:themeColor="text1" w:themeTint="80"/>
              <w:sz w:val="32"/>
            </w:rPr>
            <w:t>CSE :</w:t>
          </w:r>
          <w:proofErr w:type="gramEnd"/>
          <w:r w:rsidRPr="003E0787">
            <w:rPr>
              <w:b/>
              <w:color w:val="7F7F7F" w:themeColor="text1" w:themeTint="80"/>
              <w:sz w:val="32"/>
            </w:rPr>
            <w:t xml:space="preserve"> CGOC</w:t>
          </w:r>
        </w:p>
      </w:tc>
    </w:tr>
  </w:tbl>
  <w:p w14:paraId="5002E127" w14:textId="7AD28EB2" w:rsidR="003E0787" w:rsidRPr="003E0787" w:rsidRDefault="00A528C5" w:rsidP="003E0787">
    <w:pPr>
      <w:rPr>
        <w:rFonts w:ascii="Avenir Next" w:hAnsi="Avenir Next"/>
        <w:szCs w:val="22"/>
      </w:rPr>
    </w:pPr>
    <w:r>
      <w:rPr>
        <w:rFonts w:ascii="Avenir Next" w:hAnsi="Avenir Next"/>
        <w:szCs w:val="22"/>
      </w:rPr>
      <w:t>PRESS RELEASE</w:t>
    </w:r>
    <w:r w:rsidR="003E0787" w:rsidRPr="003E0787">
      <w:rPr>
        <w:rFonts w:ascii="Avenir Next" w:hAnsi="Avenir Next"/>
        <w:szCs w:val="22"/>
      </w:rPr>
      <w:t xml:space="preserve"> – </w:t>
    </w:r>
    <w:r w:rsidR="00305850">
      <w:rPr>
        <w:rFonts w:ascii="Avenir Next" w:hAnsi="Avenir Next"/>
        <w:szCs w:val="22"/>
      </w:rPr>
      <w:t>November 19</w:t>
    </w:r>
    <w:r w:rsidR="003E0787" w:rsidRPr="003E0787">
      <w:rPr>
        <w:rFonts w:ascii="Avenir Next" w:hAnsi="Avenir Next"/>
        <w:szCs w:val="22"/>
      </w:rPr>
      <w:t>, 2018</w:t>
    </w:r>
  </w:p>
  <w:p w14:paraId="4A39A91F" w14:textId="6CDBE483" w:rsidR="003E0787" w:rsidRDefault="003E0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F59F7"/>
    <w:multiLevelType w:val="hybridMultilevel"/>
    <w:tmpl w:val="307432F6"/>
    <w:lvl w:ilvl="0" w:tplc="631A3ABC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Open Sans" w:hAnsi="Open Sans" w:hint="default"/>
      </w:rPr>
    </w:lvl>
    <w:lvl w:ilvl="1" w:tplc="AB32287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Open Sans" w:hAnsi="Open Sans" w:hint="default"/>
      </w:rPr>
    </w:lvl>
    <w:lvl w:ilvl="2" w:tplc="A89855FA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Open Sans" w:hAnsi="Open Sans" w:hint="default"/>
      </w:rPr>
    </w:lvl>
    <w:lvl w:ilvl="3" w:tplc="DDD4AEB8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Open Sans" w:hAnsi="Open Sans" w:hint="default"/>
      </w:rPr>
    </w:lvl>
    <w:lvl w:ilvl="4" w:tplc="5412B8BE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Open Sans" w:hAnsi="Open Sans" w:hint="default"/>
      </w:rPr>
    </w:lvl>
    <w:lvl w:ilvl="5" w:tplc="F6CEFD6A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Open Sans" w:hAnsi="Open Sans" w:hint="default"/>
      </w:rPr>
    </w:lvl>
    <w:lvl w:ilvl="6" w:tplc="596CF384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Open Sans" w:hAnsi="Open Sans" w:hint="default"/>
      </w:rPr>
    </w:lvl>
    <w:lvl w:ilvl="7" w:tplc="C2D28648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Open Sans" w:hAnsi="Open Sans" w:hint="default"/>
      </w:rPr>
    </w:lvl>
    <w:lvl w:ilvl="8" w:tplc="FF16878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Open Sans" w:hAnsi="Open San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00"/>
    <w:rsid w:val="000070AF"/>
    <w:rsid w:val="000A046B"/>
    <w:rsid w:val="000B2E37"/>
    <w:rsid w:val="000B5E4F"/>
    <w:rsid w:val="000E7869"/>
    <w:rsid w:val="001021C4"/>
    <w:rsid w:val="00104ED6"/>
    <w:rsid w:val="001116D0"/>
    <w:rsid w:val="00112B2F"/>
    <w:rsid w:val="0016140B"/>
    <w:rsid w:val="00167B79"/>
    <w:rsid w:val="001B0847"/>
    <w:rsid w:val="001E6A7C"/>
    <w:rsid w:val="001F2E9C"/>
    <w:rsid w:val="0021394B"/>
    <w:rsid w:val="00216D74"/>
    <w:rsid w:val="00217C8A"/>
    <w:rsid w:val="0022139B"/>
    <w:rsid w:val="0023110A"/>
    <w:rsid w:val="00235E48"/>
    <w:rsid w:val="00237160"/>
    <w:rsid w:val="002547F4"/>
    <w:rsid w:val="00257726"/>
    <w:rsid w:val="00267511"/>
    <w:rsid w:val="00275A5D"/>
    <w:rsid w:val="00297A3F"/>
    <w:rsid w:val="002A55E3"/>
    <w:rsid w:val="002C16B9"/>
    <w:rsid w:val="002E4BEB"/>
    <w:rsid w:val="002F0241"/>
    <w:rsid w:val="002F632F"/>
    <w:rsid w:val="00305850"/>
    <w:rsid w:val="00317D54"/>
    <w:rsid w:val="00323AF0"/>
    <w:rsid w:val="00355C99"/>
    <w:rsid w:val="003D18DA"/>
    <w:rsid w:val="003D7835"/>
    <w:rsid w:val="003E0787"/>
    <w:rsid w:val="003E6150"/>
    <w:rsid w:val="003E69AA"/>
    <w:rsid w:val="003E75DE"/>
    <w:rsid w:val="003F6B5B"/>
    <w:rsid w:val="004011E6"/>
    <w:rsid w:val="004232B3"/>
    <w:rsid w:val="00431187"/>
    <w:rsid w:val="0044061C"/>
    <w:rsid w:val="00440FF6"/>
    <w:rsid w:val="004413B2"/>
    <w:rsid w:val="004545CA"/>
    <w:rsid w:val="004672EE"/>
    <w:rsid w:val="004A2303"/>
    <w:rsid w:val="004B6AF8"/>
    <w:rsid w:val="004C148A"/>
    <w:rsid w:val="004C6022"/>
    <w:rsid w:val="004E15BD"/>
    <w:rsid w:val="004F4181"/>
    <w:rsid w:val="00530309"/>
    <w:rsid w:val="00533F32"/>
    <w:rsid w:val="005374FE"/>
    <w:rsid w:val="00541C46"/>
    <w:rsid w:val="005473DB"/>
    <w:rsid w:val="00583D72"/>
    <w:rsid w:val="00597433"/>
    <w:rsid w:val="005D069D"/>
    <w:rsid w:val="0062299A"/>
    <w:rsid w:val="00650697"/>
    <w:rsid w:val="00651083"/>
    <w:rsid w:val="00652839"/>
    <w:rsid w:val="00675B60"/>
    <w:rsid w:val="00686ED7"/>
    <w:rsid w:val="0069031B"/>
    <w:rsid w:val="006B1E86"/>
    <w:rsid w:val="006D43A5"/>
    <w:rsid w:val="006D7D5E"/>
    <w:rsid w:val="006E65DC"/>
    <w:rsid w:val="006F5F3C"/>
    <w:rsid w:val="006F7025"/>
    <w:rsid w:val="00710823"/>
    <w:rsid w:val="00736D10"/>
    <w:rsid w:val="00743515"/>
    <w:rsid w:val="00743A5F"/>
    <w:rsid w:val="00746085"/>
    <w:rsid w:val="00754D50"/>
    <w:rsid w:val="007749F1"/>
    <w:rsid w:val="007933F6"/>
    <w:rsid w:val="00795568"/>
    <w:rsid w:val="0079585A"/>
    <w:rsid w:val="007A6C04"/>
    <w:rsid w:val="007B7EEB"/>
    <w:rsid w:val="007E0E1E"/>
    <w:rsid w:val="008110E6"/>
    <w:rsid w:val="00844B55"/>
    <w:rsid w:val="008555E9"/>
    <w:rsid w:val="00855969"/>
    <w:rsid w:val="0086013F"/>
    <w:rsid w:val="0087303A"/>
    <w:rsid w:val="0087389C"/>
    <w:rsid w:val="008A3FEA"/>
    <w:rsid w:val="008B425B"/>
    <w:rsid w:val="008E3B97"/>
    <w:rsid w:val="008F74D6"/>
    <w:rsid w:val="00902764"/>
    <w:rsid w:val="00910800"/>
    <w:rsid w:val="0091706D"/>
    <w:rsid w:val="009231C1"/>
    <w:rsid w:val="00923B96"/>
    <w:rsid w:val="009252B1"/>
    <w:rsid w:val="00932555"/>
    <w:rsid w:val="009740BA"/>
    <w:rsid w:val="009B35D3"/>
    <w:rsid w:val="009C08D2"/>
    <w:rsid w:val="009C3577"/>
    <w:rsid w:val="009E4529"/>
    <w:rsid w:val="009E7F8A"/>
    <w:rsid w:val="00A0271E"/>
    <w:rsid w:val="00A0316A"/>
    <w:rsid w:val="00A4284F"/>
    <w:rsid w:val="00A4776A"/>
    <w:rsid w:val="00A528C5"/>
    <w:rsid w:val="00A528FF"/>
    <w:rsid w:val="00A76062"/>
    <w:rsid w:val="00A95824"/>
    <w:rsid w:val="00AA2AAC"/>
    <w:rsid w:val="00AA4F8B"/>
    <w:rsid w:val="00AE1F76"/>
    <w:rsid w:val="00AE5760"/>
    <w:rsid w:val="00AF7424"/>
    <w:rsid w:val="00B03533"/>
    <w:rsid w:val="00B14E90"/>
    <w:rsid w:val="00B20757"/>
    <w:rsid w:val="00B22580"/>
    <w:rsid w:val="00B65CBC"/>
    <w:rsid w:val="00B75CF2"/>
    <w:rsid w:val="00B9208C"/>
    <w:rsid w:val="00BB6280"/>
    <w:rsid w:val="00BB758F"/>
    <w:rsid w:val="00BD7676"/>
    <w:rsid w:val="00BF62C1"/>
    <w:rsid w:val="00C31E6D"/>
    <w:rsid w:val="00C46164"/>
    <w:rsid w:val="00C511CE"/>
    <w:rsid w:val="00C52046"/>
    <w:rsid w:val="00C54BCF"/>
    <w:rsid w:val="00C75795"/>
    <w:rsid w:val="00C75D69"/>
    <w:rsid w:val="00CA1499"/>
    <w:rsid w:val="00CA58E3"/>
    <w:rsid w:val="00CB23AE"/>
    <w:rsid w:val="00CD21F9"/>
    <w:rsid w:val="00CF2EB6"/>
    <w:rsid w:val="00CF3097"/>
    <w:rsid w:val="00D34397"/>
    <w:rsid w:val="00D34F54"/>
    <w:rsid w:val="00D35499"/>
    <w:rsid w:val="00D57397"/>
    <w:rsid w:val="00D67AF3"/>
    <w:rsid w:val="00D71EAA"/>
    <w:rsid w:val="00D865E2"/>
    <w:rsid w:val="00DB6C5A"/>
    <w:rsid w:val="00DE78C5"/>
    <w:rsid w:val="00E04708"/>
    <w:rsid w:val="00E33515"/>
    <w:rsid w:val="00E35F2B"/>
    <w:rsid w:val="00E531C6"/>
    <w:rsid w:val="00E5564B"/>
    <w:rsid w:val="00E66B4C"/>
    <w:rsid w:val="00E971F2"/>
    <w:rsid w:val="00EB0740"/>
    <w:rsid w:val="00EC0616"/>
    <w:rsid w:val="00EE690A"/>
    <w:rsid w:val="00EF1D14"/>
    <w:rsid w:val="00F04EC7"/>
    <w:rsid w:val="00F173B7"/>
    <w:rsid w:val="00F244FC"/>
    <w:rsid w:val="00F408CC"/>
    <w:rsid w:val="00F449CF"/>
    <w:rsid w:val="00F9517F"/>
    <w:rsid w:val="00FB4E35"/>
    <w:rsid w:val="00FB7821"/>
    <w:rsid w:val="00FC0C2F"/>
    <w:rsid w:val="00FD399B"/>
    <w:rsid w:val="00FE2720"/>
    <w:rsid w:val="00FF1F63"/>
    <w:rsid w:val="00FF4D0E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8ABCF"/>
  <w14:defaultImageDpi w14:val="32767"/>
  <w15:chartTrackingRefBased/>
  <w15:docId w15:val="{B69C7617-A40A-464F-9830-CCA8EAAB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1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9517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F6DF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Strong">
    <w:name w:val="Strong"/>
    <w:basedOn w:val="DefaultParagraphFont"/>
    <w:uiPriority w:val="22"/>
    <w:qFormat/>
    <w:rsid w:val="00FF6DF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9582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8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E3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EB0740"/>
  </w:style>
  <w:style w:type="character" w:customStyle="1" w:styleId="aqj">
    <w:name w:val="aqj"/>
    <w:basedOn w:val="DefaultParagraphFont"/>
    <w:rsid w:val="008E3B97"/>
  </w:style>
  <w:style w:type="paragraph" w:styleId="Header">
    <w:name w:val="header"/>
    <w:basedOn w:val="Normal"/>
    <w:link w:val="HeaderChar"/>
    <w:uiPriority w:val="99"/>
    <w:unhideWhenUsed/>
    <w:rsid w:val="003E07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787"/>
  </w:style>
  <w:style w:type="paragraph" w:styleId="Footer">
    <w:name w:val="footer"/>
    <w:basedOn w:val="Normal"/>
    <w:link w:val="FooterChar"/>
    <w:uiPriority w:val="99"/>
    <w:unhideWhenUsed/>
    <w:rsid w:val="003E07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787"/>
  </w:style>
  <w:style w:type="table" w:styleId="TableGrid">
    <w:name w:val="Table Grid"/>
    <w:basedOn w:val="TableNormal"/>
    <w:uiPriority w:val="39"/>
    <w:rsid w:val="003E0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244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877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30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1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9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oc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ttendee.gotowebinar.com/register/64007105787483484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cgocor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gocor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kathy@republicstory.com</dc:creator>
  <cp:keywords/>
  <dc:description/>
  <cp:lastModifiedBy>Suzette Ramcharan</cp:lastModifiedBy>
  <cp:revision>3</cp:revision>
  <dcterms:created xsi:type="dcterms:W3CDTF">2018-11-19T22:33:00Z</dcterms:created>
  <dcterms:modified xsi:type="dcterms:W3CDTF">2018-11-19T22:50:00Z</dcterms:modified>
</cp:coreProperties>
</file>