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3C39C" w14:textId="1CA9F1AF" w:rsidR="00267511" w:rsidRPr="003E0787" w:rsidRDefault="00910800" w:rsidP="00923B96">
      <w:pPr>
        <w:jc w:val="center"/>
        <w:rPr>
          <w:rFonts w:ascii="Avenir Next" w:hAnsi="Avenir Next"/>
          <w:b/>
          <w:caps/>
          <w:sz w:val="28"/>
          <w:szCs w:val="22"/>
        </w:rPr>
      </w:pPr>
      <w:r w:rsidRPr="003E0787">
        <w:rPr>
          <w:rFonts w:ascii="Avenir Next" w:hAnsi="Avenir Next"/>
          <w:b/>
          <w:caps/>
          <w:sz w:val="28"/>
          <w:szCs w:val="22"/>
        </w:rPr>
        <w:t>Canna</w:t>
      </w:r>
      <w:r w:rsidR="00E971F2" w:rsidRPr="003E0787">
        <w:rPr>
          <w:rFonts w:ascii="Avenir Next" w:hAnsi="Avenir Next"/>
          <w:b/>
          <w:caps/>
          <w:sz w:val="28"/>
          <w:szCs w:val="22"/>
        </w:rPr>
        <w:t>bis Growth Opportunity Corporation</w:t>
      </w:r>
      <w:r w:rsidR="0069031B" w:rsidRPr="003E0787">
        <w:rPr>
          <w:rFonts w:ascii="Avenir Next" w:hAnsi="Avenir Next"/>
          <w:b/>
          <w:caps/>
          <w:sz w:val="28"/>
          <w:szCs w:val="22"/>
        </w:rPr>
        <w:t xml:space="preserve"> </w:t>
      </w:r>
      <w:r w:rsidR="00795568" w:rsidRPr="003E0787">
        <w:rPr>
          <w:rFonts w:ascii="Avenir Next" w:hAnsi="Avenir Next"/>
          <w:b/>
          <w:caps/>
          <w:sz w:val="28"/>
          <w:szCs w:val="22"/>
        </w:rPr>
        <w:t xml:space="preserve">Announces </w:t>
      </w:r>
      <w:r w:rsidR="00EC7FA0">
        <w:rPr>
          <w:rFonts w:ascii="Avenir Next" w:hAnsi="Avenir Next"/>
          <w:b/>
          <w:caps/>
          <w:sz w:val="28"/>
          <w:szCs w:val="22"/>
        </w:rPr>
        <w:t>NORMAL COURSE ISSUER BID FOR COMMON SHARES OF the CORPORATION</w:t>
      </w:r>
    </w:p>
    <w:p w14:paraId="7B30D6BE" w14:textId="1BAB2971" w:rsidR="00910800" w:rsidRPr="00855969" w:rsidRDefault="00910800" w:rsidP="002F0241">
      <w:pPr>
        <w:jc w:val="both"/>
        <w:rPr>
          <w:rFonts w:ascii="Avenir Next" w:hAnsi="Avenir Next"/>
          <w:sz w:val="22"/>
          <w:szCs w:val="22"/>
        </w:rPr>
      </w:pPr>
    </w:p>
    <w:p w14:paraId="4AB02FAC" w14:textId="77777777" w:rsidR="00002BCE" w:rsidRDefault="00002BCE" w:rsidP="00002BCE">
      <w:pPr>
        <w:pStyle w:val="Heading4"/>
        <w:keepNext w:val="0"/>
        <w:tabs>
          <w:tab w:val="left" w:pos="540"/>
        </w:tabs>
        <w:jc w:val="both"/>
        <w:rPr>
          <w:rFonts w:ascii="Arial" w:hAnsi="Arial" w:cs="Arial"/>
          <w:sz w:val="22"/>
          <w:szCs w:val="22"/>
        </w:rPr>
      </w:pPr>
    </w:p>
    <w:p w14:paraId="24F388F1" w14:textId="045A1976" w:rsidR="00402749" w:rsidRDefault="00910800" w:rsidP="00402749">
      <w:pPr>
        <w:pStyle w:val="Heading4"/>
        <w:keepNext w:val="0"/>
        <w:tabs>
          <w:tab w:val="left" w:pos="540"/>
        </w:tabs>
        <w:jc w:val="both"/>
        <w:rPr>
          <w:rFonts w:ascii="Arial" w:hAnsi="Arial" w:cs="Arial"/>
          <w:b w:val="0"/>
          <w:bCs w:val="0"/>
          <w:sz w:val="22"/>
          <w:szCs w:val="22"/>
        </w:rPr>
      </w:pPr>
      <w:r w:rsidRPr="00F244FC">
        <w:rPr>
          <w:rFonts w:ascii="Arial" w:hAnsi="Arial" w:cs="Arial"/>
          <w:sz w:val="22"/>
          <w:szCs w:val="22"/>
        </w:rPr>
        <w:t>Toronto, ON –</w:t>
      </w:r>
      <w:r w:rsidR="00A528C5" w:rsidRPr="00F244FC">
        <w:rPr>
          <w:rFonts w:ascii="Arial" w:hAnsi="Arial" w:cs="Arial"/>
          <w:sz w:val="22"/>
          <w:szCs w:val="22"/>
        </w:rPr>
        <w:t xml:space="preserve"> </w:t>
      </w:r>
      <w:r w:rsidRPr="00F244FC">
        <w:rPr>
          <w:rFonts w:ascii="Arial" w:hAnsi="Arial" w:cs="Arial"/>
          <w:sz w:val="22"/>
          <w:szCs w:val="22"/>
        </w:rPr>
        <w:t xml:space="preserve">Cannabis Growth Opportunity Corporation </w:t>
      </w:r>
      <w:r w:rsidR="005473DB" w:rsidRPr="00F244FC">
        <w:rPr>
          <w:rFonts w:ascii="Arial" w:hAnsi="Arial" w:cs="Arial"/>
          <w:sz w:val="22"/>
          <w:szCs w:val="22"/>
        </w:rPr>
        <w:t>(“CGOC”, or the “Company”)</w:t>
      </w:r>
      <w:r w:rsidR="003E0787" w:rsidRPr="00F244FC">
        <w:rPr>
          <w:rFonts w:ascii="Arial" w:hAnsi="Arial" w:cs="Arial"/>
          <w:sz w:val="22"/>
          <w:szCs w:val="22"/>
        </w:rPr>
        <w:t xml:space="preserve"> (CSE: CGOC), </w:t>
      </w:r>
      <w:r w:rsidRPr="00FE1B78">
        <w:rPr>
          <w:rFonts w:ascii="Arial" w:hAnsi="Arial" w:cs="Arial"/>
          <w:b w:val="0"/>
          <w:bCs w:val="0"/>
          <w:sz w:val="22"/>
        </w:rPr>
        <w:t>a cannabis focused investment corporation with both public and private cannabis holdings,</w:t>
      </w:r>
      <w:r w:rsidR="00440FF6" w:rsidRPr="00FE1B78">
        <w:rPr>
          <w:rFonts w:ascii="Arial" w:hAnsi="Arial" w:cs="Arial"/>
          <w:b w:val="0"/>
          <w:bCs w:val="0"/>
          <w:sz w:val="22"/>
        </w:rPr>
        <w:t xml:space="preserve"> </w:t>
      </w:r>
      <w:r w:rsidR="00EC7FA0" w:rsidRPr="00FE1B78">
        <w:rPr>
          <w:rFonts w:ascii="Arial" w:hAnsi="Arial" w:cs="Arial"/>
          <w:b w:val="0"/>
          <w:bCs w:val="0"/>
          <w:sz w:val="22"/>
        </w:rPr>
        <w:t xml:space="preserve">announces its intention to </w:t>
      </w:r>
      <w:r w:rsidR="00EC7FA0">
        <w:rPr>
          <w:rFonts w:ascii="Arial" w:hAnsi="Arial" w:cs="Arial"/>
          <w:b w:val="0"/>
          <w:bCs w:val="0"/>
          <w:sz w:val="22"/>
        </w:rPr>
        <w:t>commence a</w:t>
      </w:r>
      <w:r w:rsidR="00EC7FA0" w:rsidRPr="003040E6">
        <w:rPr>
          <w:rFonts w:ascii="Arial" w:hAnsi="Arial" w:cs="Arial"/>
          <w:b w:val="0"/>
          <w:bCs w:val="0"/>
          <w:sz w:val="22"/>
        </w:rPr>
        <w:t xml:space="preserve"> </w:t>
      </w:r>
      <w:r w:rsidR="00EC7FA0">
        <w:rPr>
          <w:rFonts w:ascii="Arial" w:hAnsi="Arial" w:cs="Arial"/>
          <w:b w:val="0"/>
          <w:bCs w:val="0"/>
          <w:sz w:val="22"/>
        </w:rPr>
        <w:t>n</w:t>
      </w:r>
      <w:r w:rsidR="00EC7FA0" w:rsidRPr="003040E6">
        <w:rPr>
          <w:rFonts w:ascii="Arial" w:hAnsi="Arial" w:cs="Arial"/>
          <w:b w:val="0"/>
          <w:bCs w:val="0"/>
          <w:sz w:val="22"/>
        </w:rPr>
        <w:t xml:space="preserve">ormal </w:t>
      </w:r>
      <w:r w:rsidR="00EC7FA0">
        <w:rPr>
          <w:rFonts w:ascii="Arial" w:hAnsi="Arial" w:cs="Arial"/>
          <w:b w:val="0"/>
          <w:bCs w:val="0"/>
          <w:sz w:val="22"/>
        </w:rPr>
        <w:t>c</w:t>
      </w:r>
      <w:r w:rsidR="00EC7FA0" w:rsidRPr="003040E6">
        <w:rPr>
          <w:rFonts w:ascii="Arial" w:hAnsi="Arial" w:cs="Arial"/>
          <w:b w:val="0"/>
          <w:bCs w:val="0"/>
          <w:sz w:val="22"/>
        </w:rPr>
        <w:t xml:space="preserve">ourse </w:t>
      </w:r>
      <w:r w:rsidR="00EC7FA0">
        <w:rPr>
          <w:rFonts w:ascii="Arial" w:hAnsi="Arial" w:cs="Arial"/>
          <w:b w:val="0"/>
          <w:bCs w:val="0"/>
          <w:sz w:val="22"/>
        </w:rPr>
        <w:t>i</w:t>
      </w:r>
      <w:r w:rsidR="00EC7FA0" w:rsidRPr="003040E6">
        <w:rPr>
          <w:rFonts w:ascii="Arial" w:hAnsi="Arial" w:cs="Arial"/>
          <w:b w:val="0"/>
          <w:bCs w:val="0"/>
          <w:sz w:val="22"/>
        </w:rPr>
        <w:t xml:space="preserve">ssuer </w:t>
      </w:r>
      <w:r w:rsidR="00EC7FA0">
        <w:rPr>
          <w:rFonts w:ascii="Arial" w:hAnsi="Arial" w:cs="Arial"/>
          <w:b w:val="0"/>
          <w:bCs w:val="0"/>
          <w:sz w:val="22"/>
        </w:rPr>
        <w:t>b</w:t>
      </w:r>
      <w:r w:rsidR="00EC7FA0" w:rsidRPr="003040E6">
        <w:rPr>
          <w:rFonts w:ascii="Arial" w:hAnsi="Arial" w:cs="Arial"/>
          <w:b w:val="0"/>
          <w:bCs w:val="0"/>
          <w:sz w:val="22"/>
        </w:rPr>
        <w:t>id (</w:t>
      </w:r>
      <w:r w:rsidR="00EC7FA0">
        <w:rPr>
          <w:rFonts w:ascii="Arial" w:hAnsi="Arial" w:cs="Arial"/>
          <w:b w:val="0"/>
          <w:bCs w:val="0"/>
          <w:sz w:val="22"/>
        </w:rPr>
        <w:t>“</w:t>
      </w:r>
      <w:r w:rsidR="00EC7FA0" w:rsidRPr="00161724">
        <w:rPr>
          <w:rFonts w:ascii="Arial" w:hAnsi="Arial" w:cs="Arial"/>
          <w:bCs w:val="0"/>
          <w:sz w:val="22"/>
        </w:rPr>
        <w:t>NCIB</w:t>
      </w:r>
      <w:r w:rsidR="00EC7FA0">
        <w:rPr>
          <w:rFonts w:ascii="Arial" w:hAnsi="Arial" w:cs="Arial"/>
          <w:b w:val="0"/>
          <w:bCs w:val="0"/>
          <w:sz w:val="22"/>
        </w:rPr>
        <w:t>”</w:t>
      </w:r>
      <w:r w:rsidR="00EC7FA0" w:rsidRPr="003040E6">
        <w:rPr>
          <w:rFonts w:ascii="Arial" w:hAnsi="Arial" w:cs="Arial"/>
          <w:b w:val="0"/>
          <w:bCs w:val="0"/>
          <w:sz w:val="22"/>
        </w:rPr>
        <w:t>)</w:t>
      </w:r>
      <w:r w:rsidR="00FE1B78">
        <w:rPr>
          <w:rFonts w:ascii="Arial" w:hAnsi="Arial" w:cs="Arial"/>
          <w:b w:val="0"/>
          <w:bCs w:val="0"/>
          <w:sz w:val="22"/>
        </w:rPr>
        <w:t xml:space="preserve">, to purchase up to an aggregate of </w:t>
      </w:r>
      <w:r w:rsidR="00402749">
        <w:rPr>
          <w:rFonts w:ascii="Arial" w:hAnsi="Arial" w:cs="Arial"/>
          <w:sz w:val="22"/>
          <w:szCs w:val="22"/>
        </w:rPr>
        <w:t>782,607</w:t>
      </w:r>
      <w:r w:rsidR="00FE1B78" w:rsidRPr="00622C98">
        <w:rPr>
          <w:rFonts w:ascii="Arial" w:hAnsi="Arial" w:cs="Arial"/>
          <w:b w:val="0"/>
          <w:bCs w:val="0"/>
          <w:sz w:val="22"/>
          <w:szCs w:val="22"/>
        </w:rPr>
        <w:t xml:space="preserve"> </w:t>
      </w:r>
      <w:r w:rsidR="00402749">
        <w:rPr>
          <w:rFonts w:ascii="Arial" w:hAnsi="Arial" w:cs="Arial"/>
          <w:b w:val="0"/>
          <w:bCs w:val="0"/>
          <w:sz w:val="22"/>
          <w:szCs w:val="22"/>
        </w:rPr>
        <w:t xml:space="preserve">common shares </w:t>
      </w:r>
      <w:r w:rsidR="00402749" w:rsidRPr="00622C98">
        <w:rPr>
          <w:rFonts w:ascii="Arial" w:hAnsi="Arial" w:cs="Arial"/>
          <w:b w:val="0"/>
          <w:bCs w:val="0"/>
          <w:sz w:val="22"/>
          <w:szCs w:val="22"/>
        </w:rPr>
        <w:t xml:space="preserve">(the </w:t>
      </w:r>
      <w:r w:rsidR="00402749">
        <w:rPr>
          <w:rFonts w:ascii="Arial" w:hAnsi="Arial" w:cs="Arial"/>
          <w:b w:val="0"/>
          <w:bCs w:val="0"/>
          <w:sz w:val="22"/>
          <w:szCs w:val="22"/>
        </w:rPr>
        <w:t>“</w:t>
      </w:r>
      <w:r w:rsidR="00402749" w:rsidRPr="00622C98">
        <w:rPr>
          <w:rFonts w:ascii="Arial" w:hAnsi="Arial" w:cs="Arial"/>
          <w:bCs w:val="0"/>
          <w:sz w:val="22"/>
          <w:szCs w:val="22"/>
        </w:rPr>
        <w:t>Common Shares</w:t>
      </w:r>
      <w:r w:rsidR="00402749">
        <w:rPr>
          <w:rFonts w:ascii="Arial" w:hAnsi="Arial" w:cs="Arial"/>
          <w:b w:val="0"/>
          <w:bCs w:val="0"/>
          <w:sz w:val="22"/>
          <w:szCs w:val="22"/>
        </w:rPr>
        <w:t>”</w:t>
      </w:r>
      <w:r w:rsidR="00402749" w:rsidRPr="00622C98">
        <w:rPr>
          <w:rFonts w:ascii="Arial" w:hAnsi="Arial" w:cs="Arial"/>
          <w:b w:val="0"/>
          <w:bCs w:val="0"/>
          <w:sz w:val="22"/>
          <w:szCs w:val="22"/>
        </w:rPr>
        <w:t>)</w:t>
      </w:r>
      <w:r w:rsidR="00402749">
        <w:rPr>
          <w:rFonts w:ascii="Arial" w:hAnsi="Arial" w:cs="Arial"/>
          <w:b w:val="0"/>
          <w:bCs w:val="0"/>
          <w:sz w:val="22"/>
          <w:szCs w:val="22"/>
        </w:rPr>
        <w:t xml:space="preserve">, representing 5% of the </w:t>
      </w:r>
      <w:r w:rsidR="00FE1B78" w:rsidRPr="00622C98">
        <w:rPr>
          <w:rFonts w:ascii="Arial" w:hAnsi="Arial" w:cs="Arial"/>
          <w:b w:val="0"/>
          <w:bCs w:val="0"/>
          <w:sz w:val="22"/>
          <w:szCs w:val="22"/>
        </w:rPr>
        <w:t xml:space="preserve">issued and outstanding common shares as of </w:t>
      </w:r>
      <w:r w:rsidR="00FE1B78">
        <w:rPr>
          <w:rFonts w:ascii="Arial" w:hAnsi="Arial" w:cs="Arial"/>
          <w:b w:val="0"/>
          <w:sz w:val="22"/>
          <w:szCs w:val="22"/>
        </w:rPr>
        <w:t xml:space="preserve">November </w:t>
      </w:r>
      <w:r w:rsidR="00BE3A8F">
        <w:rPr>
          <w:rFonts w:ascii="Arial" w:hAnsi="Arial" w:cs="Arial"/>
          <w:b w:val="0"/>
          <w:sz w:val="22"/>
          <w:szCs w:val="22"/>
        </w:rPr>
        <w:t>15</w:t>
      </w:r>
      <w:r w:rsidR="00402749">
        <w:rPr>
          <w:rFonts w:ascii="Arial" w:hAnsi="Arial" w:cs="Arial"/>
          <w:b w:val="0"/>
          <w:sz w:val="22"/>
          <w:szCs w:val="22"/>
        </w:rPr>
        <w:t>,</w:t>
      </w:r>
      <w:r w:rsidR="00FE1B78" w:rsidRPr="00622C98">
        <w:rPr>
          <w:rFonts w:ascii="Arial" w:hAnsi="Arial" w:cs="Arial"/>
          <w:b w:val="0"/>
          <w:sz w:val="22"/>
          <w:szCs w:val="22"/>
        </w:rPr>
        <w:t xml:space="preserve"> 2018</w:t>
      </w:r>
      <w:r w:rsidR="00FE1B78" w:rsidRPr="00622C98">
        <w:rPr>
          <w:rFonts w:ascii="Arial" w:hAnsi="Arial" w:cs="Arial"/>
          <w:b w:val="0"/>
          <w:bCs w:val="0"/>
          <w:sz w:val="22"/>
          <w:szCs w:val="22"/>
        </w:rPr>
        <w:t>.</w:t>
      </w:r>
    </w:p>
    <w:p w14:paraId="3FDFF3A5" w14:textId="489205C1" w:rsidR="00FE1B78" w:rsidRDefault="00EC7FA0" w:rsidP="00402749">
      <w:pPr>
        <w:pStyle w:val="Heading4"/>
        <w:keepNext w:val="0"/>
        <w:tabs>
          <w:tab w:val="left" w:pos="540"/>
        </w:tabs>
        <w:jc w:val="both"/>
        <w:rPr>
          <w:rFonts w:ascii="Arial" w:hAnsi="Arial" w:cs="Arial"/>
          <w:b w:val="0"/>
          <w:bCs w:val="0"/>
          <w:sz w:val="22"/>
        </w:rPr>
      </w:pPr>
      <w:r>
        <w:rPr>
          <w:rFonts w:ascii="Arial" w:hAnsi="Arial" w:cs="Arial"/>
          <w:b w:val="0"/>
          <w:bCs w:val="0"/>
          <w:sz w:val="22"/>
        </w:rPr>
        <w:t xml:space="preserve"> </w:t>
      </w:r>
    </w:p>
    <w:p w14:paraId="56027AC6" w14:textId="0CE3D12C" w:rsidR="00FE1B78" w:rsidRDefault="00FE1B78" w:rsidP="00AD5A2B">
      <w:pPr>
        <w:jc w:val="both"/>
        <w:rPr>
          <w:rFonts w:ascii="Arial" w:hAnsi="Arial" w:cs="Arial"/>
          <w:sz w:val="22"/>
          <w:szCs w:val="22"/>
        </w:rPr>
      </w:pPr>
      <w:r w:rsidRPr="00EC7FA0">
        <w:rPr>
          <w:rFonts w:ascii="Arial" w:hAnsi="Arial" w:cs="Arial"/>
          <w:b/>
          <w:sz w:val="22"/>
          <w:szCs w:val="22"/>
        </w:rPr>
        <w:t>Jamie Blundell, President and Chief Operating Officer of CGOC commented,</w:t>
      </w:r>
      <w:r w:rsidRPr="00EC7FA0">
        <w:rPr>
          <w:rFonts w:ascii="Arial" w:hAnsi="Arial" w:cs="Arial"/>
          <w:sz w:val="22"/>
          <w:szCs w:val="22"/>
        </w:rPr>
        <w:t xml:space="preserve"> “</w:t>
      </w:r>
      <w:r w:rsidR="00AD5A2B">
        <w:rPr>
          <w:rFonts w:ascii="Arial" w:hAnsi="Arial" w:cs="Arial"/>
          <w:sz w:val="22"/>
          <w:szCs w:val="22"/>
        </w:rPr>
        <w:t>The Board of Directors and management team are committed to the continued success of the Co</w:t>
      </w:r>
      <w:r w:rsidR="004E2A52">
        <w:rPr>
          <w:rFonts w:ascii="Arial" w:hAnsi="Arial" w:cs="Arial"/>
          <w:sz w:val="22"/>
          <w:szCs w:val="22"/>
        </w:rPr>
        <w:t>mpany</w:t>
      </w:r>
      <w:r w:rsidR="00AD5A2B">
        <w:rPr>
          <w:rFonts w:ascii="Arial" w:hAnsi="Arial" w:cs="Arial"/>
          <w:sz w:val="22"/>
          <w:szCs w:val="22"/>
        </w:rPr>
        <w:t xml:space="preserve">. </w:t>
      </w:r>
      <w:r w:rsidR="00923F4E">
        <w:rPr>
          <w:rFonts w:ascii="Arial" w:hAnsi="Arial" w:cs="Arial"/>
          <w:sz w:val="22"/>
          <w:szCs w:val="22"/>
        </w:rPr>
        <w:t>Our</w:t>
      </w:r>
      <w:r w:rsidR="00AD5A2B">
        <w:rPr>
          <w:rFonts w:ascii="Arial" w:hAnsi="Arial" w:cs="Arial"/>
          <w:sz w:val="22"/>
          <w:szCs w:val="22"/>
        </w:rPr>
        <w:t xml:space="preserve"> Net Asset Value </w:t>
      </w:r>
      <w:r w:rsidR="00923F4E">
        <w:rPr>
          <w:rFonts w:ascii="Arial" w:hAnsi="Arial" w:cs="Arial"/>
          <w:sz w:val="22"/>
          <w:szCs w:val="22"/>
        </w:rPr>
        <w:t>has illustrated</w:t>
      </w:r>
      <w:r w:rsidR="00AD5A2B">
        <w:rPr>
          <w:rFonts w:ascii="Arial" w:hAnsi="Arial" w:cs="Arial"/>
          <w:sz w:val="22"/>
          <w:szCs w:val="22"/>
        </w:rPr>
        <w:t xml:space="preserve"> the </w:t>
      </w:r>
      <w:proofErr w:type="gramStart"/>
      <w:r w:rsidR="00AD5A2B">
        <w:rPr>
          <w:rFonts w:ascii="Arial" w:hAnsi="Arial" w:cs="Arial"/>
          <w:sz w:val="22"/>
          <w:szCs w:val="22"/>
        </w:rPr>
        <w:t>positive growth</w:t>
      </w:r>
      <w:proofErr w:type="gramEnd"/>
      <w:r w:rsidR="00AD5A2B">
        <w:rPr>
          <w:rFonts w:ascii="Arial" w:hAnsi="Arial" w:cs="Arial"/>
          <w:sz w:val="22"/>
          <w:szCs w:val="22"/>
        </w:rPr>
        <w:t xml:space="preserve"> that the Company has experienced through its actively managed portfolio</w:t>
      </w:r>
      <w:r w:rsidR="00923F4E">
        <w:rPr>
          <w:rFonts w:ascii="Arial" w:hAnsi="Arial" w:cs="Arial"/>
          <w:sz w:val="22"/>
          <w:szCs w:val="22"/>
        </w:rPr>
        <w:t>, which is</w:t>
      </w:r>
      <w:r w:rsidR="00AD5A2B">
        <w:rPr>
          <w:rFonts w:ascii="Arial" w:hAnsi="Arial" w:cs="Arial"/>
          <w:sz w:val="22"/>
          <w:szCs w:val="22"/>
        </w:rPr>
        <w:t xml:space="preserve"> not represented in the current share price</w:t>
      </w:r>
      <w:r w:rsidR="003D4922">
        <w:rPr>
          <w:rFonts w:ascii="Arial" w:hAnsi="Arial" w:cs="Arial"/>
          <w:sz w:val="22"/>
          <w:szCs w:val="22"/>
        </w:rPr>
        <w:t xml:space="preserve"> and does not reflect future prospects</w:t>
      </w:r>
      <w:r w:rsidR="00AD5A2B">
        <w:rPr>
          <w:rFonts w:ascii="Arial" w:hAnsi="Arial" w:cs="Arial"/>
          <w:sz w:val="22"/>
          <w:szCs w:val="22"/>
        </w:rPr>
        <w:t xml:space="preserve">. </w:t>
      </w:r>
      <w:r w:rsidR="00034FF5">
        <w:rPr>
          <w:rFonts w:ascii="Arial" w:hAnsi="Arial" w:cs="Arial"/>
          <w:sz w:val="22"/>
          <w:szCs w:val="22"/>
        </w:rPr>
        <w:t>The</w:t>
      </w:r>
      <w:bookmarkStart w:id="0" w:name="_GoBack"/>
      <w:bookmarkEnd w:id="0"/>
      <w:r w:rsidR="00923F4E">
        <w:rPr>
          <w:rFonts w:ascii="Arial" w:hAnsi="Arial" w:cs="Arial"/>
          <w:sz w:val="22"/>
          <w:szCs w:val="22"/>
        </w:rPr>
        <w:t xml:space="preserve"> NCIB will allow us to be opportunistic and repurchase the shares at what we believe is a significantly discounted price.”</w:t>
      </w:r>
    </w:p>
    <w:p w14:paraId="46309A39" w14:textId="77777777" w:rsidR="00AD5A2B" w:rsidRPr="00AD5A2B" w:rsidRDefault="00AD5A2B" w:rsidP="00AD5A2B">
      <w:pPr>
        <w:jc w:val="both"/>
        <w:rPr>
          <w:rFonts w:ascii="Arial" w:hAnsi="Arial" w:cs="Arial"/>
          <w:sz w:val="22"/>
          <w:szCs w:val="22"/>
        </w:rPr>
      </w:pPr>
    </w:p>
    <w:p w14:paraId="1342A903" w14:textId="1FBCBCF7" w:rsidR="00AD5A2B" w:rsidRPr="000D4CCD" w:rsidRDefault="00AD5A2B" w:rsidP="00AD5A2B">
      <w:pPr>
        <w:rPr>
          <w:rFonts w:ascii="Arial" w:hAnsi="Arial" w:cs="Arial"/>
          <w:b/>
          <w:sz w:val="22"/>
          <w:szCs w:val="22"/>
        </w:rPr>
      </w:pPr>
      <w:r w:rsidRPr="000D4CCD">
        <w:rPr>
          <w:rFonts w:ascii="Arial" w:hAnsi="Arial" w:cs="Arial"/>
          <w:b/>
          <w:sz w:val="22"/>
          <w:szCs w:val="22"/>
        </w:rPr>
        <w:t>NCIB</w:t>
      </w:r>
    </w:p>
    <w:p w14:paraId="288DD7D4" w14:textId="31D43A7E" w:rsidR="00EC7FA0" w:rsidRPr="000D4CCD" w:rsidRDefault="00EC7FA0" w:rsidP="00782D0A">
      <w:pPr>
        <w:pStyle w:val="Heading4"/>
        <w:keepNext w:val="0"/>
        <w:tabs>
          <w:tab w:val="left" w:pos="540"/>
        </w:tabs>
        <w:spacing w:after="240"/>
        <w:jc w:val="both"/>
        <w:rPr>
          <w:rFonts w:ascii="Arial" w:eastAsiaTheme="minorHAnsi" w:hAnsi="Arial" w:cs="Arial"/>
          <w:b w:val="0"/>
          <w:bCs w:val="0"/>
          <w:sz w:val="22"/>
          <w:szCs w:val="22"/>
        </w:rPr>
      </w:pPr>
      <w:r w:rsidRPr="000D4CCD">
        <w:rPr>
          <w:rFonts w:ascii="Arial" w:eastAsiaTheme="minorHAnsi" w:hAnsi="Arial" w:cs="Arial"/>
          <w:b w:val="0"/>
          <w:bCs w:val="0"/>
          <w:sz w:val="22"/>
          <w:szCs w:val="22"/>
        </w:rPr>
        <w:t xml:space="preserve">Pursuant to the NCIB, the Company may, if considered advisable, purchase </w:t>
      </w:r>
      <w:r w:rsidR="004E2A52">
        <w:rPr>
          <w:rFonts w:ascii="Arial" w:eastAsiaTheme="minorHAnsi" w:hAnsi="Arial" w:cs="Arial"/>
          <w:b w:val="0"/>
          <w:bCs w:val="0"/>
          <w:sz w:val="22"/>
          <w:szCs w:val="22"/>
        </w:rPr>
        <w:t xml:space="preserve">the Common Shares </w:t>
      </w:r>
      <w:r w:rsidRPr="000D4CCD">
        <w:rPr>
          <w:rFonts w:ascii="Arial" w:eastAsiaTheme="minorHAnsi" w:hAnsi="Arial" w:cs="Arial"/>
          <w:b w:val="0"/>
          <w:bCs w:val="0"/>
          <w:sz w:val="22"/>
          <w:szCs w:val="22"/>
        </w:rPr>
        <w:t>through the facilities of the Canadian Securities Exchange (“CSE”) and/or alternative trading systems, from time to time over the next 12 months</w:t>
      </w:r>
      <w:r w:rsidR="00782D0A" w:rsidRPr="000D4CCD">
        <w:rPr>
          <w:rFonts w:ascii="Arial" w:eastAsiaTheme="minorHAnsi" w:hAnsi="Arial" w:cs="Arial"/>
          <w:b w:val="0"/>
          <w:bCs w:val="0"/>
          <w:sz w:val="22"/>
          <w:szCs w:val="22"/>
        </w:rPr>
        <w:t xml:space="preserve">. </w:t>
      </w:r>
    </w:p>
    <w:p w14:paraId="4ECE57AA" w14:textId="7890B908" w:rsidR="00AD5A2B" w:rsidRPr="000D4CCD" w:rsidRDefault="00AD5A2B" w:rsidP="00782D0A">
      <w:pPr>
        <w:pStyle w:val="Heading4"/>
        <w:keepNext w:val="0"/>
        <w:tabs>
          <w:tab w:val="left" w:pos="540"/>
        </w:tabs>
        <w:jc w:val="both"/>
        <w:rPr>
          <w:rFonts w:ascii="Arial" w:eastAsiaTheme="minorHAnsi" w:hAnsi="Arial" w:cs="Arial"/>
          <w:b w:val="0"/>
          <w:bCs w:val="0"/>
          <w:sz w:val="22"/>
          <w:szCs w:val="22"/>
        </w:rPr>
      </w:pPr>
      <w:r w:rsidRPr="000D4CCD">
        <w:rPr>
          <w:rFonts w:ascii="Arial" w:eastAsiaTheme="minorHAnsi" w:hAnsi="Arial" w:cs="Arial"/>
          <w:b w:val="0"/>
          <w:bCs w:val="0"/>
          <w:sz w:val="22"/>
          <w:szCs w:val="22"/>
        </w:rPr>
        <w:t xml:space="preserve">Purchases may commence through the CSE and/or alternative trading systems on November </w:t>
      </w:r>
      <w:r w:rsidR="00CE6853" w:rsidRPr="00CC33FC">
        <w:rPr>
          <w:rFonts w:ascii="Arial" w:eastAsiaTheme="minorHAnsi" w:hAnsi="Arial" w:cs="Arial"/>
          <w:b w:val="0"/>
          <w:bCs w:val="0"/>
          <w:sz w:val="22"/>
          <w:szCs w:val="22"/>
        </w:rPr>
        <w:t xml:space="preserve">26, </w:t>
      </w:r>
      <w:r w:rsidRPr="00CC33FC">
        <w:rPr>
          <w:rFonts w:ascii="Arial" w:eastAsiaTheme="minorHAnsi" w:hAnsi="Arial" w:cs="Arial"/>
          <w:b w:val="0"/>
          <w:bCs w:val="0"/>
          <w:sz w:val="22"/>
          <w:szCs w:val="22"/>
        </w:rPr>
        <w:t xml:space="preserve">2018 and will conclude on the earlier of the date on which purchases under the bid have been completed or November </w:t>
      </w:r>
      <w:r w:rsidR="009C4210" w:rsidRPr="00CC33FC">
        <w:rPr>
          <w:rFonts w:ascii="Arial" w:eastAsiaTheme="minorHAnsi" w:hAnsi="Arial" w:cs="Arial"/>
          <w:b w:val="0"/>
          <w:bCs w:val="0"/>
          <w:sz w:val="22"/>
          <w:szCs w:val="22"/>
        </w:rPr>
        <w:t>26</w:t>
      </w:r>
      <w:r w:rsidR="009C4210" w:rsidRPr="000D4CCD">
        <w:rPr>
          <w:rFonts w:ascii="Arial" w:eastAsiaTheme="minorHAnsi" w:hAnsi="Arial" w:cs="Arial"/>
          <w:b w:val="0"/>
          <w:bCs w:val="0"/>
          <w:sz w:val="22"/>
          <w:szCs w:val="22"/>
        </w:rPr>
        <w:t xml:space="preserve">, </w:t>
      </w:r>
      <w:r w:rsidRPr="000D4CCD">
        <w:rPr>
          <w:rFonts w:ascii="Arial" w:eastAsiaTheme="minorHAnsi" w:hAnsi="Arial" w:cs="Arial"/>
          <w:b w:val="0"/>
          <w:bCs w:val="0"/>
          <w:sz w:val="22"/>
          <w:szCs w:val="22"/>
        </w:rPr>
        <w:t xml:space="preserve">2019. </w:t>
      </w:r>
      <w:r w:rsidRPr="000D4CCD">
        <w:rPr>
          <w:rFonts w:ascii="Arial" w:hAnsi="Arial" w:cs="Arial"/>
          <w:b w:val="0"/>
          <w:bCs w:val="0"/>
          <w:sz w:val="22"/>
          <w:szCs w:val="22"/>
        </w:rPr>
        <w:t>All Common Shares purchased by the Company will be cancelled.</w:t>
      </w:r>
      <w:r w:rsidR="00CE6853" w:rsidRPr="000D4CCD">
        <w:rPr>
          <w:rFonts w:ascii="Arial" w:hAnsi="Arial" w:cs="Arial"/>
          <w:b w:val="0"/>
          <w:bCs w:val="0"/>
          <w:sz w:val="22"/>
          <w:szCs w:val="22"/>
        </w:rPr>
        <w:t xml:space="preserve"> </w:t>
      </w:r>
      <w:r w:rsidR="00CE6853" w:rsidRPr="000D4CCD">
        <w:rPr>
          <w:rFonts w:ascii="Arial" w:eastAsiaTheme="minorHAnsi" w:hAnsi="Arial" w:cs="Arial"/>
          <w:b w:val="0"/>
          <w:bCs w:val="0"/>
          <w:sz w:val="22"/>
          <w:szCs w:val="22"/>
        </w:rPr>
        <w:t xml:space="preserve">The Company has appointed </w:t>
      </w:r>
      <w:r w:rsidR="0089014B" w:rsidRPr="0016578D">
        <w:rPr>
          <w:rFonts w:ascii="Arial" w:eastAsiaTheme="minorHAnsi" w:hAnsi="Arial" w:cs="Arial"/>
          <w:b w:val="0"/>
          <w:bCs w:val="0"/>
          <w:sz w:val="22"/>
          <w:szCs w:val="22"/>
        </w:rPr>
        <w:t xml:space="preserve">BMO </w:t>
      </w:r>
      <w:r w:rsidR="00615D76" w:rsidRPr="0016578D">
        <w:rPr>
          <w:rFonts w:ascii="Arial" w:eastAsiaTheme="minorHAnsi" w:hAnsi="Arial" w:cs="Arial"/>
          <w:b w:val="0"/>
          <w:bCs w:val="0"/>
          <w:sz w:val="22"/>
          <w:szCs w:val="22"/>
        </w:rPr>
        <w:t>Nesbitt Burns</w:t>
      </w:r>
      <w:r w:rsidR="00CE6853" w:rsidRPr="0016578D">
        <w:rPr>
          <w:rFonts w:ascii="Arial" w:eastAsiaTheme="minorHAnsi" w:hAnsi="Arial" w:cs="Arial"/>
          <w:b w:val="0"/>
          <w:bCs w:val="0"/>
          <w:sz w:val="22"/>
          <w:szCs w:val="22"/>
        </w:rPr>
        <w:t xml:space="preserve"> </w:t>
      </w:r>
      <w:r w:rsidR="0016578D" w:rsidRPr="0016578D">
        <w:rPr>
          <w:rFonts w:ascii="Arial" w:eastAsiaTheme="minorHAnsi" w:hAnsi="Arial" w:cs="Arial"/>
          <w:b w:val="0"/>
          <w:bCs w:val="0"/>
          <w:sz w:val="22"/>
          <w:szCs w:val="22"/>
        </w:rPr>
        <w:t xml:space="preserve">Inc., </w:t>
      </w:r>
      <w:r w:rsidR="00CE6853" w:rsidRPr="0016578D">
        <w:rPr>
          <w:rFonts w:ascii="Arial" w:eastAsiaTheme="minorHAnsi" w:hAnsi="Arial" w:cs="Arial"/>
          <w:b w:val="0"/>
          <w:bCs w:val="0"/>
          <w:sz w:val="22"/>
          <w:szCs w:val="22"/>
        </w:rPr>
        <w:t>to coordinate and facilitate its NCIB purchases.</w:t>
      </w:r>
    </w:p>
    <w:p w14:paraId="1BA60188" w14:textId="77777777" w:rsidR="00305850" w:rsidRDefault="00305850" w:rsidP="00305850">
      <w:pPr>
        <w:jc w:val="both"/>
        <w:rPr>
          <w:rFonts w:ascii="Avenir Next" w:hAnsi="Avenir Next"/>
          <w:b/>
          <w:sz w:val="22"/>
          <w:szCs w:val="22"/>
        </w:rPr>
      </w:pPr>
    </w:p>
    <w:p w14:paraId="2C54AC4B" w14:textId="77777777" w:rsidR="00CC33FC" w:rsidRPr="001116D0" w:rsidRDefault="00CC33FC" w:rsidP="00CC33FC">
      <w:pPr>
        <w:jc w:val="both"/>
        <w:rPr>
          <w:rFonts w:ascii="Arial" w:hAnsi="Arial" w:cs="Arial"/>
          <w:b/>
          <w:sz w:val="22"/>
          <w:szCs w:val="22"/>
        </w:rPr>
      </w:pPr>
      <w:r>
        <w:rPr>
          <w:rFonts w:ascii="Arial" w:hAnsi="Arial" w:cs="Arial"/>
          <w:b/>
          <w:sz w:val="22"/>
          <w:szCs w:val="22"/>
        </w:rPr>
        <w:t xml:space="preserve">November </w:t>
      </w:r>
      <w:r w:rsidRPr="001116D0">
        <w:rPr>
          <w:rFonts w:ascii="Arial" w:hAnsi="Arial" w:cs="Arial"/>
          <w:b/>
          <w:sz w:val="22"/>
          <w:szCs w:val="22"/>
        </w:rPr>
        <w:t>Webinar</w:t>
      </w:r>
    </w:p>
    <w:p w14:paraId="47628BF8" w14:textId="4A766C42" w:rsidR="00CC33FC" w:rsidRPr="00D67AF3" w:rsidRDefault="00CC33FC" w:rsidP="00CC33FC">
      <w:pPr>
        <w:jc w:val="both"/>
        <w:rPr>
          <w:rFonts w:ascii="Arial" w:hAnsi="Arial" w:cs="Arial"/>
          <w:sz w:val="22"/>
          <w:szCs w:val="22"/>
        </w:rPr>
      </w:pPr>
      <w:r w:rsidRPr="00D67AF3">
        <w:rPr>
          <w:rFonts w:ascii="Arial" w:hAnsi="Arial" w:cs="Arial"/>
          <w:sz w:val="22"/>
          <w:szCs w:val="22"/>
        </w:rPr>
        <w:t xml:space="preserve">CGOC will host </w:t>
      </w:r>
      <w:r>
        <w:rPr>
          <w:rFonts w:ascii="Arial" w:hAnsi="Arial" w:cs="Arial"/>
          <w:sz w:val="22"/>
          <w:szCs w:val="22"/>
        </w:rPr>
        <w:t>the</w:t>
      </w:r>
      <w:r w:rsidRPr="00D67AF3">
        <w:rPr>
          <w:rFonts w:ascii="Arial" w:hAnsi="Arial" w:cs="Arial"/>
          <w:sz w:val="22"/>
          <w:szCs w:val="22"/>
        </w:rPr>
        <w:t xml:space="preserve"> </w:t>
      </w:r>
      <w:r>
        <w:rPr>
          <w:rFonts w:ascii="Arial" w:hAnsi="Arial" w:cs="Arial"/>
          <w:sz w:val="22"/>
          <w:szCs w:val="22"/>
        </w:rPr>
        <w:t xml:space="preserve">November </w:t>
      </w:r>
      <w:r w:rsidRPr="00D67AF3">
        <w:rPr>
          <w:rFonts w:ascii="Arial" w:hAnsi="Arial" w:cs="Arial"/>
          <w:sz w:val="22"/>
          <w:szCs w:val="22"/>
        </w:rPr>
        <w:t xml:space="preserve">webinar </w:t>
      </w:r>
      <w:r>
        <w:rPr>
          <w:rFonts w:ascii="Arial" w:hAnsi="Arial" w:cs="Arial"/>
          <w:sz w:val="22"/>
          <w:szCs w:val="22"/>
        </w:rPr>
        <w:t>today,</w:t>
      </w:r>
      <w:r w:rsidRPr="00D67AF3">
        <w:rPr>
          <w:rFonts w:ascii="Arial" w:hAnsi="Arial" w:cs="Arial"/>
          <w:sz w:val="22"/>
          <w:szCs w:val="22"/>
        </w:rPr>
        <w:t xml:space="preserve"> T</w:t>
      </w:r>
      <w:r>
        <w:rPr>
          <w:rFonts w:ascii="Arial" w:hAnsi="Arial" w:cs="Arial"/>
          <w:sz w:val="22"/>
          <w:szCs w:val="22"/>
        </w:rPr>
        <w:t>uesday</w:t>
      </w:r>
      <w:r w:rsidRPr="00D67AF3">
        <w:rPr>
          <w:rFonts w:ascii="Arial" w:hAnsi="Arial" w:cs="Arial"/>
          <w:sz w:val="22"/>
          <w:szCs w:val="22"/>
        </w:rPr>
        <w:t xml:space="preserve">, </w:t>
      </w:r>
      <w:r>
        <w:rPr>
          <w:rFonts w:ascii="Arial" w:hAnsi="Arial" w:cs="Arial"/>
          <w:sz w:val="22"/>
          <w:szCs w:val="22"/>
        </w:rPr>
        <w:t>November 20th</w:t>
      </w:r>
      <w:r w:rsidRPr="00D67AF3">
        <w:rPr>
          <w:rFonts w:ascii="Arial" w:hAnsi="Arial" w:cs="Arial"/>
          <w:sz w:val="22"/>
          <w:szCs w:val="22"/>
        </w:rPr>
        <w:t xml:space="preserve"> at 4:30 pm E</w:t>
      </w:r>
      <w:r>
        <w:rPr>
          <w:rFonts w:ascii="Arial" w:hAnsi="Arial" w:cs="Arial"/>
          <w:sz w:val="22"/>
          <w:szCs w:val="22"/>
        </w:rPr>
        <w:t>S</w:t>
      </w:r>
      <w:r w:rsidRPr="00D67AF3">
        <w:rPr>
          <w:rFonts w:ascii="Arial" w:hAnsi="Arial" w:cs="Arial"/>
          <w:sz w:val="22"/>
          <w:szCs w:val="22"/>
        </w:rPr>
        <w:t xml:space="preserve">T during which company executives will provide a brief update on the business, review CGOC’s performance, and provide an update on both the public and private holdings. Interested webinar attendees can </w:t>
      </w:r>
      <w:hyperlink r:id="rId7" w:history="1">
        <w:r w:rsidRPr="004E15BD">
          <w:rPr>
            <w:rStyle w:val="Hyperlink"/>
            <w:rFonts w:ascii="Arial" w:hAnsi="Arial" w:cs="Arial"/>
            <w:b/>
            <w:color w:val="007D3F"/>
            <w:sz w:val="22"/>
            <w:szCs w:val="22"/>
          </w:rPr>
          <w:t>Register Here</w:t>
        </w:r>
      </w:hyperlink>
      <w:r w:rsidRPr="00D67AF3">
        <w:rPr>
          <w:rFonts w:ascii="Arial" w:hAnsi="Arial" w:cs="Arial"/>
          <w:sz w:val="22"/>
          <w:szCs w:val="22"/>
        </w:rPr>
        <w:t xml:space="preserve"> </w:t>
      </w:r>
      <w:r>
        <w:rPr>
          <w:rFonts w:ascii="Arial" w:hAnsi="Arial" w:cs="Arial"/>
        </w:rPr>
        <w:t xml:space="preserve">or by visiting the website at </w:t>
      </w:r>
      <w:hyperlink r:id="rId8" w:history="1">
        <w:r w:rsidRPr="00851593">
          <w:rPr>
            <w:rStyle w:val="Hyperlink"/>
            <w:rFonts w:ascii="Arial" w:hAnsi="Arial" w:cs="Arial"/>
          </w:rPr>
          <w:t>www.cgoc.com</w:t>
        </w:r>
      </w:hyperlink>
      <w:r>
        <w:rPr>
          <w:rFonts w:ascii="Arial" w:hAnsi="Arial" w:cs="Arial"/>
        </w:rPr>
        <w:t xml:space="preserve">. </w:t>
      </w:r>
    </w:p>
    <w:p w14:paraId="70B7EED7" w14:textId="6D8A8AB3" w:rsidR="00257726" w:rsidRPr="00F244FC" w:rsidRDefault="00257726" w:rsidP="002F0241">
      <w:pPr>
        <w:jc w:val="both"/>
        <w:rPr>
          <w:rFonts w:ascii="Arial" w:hAnsi="Arial" w:cs="Arial"/>
          <w:sz w:val="22"/>
          <w:szCs w:val="22"/>
        </w:rPr>
      </w:pPr>
    </w:p>
    <w:p w14:paraId="65C970BF" w14:textId="5726B75B" w:rsidR="00FF6DF7" w:rsidRPr="00F244FC" w:rsidRDefault="00FF6DF7" w:rsidP="002F0241">
      <w:pPr>
        <w:pStyle w:val="NormalWeb"/>
        <w:shd w:val="clear" w:color="auto" w:fill="FFFFFF"/>
        <w:spacing w:before="0" w:beforeAutospacing="0" w:after="150" w:afterAutospacing="0"/>
        <w:jc w:val="both"/>
        <w:rPr>
          <w:rStyle w:val="Strong"/>
          <w:rFonts w:ascii="Arial" w:hAnsi="Arial" w:cs="Arial"/>
          <w:color w:val="000000" w:themeColor="text1"/>
          <w:sz w:val="22"/>
          <w:szCs w:val="22"/>
        </w:rPr>
      </w:pPr>
      <w:r w:rsidRPr="00F244FC">
        <w:rPr>
          <w:rStyle w:val="Strong"/>
          <w:rFonts w:ascii="Arial" w:hAnsi="Arial" w:cs="Arial"/>
          <w:color w:val="000000" w:themeColor="text1"/>
          <w:sz w:val="22"/>
          <w:szCs w:val="22"/>
        </w:rPr>
        <w:t xml:space="preserve">About </w:t>
      </w:r>
      <w:r w:rsidR="002F632F">
        <w:rPr>
          <w:rStyle w:val="Strong"/>
          <w:rFonts w:ascii="Arial" w:hAnsi="Arial" w:cs="Arial"/>
          <w:color w:val="000000" w:themeColor="text1"/>
          <w:sz w:val="22"/>
          <w:szCs w:val="22"/>
        </w:rPr>
        <w:t>CGOC</w:t>
      </w:r>
    </w:p>
    <w:p w14:paraId="7BF7391B" w14:textId="61184871" w:rsidR="00FF6DF7" w:rsidRPr="00F244FC" w:rsidRDefault="00FF6DF7" w:rsidP="004F527C">
      <w:pPr>
        <w:pStyle w:val="NormalWeb"/>
        <w:shd w:val="clear" w:color="auto" w:fill="FFFFFF"/>
        <w:spacing w:before="0" w:beforeAutospacing="0" w:after="0" w:afterAutospacing="0"/>
        <w:jc w:val="both"/>
        <w:rPr>
          <w:rStyle w:val="Hyperlink"/>
          <w:rFonts w:ascii="Arial" w:hAnsi="Arial" w:cs="Arial"/>
          <w:color w:val="000000" w:themeColor="text1"/>
          <w:sz w:val="22"/>
          <w:szCs w:val="22"/>
        </w:rPr>
      </w:pPr>
      <w:r w:rsidRPr="00F244FC">
        <w:rPr>
          <w:rFonts w:ascii="Arial" w:hAnsi="Arial" w:cs="Arial"/>
          <w:color w:val="000000" w:themeColor="text1"/>
          <w:sz w:val="22"/>
          <w:szCs w:val="22"/>
        </w:rPr>
        <w:t xml:space="preserve">CGOC is </w:t>
      </w:r>
      <w:r w:rsidR="009252B1">
        <w:rPr>
          <w:rFonts w:ascii="Arial" w:hAnsi="Arial" w:cs="Arial"/>
          <w:color w:val="000000" w:themeColor="text1"/>
          <w:sz w:val="22"/>
          <w:szCs w:val="22"/>
        </w:rPr>
        <w:t>a</w:t>
      </w:r>
      <w:r w:rsidR="004011E6">
        <w:rPr>
          <w:rFonts w:ascii="Arial" w:hAnsi="Arial" w:cs="Arial"/>
          <w:color w:val="000000" w:themeColor="text1"/>
          <w:sz w:val="22"/>
          <w:szCs w:val="22"/>
        </w:rPr>
        <w:t xml:space="preserve">n </w:t>
      </w:r>
      <w:r w:rsidRPr="00F244FC">
        <w:rPr>
          <w:rFonts w:ascii="Arial" w:hAnsi="Arial" w:cs="Arial"/>
          <w:color w:val="000000" w:themeColor="text1"/>
          <w:sz w:val="22"/>
          <w:szCs w:val="22"/>
        </w:rPr>
        <w:t xml:space="preserve">investment corporation </w:t>
      </w:r>
      <w:r w:rsidR="009252B1">
        <w:rPr>
          <w:rFonts w:ascii="Arial" w:hAnsi="Arial" w:cs="Arial"/>
          <w:color w:val="000000" w:themeColor="text1"/>
          <w:sz w:val="22"/>
          <w:szCs w:val="22"/>
        </w:rPr>
        <w:t xml:space="preserve">that offers </w:t>
      </w:r>
      <w:r w:rsidR="004011E6">
        <w:rPr>
          <w:rFonts w:ascii="Arial" w:hAnsi="Arial" w:cs="Arial"/>
          <w:color w:val="000000" w:themeColor="text1"/>
          <w:sz w:val="22"/>
          <w:szCs w:val="22"/>
        </w:rPr>
        <w:t xml:space="preserve">unique global </w:t>
      </w:r>
      <w:r w:rsidR="009252B1">
        <w:rPr>
          <w:rFonts w:ascii="Arial" w:hAnsi="Arial" w:cs="Arial"/>
          <w:color w:val="000000" w:themeColor="text1"/>
          <w:sz w:val="22"/>
          <w:szCs w:val="22"/>
        </w:rPr>
        <w:t>exposure to the emerging global cannabis sector. CGOC’s</w:t>
      </w:r>
      <w:r w:rsidR="00F244FC">
        <w:rPr>
          <w:rFonts w:ascii="Arial" w:hAnsi="Arial" w:cs="Arial"/>
          <w:color w:val="000000" w:themeColor="text1"/>
          <w:sz w:val="22"/>
          <w:szCs w:val="22"/>
        </w:rPr>
        <w:t xml:space="preserve"> main objective </w:t>
      </w:r>
      <w:r w:rsidR="009252B1">
        <w:rPr>
          <w:rFonts w:ascii="Arial" w:hAnsi="Arial" w:cs="Arial"/>
          <w:color w:val="000000" w:themeColor="text1"/>
          <w:sz w:val="22"/>
          <w:szCs w:val="22"/>
        </w:rPr>
        <w:t>is to provide</w:t>
      </w:r>
      <w:r w:rsidRPr="00F244FC">
        <w:rPr>
          <w:rFonts w:ascii="Arial" w:hAnsi="Arial" w:cs="Arial"/>
          <w:color w:val="000000" w:themeColor="text1"/>
          <w:sz w:val="22"/>
          <w:szCs w:val="22"/>
        </w:rPr>
        <w:t xml:space="preserve"> </w:t>
      </w:r>
      <w:r w:rsidR="00F244FC">
        <w:rPr>
          <w:rFonts w:ascii="Arial" w:hAnsi="Arial" w:cs="Arial"/>
          <w:color w:val="000000" w:themeColor="text1"/>
          <w:sz w:val="22"/>
          <w:szCs w:val="22"/>
        </w:rPr>
        <w:t>share</w:t>
      </w:r>
      <w:r w:rsidRPr="00F244FC">
        <w:rPr>
          <w:rFonts w:ascii="Arial" w:hAnsi="Arial" w:cs="Arial"/>
          <w:color w:val="000000" w:themeColor="text1"/>
          <w:sz w:val="22"/>
          <w:szCs w:val="22"/>
        </w:rPr>
        <w:t xml:space="preserve">holders long-term total return through </w:t>
      </w:r>
      <w:r w:rsidR="00F244FC">
        <w:rPr>
          <w:rFonts w:ascii="Arial" w:hAnsi="Arial" w:cs="Arial"/>
          <w:color w:val="000000" w:themeColor="text1"/>
          <w:sz w:val="22"/>
          <w:szCs w:val="22"/>
        </w:rPr>
        <w:t xml:space="preserve">its actively managed portfolio </w:t>
      </w:r>
      <w:r w:rsidRPr="00F244FC">
        <w:rPr>
          <w:rFonts w:ascii="Arial" w:hAnsi="Arial" w:cs="Arial"/>
          <w:color w:val="000000" w:themeColor="text1"/>
          <w:sz w:val="22"/>
          <w:szCs w:val="22"/>
        </w:rPr>
        <w:t>of securities</w:t>
      </w:r>
      <w:r w:rsidR="004011E6">
        <w:rPr>
          <w:rFonts w:ascii="Arial" w:hAnsi="Arial" w:cs="Arial"/>
          <w:color w:val="000000" w:themeColor="text1"/>
          <w:sz w:val="22"/>
          <w:szCs w:val="22"/>
        </w:rPr>
        <w:t>, both</w:t>
      </w:r>
      <w:r w:rsidRPr="00F244FC">
        <w:rPr>
          <w:rFonts w:ascii="Arial" w:hAnsi="Arial" w:cs="Arial"/>
          <w:color w:val="000000" w:themeColor="text1"/>
          <w:sz w:val="22"/>
          <w:szCs w:val="22"/>
        </w:rPr>
        <w:t xml:space="preserve"> public and private</w:t>
      </w:r>
      <w:r w:rsidR="004011E6">
        <w:rPr>
          <w:rFonts w:ascii="Arial" w:hAnsi="Arial" w:cs="Arial"/>
          <w:color w:val="000000" w:themeColor="text1"/>
          <w:sz w:val="22"/>
          <w:szCs w:val="22"/>
        </w:rPr>
        <w:t>,</w:t>
      </w:r>
      <w:r w:rsidRPr="00F244FC">
        <w:rPr>
          <w:rFonts w:ascii="Arial" w:hAnsi="Arial" w:cs="Arial"/>
          <w:color w:val="000000" w:themeColor="text1"/>
          <w:sz w:val="22"/>
          <w:szCs w:val="22"/>
        </w:rPr>
        <w:t xml:space="preserve"> operating in, or that derive a portion of their revenue or earnings from</w:t>
      </w:r>
      <w:r w:rsidR="004011E6">
        <w:rPr>
          <w:rFonts w:ascii="Arial" w:hAnsi="Arial" w:cs="Arial"/>
          <w:color w:val="000000" w:themeColor="text1"/>
          <w:sz w:val="22"/>
          <w:szCs w:val="22"/>
        </w:rPr>
        <w:t xml:space="preserve"> </w:t>
      </w:r>
      <w:r w:rsidRPr="00F244FC">
        <w:rPr>
          <w:rFonts w:ascii="Arial" w:hAnsi="Arial" w:cs="Arial"/>
          <w:color w:val="000000" w:themeColor="text1"/>
          <w:sz w:val="22"/>
          <w:szCs w:val="22"/>
        </w:rPr>
        <w:t xml:space="preserve">products or services related to the cannabis industry. </w:t>
      </w:r>
    </w:p>
    <w:p w14:paraId="37460454" w14:textId="1420DB4B" w:rsidR="005473DB" w:rsidRPr="00F244FC" w:rsidRDefault="005473DB" w:rsidP="004F527C">
      <w:pPr>
        <w:pStyle w:val="NormalWeb"/>
        <w:shd w:val="clear" w:color="auto" w:fill="FFFFFF"/>
        <w:spacing w:before="0" w:beforeAutospacing="0" w:after="0" w:afterAutospacing="0"/>
        <w:jc w:val="both"/>
        <w:rPr>
          <w:rStyle w:val="Hyperlink"/>
          <w:rFonts w:ascii="Arial" w:hAnsi="Arial" w:cs="Arial"/>
          <w:color w:val="000000" w:themeColor="text1"/>
          <w:sz w:val="22"/>
          <w:szCs w:val="22"/>
        </w:rPr>
      </w:pPr>
    </w:p>
    <w:p w14:paraId="11D105DF" w14:textId="0081FCD2" w:rsidR="00F244FC" w:rsidRDefault="005473DB" w:rsidP="002F0241">
      <w:pPr>
        <w:pStyle w:val="NormalWeb"/>
        <w:shd w:val="clear" w:color="auto" w:fill="FFFFFF"/>
        <w:spacing w:before="0" w:beforeAutospacing="0" w:after="150" w:afterAutospacing="0"/>
        <w:jc w:val="both"/>
        <w:rPr>
          <w:rFonts w:ascii="Arial" w:hAnsi="Arial" w:cs="Arial"/>
          <w:color w:val="000000" w:themeColor="text1"/>
          <w:sz w:val="22"/>
          <w:szCs w:val="22"/>
        </w:rPr>
      </w:pPr>
      <w:r w:rsidRPr="00F244FC">
        <w:rPr>
          <w:rFonts w:ascii="Arial" w:hAnsi="Arial" w:cs="Arial"/>
          <w:b/>
          <w:color w:val="000000" w:themeColor="text1"/>
          <w:sz w:val="22"/>
          <w:szCs w:val="22"/>
        </w:rPr>
        <w:t>For further information</w:t>
      </w:r>
      <w:r w:rsidR="00F244FC" w:rsidRPr="00F244FC">
        <w:rPr>
          <w:rFonts w:ascii="Arial" w:hAnsi="Arial" w:cs="Arial"/>
          <w:b/>
          <w:color w:val="000000" w:themeColor="text1"/>
          <w:sz w:val="22"/>
          <w:szCs w:val="22"/>
        </w:rPr>
        <w:t xml:space="preserve"> please contact</w:t>
      </w:r>
      <w:r w:rsidRPr="00F244FC">
        <w:rPr>
          <w:rFonts w:ascii="Arial" w:hAnsi="Arial" w:cs="Arial"/>
          <w:b/>
          <w:color w:val="000000" w:themeColor="text1"/>
          <w:sz w:val="22"/>
          <w:szCs w:val="22"/>
        </w:rPr>
        <w:t>:</w:t>
      </w:r>
      <w:r w:rsidRPr="00F244FC">
        <w:rPr>
          <w:rFonts w:ascii="Arial" w:hAnsi="Arial" w:cs="Arial"/>
          <w:color w:val="000000" w:themeColor="text1"/>
          <w:sz w:val="22"/>
          <w:szCs w:val="22"/>
        </w:rPr>
        <w:t xml:space="preserve"> </w:t>
      </w:r>
    </w:p>
    <w:p w14:paraId="4D221B9B" w14:textId="559B8B03" w:rsidR="0091706D" w:rsidRPr="0091706D" w:rsidRDefault="002F632F" w:rsidP="00FC0C2F">
      <w:pPr>
        <w:pStyle w:val="NormalWeb"/>
        <w:shd w:val="clear" w:color="auto" w:fill="FFFFFF"/>
        <w:spacing w:before="0" w:beforeAutospacing="0" w:after="0" w:afterAutospacing="0"/>
        <w:jc w:val="both"/>
        <w:rPr>
          <w:rFonts w:ascii="Arial" w:hAnsi="Arial" w:cs="Arial"/>
          <w:b/>
          <w:color w:val="000000" w:themeColor="text1"/>
          <w:sz w:val="22"/>
          <w:szCs w:val="22"/>
        </w:rPr>
      </w:pPr>
      <w:r w:rsidRPr="0091706D">
        <w:rPr>
          <w:rFonts w:ascii="Arial" w:hAnsi="Arial" w:cs="Arial"/>
          <w:b/>
          <w:color w:val="000000" w:themeColor="text1"/>
          <w:sz w:val="22"/>
          <w:szCs w:val="22"/>
        </w:rPr>
        <w:t>C</w:t>
      </w:r>
      <w:r w:rsidR="0091706D" w:rsidRPr="0091706D">
        <w:rPr>
          <w:rFonts w:ascii="Arial" w:hAnsi="Arial" w:cs="Arial"/>
          <w:b/>
          <w:color w:val="000000" w:themeColor="text1"/>
          <w:sz w:val="22"/>
          <w:szCs w:val="22"/>
        </w:rPr>
        <w:t>annabis Growth Investment Corporation</w:t>
      </w:r>
    </w:p>
    <w:p w14:paraId="08F30A09" w14:textId="31FAFB70" w:rsidR="00FC0C2F" w:rsidRDefault="001F2FB1" w:rsidP="00FC0C2F">
      <w:pPr>
        <w:pStyle w:val="NormalWeb"/>
        <w:shd w:val="clear" w:color="auto" w:fill="FFFFFF"/>
        <w:spacing w:before="0" w:beforeAutospacing="0" w:after="0" w:afterAutospacing="0"/>
        <w:jc w:val="both"/>
        <w:rPr>
          <w:rFonts w:ascii="Arial" w:hAnsi="Arial" w:cs="Arial"/>
          <w:color w:val="000000" w:themeColor="text1"/>
          <w:sz w:val="22"/>
          <w:szCs w:val="22"/>
        </w:rPr>
      </w:pPr>
      <w:hyperlink r:id="rId9" w:history="1">
        <w:r w:rsidR="00FC0C2F" w:rsidRPr="005B630C">
          <w:rPr>
            <w:rStyle w:val="Hyperlink"/>
            <w:rFonts w:ascii="Arial" w:hAnsi="Arial" w:cs="Arial"/>
            <w:sz w:val="22"/>
            <w:szCs w:val="22"/>
          </w:rPr>
          <w:t>www.cgocorp.com</w:t>
        </w:r>
      </w:hyperlink>
    </w:p>
    <w:p w14:paraId="264CBF16" w14:textId="77777777" w:rsidR="00FC0C2F" w:rsidRDefault="00FC0C2F" w:rsidP="001E6A7C">
      <w:pPr>
        <w:pStyle w:val="NormalWeb"/>
        <w:shd w:val="clear" w:color="auto" w:fill="FFFFFF"/>
        <w:spacing w:before="0" w:beforeAutospacing="0" w:after="0" w:afterAutospacing="0"/>
        <w:jc w:val="both"/>
        <w:rPr>
          <w:rFonts w:ascii="Arial" w:hAnsi="Arial" w:cs="Arial"/>
          <w:color w:val="000000" w:themeColor="text1"/>
          <w:sz w:val="22"/>
          <w:szCs w:val="22"/>
        </w:rPr>
      </w:pPr>
    </w:p>
    <w:p w14:paraId="15CCB2AC" w14:textId="3EB1643F" w:rsidR="00B75CF2" w:rsidRDefault="001E6A7C" w:rsidP="001E6A7C">
      <w:pPr>
        <w:pStyle w:val="NormalWeb"/>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Investor Relations</w:t>
      </w:r>
    </w:p>
    <w:p w14:paraId="7A5D8EAA" w14:textId="367D1A9D" w:rsidR="001E6A7C" w:rsidRDefault="001E6A7C" w:rsidP="001E6A7C">
      <w:pPr>
        <w:pStyle w:val="NormalWeb"/>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 xml:space="preserve">Email: </w:t>
      </w:r>
      <w:hyperlink r:id="rId10" w:history="1">
        <w:r w:rsidRPr="005B630C">
          <w:rPr>
            <w:rStyle w:val="Hyperlink"/>
            <w:rFonts w:ascii="Arial" w:hAnsi="Arial" w:cs="Arial"/>
            <w:sz w:val="22"/>
            <w:szCs w:val="22"/>
          </w:rPr>
          <w:t>info@cgocorp.com</w:t>
        </w:r>
      </w:hyperlink>
    </w:p>
    <w:p w14:paraId="0C555B1F" w14:textId="77777777" w:rsidR="001E6A7C" w:rsidRPr="00F244FC" w:rsidRDefault="001E6A7C" w:rsidP="004F527C">
      <w:pPr>
        <w:pStyle w:val="NormalWeb"/>
        <w:shd w:val="clear" w:color="auto" w:fill="FFFFFF"/>
        <w:spacing w:before="0" w:beforeAutospacing="0" w:after="0" w:afterAutospacing="0"/>
        <w:jc w:val="both"/>
        <w:rPr>
          <w:rFonts w:ascii="Arial" w:hAnsi="Arial" w:cs="Arial"/>
          <w:color w:val="000000" w:themeColor="text1"/>
          <w:sz w:val="22"/>
          <w:szCs w:val="22"/>
        </w:rPr>
      </w:pPr>
    </w:p>
    <w:p w14:paraId="11C020B7" w14:textId="420FD50F" w:rsidR="009E7F8A" w:rsidRPr="00F244FC" w:rsidRDefault="00FF6DF7" w:rsidP="002F0241">
      <w:pPr>
        <w:pStyle w:val="NormalWeb"/>
        <w:shd w:val="clear" w:color="auto" w:fill="FFFFFF"/>
        <w:jc w:val="both"/>
        <w:rPr>
          <w:rFonts w:ascii="Arial" w:hAnsi="Arial" w:cs="Arial"/>
          <w:bCs/>
          <w:i/>
          <w:iCs/>
          <w:color w:val="000000" w:themeColor="text1"/>
          <w:sz w:val="22"/>
          <w:szCs w:val="22"/>
        </w:rPr>
      </w:pPr>
      <w:r w:rsidRPr="00F244FC">
        <w:rPr>
          <w:rFonts w:ascii="Arial" w:hAnsi="Arial" w:cs="Arial"/>
          <w:bCs/>
          <w:i/>
          <w:iCs/>
          <w:color w:val="000000" w:themeColor="text1"/>
          <w:sz w:val="22"/>
          <w:szCs w:val="22"/>
        </w:rPr>
        <w:lastRenderedPageBreak/>
        <w:t>This press release is not an offer of securities for sale in the United States, and the securities described in this press release may not be offered or sold in the United States absent registration or an exemption from registration. The securities have not been and will not be registered under the United States Securities Act of 1933.</w:t>
      </w:r>
    </w:p>
    <w:p w14:paraId="6F51BEC8" w14:textId="0CC47BE5" w:rsidR="00F244FC" w:rsidRPr="00F244FC" w:rsidRDefault="00F244FC" w:rsidP="00F244FC">
      <w:pPr>
        <w:shd w:val="clear" w:color="auto" w:fill="FFFFFF"/>
        <w:spacing w:before="100" w:beforeAutospacing="1" w:after="100" w:afterAutospacing="1" w:line="360" w:lineRule="atLeast"/>
        <w:rPr>
          <w:rFonts w:ascii="Arial" w:eastAsia="Times New Roman" w:hAnsi="Arial" w:cs="Arial"/>
          <w:color w:val="000000"/>
          <w:sz w:val="20"/>
          <w:szCs w:val="22"/>
        </w:rPr>
      </w:pPr>
      <w:r w:rsidRPr="00902764">
        <w:rPr>
          <w:rFonts w:ascii="Arial" w:eastAsia="Times New Roman" w:hAnsi="Arial" w:cs="Arial"/>
          <w:b/>
          <w:bCs/>
          <w:color w:val="000000"/>
          <w:sz w:val="20"/>
          <w:szCs w:val="22"/>
        </w:rPr>
        <w:t xml:space="preserve">Forward-Looking </w:t>
      </w:r>
      <w:r w:rsidR="001C7628">
        <w:rPr>
          <w:rFonts w:ascii="Arial" w:eastAsia="Times New Roman" w:hAnsi="Arial" w:cs="Arial"/>
          <w:b/>
          <w:bCs/>
          <w:color w:val="000000"/>
          <w:sz w:val="20"/>
          <w:szCs w:val="22"/>
        </w:rPr>
        <w:t>Statements</w:t>
      </w:r>
    </w:p>
    <w:p w14:paraId="71ACF90F" w14:textId="6DDFE0CC" w:rsidR="00923F4E" w:rsidRPr="000E2B6A" w:rsidRDefault="00F244FC" w:rsidP="00923F4E">
      <w:pPr>
        <w:autoSpaceDE w:val="0"/>
        <w:autoSpaceDN w:val="0"/>
        <w:adjustRightInd w:val="0"/>
        <w:snapToGrid w:val="0"/>
        <w:jc w:val="both"/>
        <w:rPr>
          <w:rFonts w:eastAsia="Times New Roman" w:cs="Arial"/>
          <w:color w:val="000000"/>
          <w:sz w:val="22"/>
          <w:szCs w:val="22"/>
          <w:lang w:val="x-none"/>
        </w:rPr>
      </w:pPr>
      <w:r w:rsidRPr="00902764">
        <w:rPr>
          <w:rFonts w:ascii="Arial" w:eastAsia="Times New Roman" w:hAnsi="Arial" w:cs="Arial"/>
          <w:i/>
          <w:iCs/>
          <w:color w:val="000000"/>
          <w:sz w:val="20"/>
          <w:szCs w:val="22"/>
        </w:rPr>
        <w:t xml:space="preserve">This news release contains statements </w:t>
      </w:r>
      <w:r w:rsidR="00652839" w:rsidRPr="00902764">
        <w:rPr>
          <w:rFonts w:ascii="Arial" w:eastAsia="Times New Roman" w:hAnsi="Arial" w:cs="Arial"/>
          <w:i/>
          <w:iCs/>
          <w:color w:val="000000"/>
          <w:sz w:val="20"/>
          <w:szCs w:val="22"/>
        </w:rPr>
        <w:t xml:space="preserve">and information, collectively referred to as </w:t>
      </w:r>
      <w:r w:rsidRPr="00902764">
        <w:rPr>
          <w:rFonts w:ascii="Arial" w:eastAsia="Times New Roman" w:hAnsi="Arial" w:cs="Arial"/>
          <w:i/>
          <w:iCs/>
          <w:color w:val="000000"/>
          <w:sz w:val="20"/>
          <w:szCs w:val="22"/>
        </w:rPr>
        <w:t xml:space="preserve">“forward-looking </w:t>
      </w:r>
      <w:r w:rsidR="001C7628">
        <w:rPr>
          <w:rFonts w:ascii="Arial" w:eastAsia="Times New Roman" w:hAnsi="Arial" w:cs="Arial"/>
          <w:i/>
          <w:iCs/>
          <w:color w:val="000000"/>
          <w:sz w:val="20"/>
          <w:szCs w:val="22"/>
        </w:rPr>
        <w:t>statements</w:t>
      </w:r>
      <w:r w:rsidRPr="00902764">
        <w:rPr>
          <w:rFonts w:ascii="Arial" w:eastAsia="Times New Roman" w:hAnsi="Arial" w:cs="Arial"/>
          <w:i/>
          <w:iCs/>
          <w:color w:val="000000"/>
          <w:sz w:val="20"/>
          <w:szCs w:val="22"/>
        </w:rPr>
        <w:t xml:space="preserve">” within the meaning of applicable securities laws, including statements regarding plans, intentions, beliefs and current expectations of the Company with respect to future business activities and operating performance. </w:t>
      </w:r>
      <w:r w:rsidR="002547F4" w:rsidRPr="00902764">
        <w:rPr>
          <w:rFonts w:ascii="Arial" w:eastAsia="Times New Roman" w:hAnsi="Arial" w:cs="Arial"/>
          <w:i/>
          <w:iCs/>
          <w:color w:val="000000"/>
          <w:sz w:val="20"/>
          <w:szCs w:val="22"/>
        </w:rPr>
        <w:t xml:space="preserve">The words “plans”, “expects”, “scheduled”, “budgeted”, “projected”, “estimated”, “timeline”, “forecasts”, “anticipates”, “suggests”, “indicative”, “intend”, “guidance”, “outlook”, “potential”, “prospects”, “seek”, “strategy”, “targets” or “believes”, or variations of such words and phrases or statements that certain future conditions, actions, events or results “will”, “may”, “could”, “would”, “should”, “might” or “can”, or negative versions thereof, “be taken”, “occur”, “continue” or “be achieved”, and other similar expressions, identify forward-looking </w:t>
      </w:r>
      <w:r w:rsidR="001C7628">
        <w:rPr>
          <w:rFonts w:ascii="Arial" w:eastAsia="Times New Roman" w:hAnsi="Arial" w:cs="Arial"/>
          <w:i/>
          <w:iCs/>
          <w:color w:val="000000"/>
          <w:sz w:val="20"/>
          <w:szCs w:val="22"/>
        </w:rPr>
        <w:t>statements</w:t>
      </w:r>
      <w:r w:rsidR="00B9208C" w:rsidRPr="00902764">
        <w:rPr>
          <w:rFonts w:ascii="Arial" w:eastAsia="Times New Roman" w:hAnsi="Arial" w:cs="Arial"/>
          <w:i/>
          <w:iCs/>
          <w:color w:val="000000"/>
          <w:sz w:val="20"/>
          <w:szCs w:val="22"/>
        </w:rPr>
        <w:t xml:space="preserve">. Forward-Looking </w:t>
      </w:r>
      <w:r w:rsidR="001C7628">
        <w:rPr>
          <w:rFonts w:ascii="Arial" w:eastAsia="Times New Roman" w:hAnsi="Arial" w:cs="Arial"/>
          <w:i/>
          <w:iCs/>
          <w:color w:val="000000"/>
          <w:sz w:val="20"/>
          <w:szCs w:val="22"/>
        </w:rPr>
        <w:t>Statements</w:t>
      </w:r>
      <w:r w:rsidR="00B9208C" w:rsidRPr="00902764">
        <w:rPr>
          <w:rFonts w:ascii="Arial" w:eastAsia="Times New Roman" w:hAnsi="Arial" w:cs="Arial"/>
          <w:i/>
          <w:iCs/>
          <w:color w:val="000000"/>
          <w:sz w:val="20"/>
          <w:szCs w:val="22"/>
        </w:rPr>
        <w:t xml:space="preserve"> within this press release </w:t>
      </w:r>
      <w:r w:rsidRPr="00902764">
        <w:rPr>
          <w:rFonts w:ascii="Arial" w:eastAsia="Times New Roman" w:hAnsi="Arial" w:cs="Arial"/>
          <w:i/>
          <w:iCs/>
          <w:color w:val="000000"/>
          <w:sz w:val="20"/>
          <w:szCs w:val="22"/>
        </w:rPr>
        <w:t xml:space="preserve">includes </w:t>
      </w:r>
      <w:r w:rsidR="00B9208C" w:rsidRPr="00902764">
        <w:rPr>
          <w:rFonts w:ascii="Arial" w:eastAsia="Times New Roman" w:hAnsi="Arial" w:cs="Arial"/>
          <w:i/>
          <w:iCs/>
          <w:color w:val="000000"/>
          <w:sz w:val="20"/>
          <w:szCs w:val="22"/>
        </w:rPr>
        <w:t xml:space="preserve">statements and </w:t>
      </w:r>
      <w:r w:rsidRPr="00902764">
        <w:rPr>
          <w:rFonts w:ascii="Arial" w:eastAsia="Times New Roman" w:hAnsi="Arial" w:cs="Arial"/>
          <w:i/>
          <w:iCs/>
          <w:color w:val="000000"/>
          <w:sz w:val="20"/>
          <w:szCs w:val="22"/>
        </w:rPr>
        <w:t xml:space="preserve">information </w:t>
      </w:r>
      <w:r w:rsidR="00652839" w:rsidRPr="00902764">
        <w:rPr>
          <w:rFonts w:ascii="Arial" w:eastAsia="Times New Roman" w:hAnsi="Arial" w:cs="Arial"/>
          <w:i/>
          <w:iCs/>
          <w:color w:val="000000"/>
          <w:sz w:val="20"/>
          <w:szCs w:val="22"/>
        </w:rPr>
        <w:t>pertaining to:</w:t>
      </w:r>
      <w:r w:rsidRPr="00902764">
        <w:rPr>
          <w:rFonts w:ascii="Arial" w:eastAsia="Times New Roman" w:hAnsi="Arial" w:cs="Arial"/>
          <w:i/>
          <w:iCs/>
          <w:color w:val="000000"/>
          <w:sz w:val="20"/>
          <w:szCs w:val="22"/>
        </w:rPr>
        <w:t> </w:t>
      </w:r>
      <w:r w:rsidR="00923F4E" w:rsidRPr="00923F4E">
        <w:rPr>
          <w:rFonts w:ascii="Arial" w:eastAsia="Times New Roman" w:hAnsi="Arial" w:cs="Arial"/>
          <w:i/>
          <w:iCs/>
          <w:color w:val="000000"/>
          <w:sz w:val="20"/>
          <w:szCs w:val="22"/>
        </w:rPr>
        <w:t>future developments in connection with the NCIB, the receipt of required approvals for the NCIB, and the Company’s intention to repurchase common shares from the Company’s shareholders, and similar statements concerning anticipated future events, results, circumstances, performance or expectations, that reflect management’s current expectations and are based on information currently available to management of CGOC.</w:t>
      </w:r>
    </w:p>
    <w:p w14:paraId="1637D65E" w14:textId="77777777" w:rsidR="00923F4E" w:rsidRPr="001C7628" w:rsidRDefault="00923F4E" w:rsidP="001C7628">
      <w:pPr>
        <w:shd w:val="clear" w:color="auto" w:fill="FFFFFF"/>
        <w:spacing w:before="100" w:beforeAutospacing="1" w:after="100" w:afterAutospacing="1"/>
        <w:jc w:val="both"/>
        <w:rPr>
          <w:rFonts w:ascii="Arial" w:eastAsia="Times New Roman" w:hAnsi="Arial" w:cs="Arial"/>
          <w:i/>
          <w:iCs/>
          <w:color w:val="000000"/>
          <w:sz w:val="20"/>
          <w:szCs w:val="22"/>
        </w:rPr>
      </w:pPr>
      <w:r w:rsidRPr="001C7628">
        <w:rPr>
          <w:rFonts w:ascii="Arial" w:eastAsia="Times New Roman" w:hAnsi="Arial" w:cs="Arial"/>
          <w:i/>
          <w:iCs/>
          <w:color w:val="000000"/>
          <w:sz w:val="20"/>
          <w:szCs w:val="22"/>
        </w:rPr>
        <w:t xml:space="preserve">Forward-Looking Statements are based on a number of expectations or assumptions which have been used to develop such statements and </w:t>
      </w:r>
      <w:proofErr w:type="gramStart"/>
      <w:r w:rsidRPr="001C7628">
        <w:rPr>
          <w:rFonts w:ascii="Arial" w:eastAsia="Times New Roman" w:hAnsi="Arial" w:cs="Arial"/>
          <w:i/>
          <w:iCs/>
          <w:color w:val="000000"/>
          <w:sz w:val="20"/>
          <w:szCs w:val="22"/>
        </w:rPr>
        <w:t>information</w:t>
      </w:r>
      <w:proofErr w:type="gramEnd"/>
      <w:r w:rsidRPr="001C7628">
        <w:rPr>
          <w:rFonts w:ascii="Arial" w:eastAsia="Times New Roman" w:hAnsi="Arial" w:cs="Arial"/>
          <w:i/>
          <w:iCs/>
          <w:color w:val="000000"/>
          <w:sz w:val="20"/>
          <w:szCs w:val="22"/>
        </w:rPr>
        <w:t xml:space="preserve"> but which may prove to be incorrect. Although management believes the expectations and assumptions reflected in such Forward-Looking Statements are reasonable, undue reliance should not be placed on Forward-Looking Statements because management can give no assurance that such expectations and assumptions will prove to be correct. The Forward-Looking Statements included in this news release are not guarantees of future performance and should not be unduly relied upon. Such information and statements, including the assumptions made in respect thereof, involve known and unknown risks, uncertainties and other factors, which may cause actual results or events to differ materially from those anticipated in such Forward-Looking Statements, including, but not limited to, a failure to obtain necessary regulatory and other third party approvals. The foregoing factors are not exhaustive. Should one or more of these risks or uncertainties materialize, or should assumptions underlying the Forward-Looking Statements prove incorrect, actual results, performance or achievements could vary materially from those expressed or implied by the Forward Looking Statements contained in this news release.</w:t>
      </w:r>
    </w:p>
    <w:p w14:paraId="77277FFA" w14:textId="77777777" w:rsidR="00923F4E" w:rsidRPr="001C7628" w:rsidRDefault="00923F4E" w:rsidP="001C7628">
      <w:pPr>
        <w:shd w:val="clear" w:color="auto" w:fill="FFFFFF"/>
        <w:spacing w:before="100" w:beforeAutospacing="1" w:after="100" w:afterAutospacing="1"/>
        <w:jc w:val="both"/>
        <w:rPr>
          <w:rFonts w:ascii="Arial" w:eastAsia="Times New Roman" w:hAnsi="Arial" w:cs="Arial"/>
          <w:i/>
          <w:iCs/>
          <w:color w:val="000000"/>
          <w:sz w:val="20"/>
          <w:szCs w:val="22"/>
        </w:rPr>
      </w:pPr>
      <w:r w:rsidRPr="001C7628">
        <w:rPr>
          <w:rFonts w:ascii="Arial" w:eastAsia="Times New Roman" w:hAnsi="Arial" w:cs="Arial"/>
          <w:i/>
          <w:iCs/>
          <w:color w:val="000000"/>
          <w:sz w:val="20"/>
          <w:szCs w:val="22"/>
        </w:rPr>
        <w:t>The Forward-Looking Statements contained in this news release speak only as of the date of this news release, and CGOC does not assume any obligation to publicly update or revise any of the included Forward-Looking Statements, whether as a result of new information, future events or otherwise, except as may be expressly required by applicable securities laws.</w:t>
      </w:r>
    </w:p>
    <w:p w14:paraId="29FF9967" w14:textId="1C93CA13" w:rsidR="00F244FC" w:rsidRPr="001C7628" w:rsidRDefault="00F244FC" w:rsidP="00B9208C">
      <w:pPr>
        <w:shd w:val="clear" w:color="auto" w:fill="FFFFFF"/>
        <w:spacing w:before="100" w:beforeAutospacing="1" w:after="100" w:afterAutospacing="1"/>
        <w:jc w:val="both"/>
        <w:rPr>
          <w:rFonts w:ascii="Arial" w:eastAsia="Times New Roman" w:hAnsi="Arial" w:cs="Arial"/>
          <w:i/>
          <w:iCs/>
          <w:color w:val="000000"/>
          <w:sz w:val="20"/>
          <w:szCs w:val="22"/>
        </w:rPr>
      </w:pPr>
      <w:r w:rsidRPr="00902764">
        <w:rPr>
          <w:rFonts w:ascii="Arial" w:eastAsia="Times New Roman" w:hAnsi="Arial" w:cs="Arial"/>
          <w:i/>
          <w:iCs/>
          <w:color w:val="000000"/>
          <w:sz w:val="20"/>
          <w:szCs w:val="22"/>
        </w:rPr>
        <w:t xml:space="preserve">Neither the </w:t>
      </w:r>
      <w:r w:rsidR="00C54BCF" w:rsidRPr="00902764">
        <w:rPr>
          <w:rFonts w:ascii="Arial" w:eastAsia="Times New Roman" w:hAnsi="Arial" w:cs="Arial"/>
          <w:i/>
          <w:iCs/>
          <w:color w:val="000000"/>
          <w:sz w:val="20"/>
          <w:szCs w:val="22"/>
        </w:rPr>
        <w:t>Canadian Securities Exchange</w:t>
      </w:r>
      <w:r w:rsidRPr="00902764">
        <w:rPr>
          <w:rFonts w:ascii="Arial" w:eastAsia="Times New Roman" w:hAnsi="Arial" w:cs="Arial"/>
          <w:i/>
          <w:iCs/>
          <w:color w:val="000000"/>
          <w:sz w:val="20"/>
          <w:szCs w:val="22"/>
        </w:rPr>
        <w:t xml:space="preserve"> nor its Regulation Services Provider accepts responsibility for the adequacy or accuracy of this release.</w:t>
      </w:r>
    </w:p>
    <w:p w14:paraId="746D7557" w14:textId="77777777" w:rsidR="00F244FC" w:rsidRPr="001C7628" w:rsidRDefault="00F244FC" w:rsidP="001C7628">
      <w:pPr>
        <w:shd w:val="clear" w:color="auto" w:fill="FFFFFF"/>
        <w:spacing w:before="100" w:beforeAutospacing="1" w:after="100" w:afterAutospacing="1"/>
        <w:jc w:val="both"/>
        <w:rPr>
          <w:rFonts w:ascii="Arial" w:eastAsia="Times New Roman" w:hAnsi="Arial" w:cs="Arial"/>
          <w:i/>
          <w:iCs/>
          <w:color w:val="000000"/>
          <w:sz w:val="20"/>
          <w:szCs w:val="22"/>
        </w:rPr>
      </w:pPr>
    </w:p>
    <w:p w14:paraId="3D86E8A3" w14:textId="45A73B04" w:rsidR="00F9517F" w:rsidRPr="001C7628" w:rsidRDefault="00FF6DF7" w:rsidP="007430F9">
      <w:pPr>
        <w:shd w:val="clear" w:color="auto" w:fill="FFFFFF"/>
        <w:spacing w:before="100" w:beforeAutospacing="1" w:after="100" w:afterAutospacing="1"/>
        <w:jc w:val="center"/>
        <w:rPr>
          <w:rFonts w:ascii="Arial" w:eastAsia="Times New Roman" w:hAnsi="Arial" w:cs="Arial"/>
          <w:i/>
          <w:iCs/>
          <w:color w:val="000000"/>
          <w:sz w:val="20"/>
          <w:szCs w:val="22"/>
        </w:rPr>
      </w:pPr>
      <w:r w:rsidRPr="001C7628">
        <w:rPr>
          <w:rFonts w:ascii="Arial" w:eastAsia="Times New Roman" w:hAnsi="Arial" w:cs="Arial"/>
          <w:i/>
          <w:iCs/>
          <w:color w:val="000000"/>
          <w:sz w:val="20"/>
          <w:szCs w:val="22"/>
        </w:rPr>
        <w:br/>
      </w:r>
      <w:r w:rsidR="007430F9">
        <w:rPr>
          <w:rFonts w:ascii="Arial" w:eastAsia="Times New Roman" w:hAnsi="Arial" w:cs="Arial"/>
          <w:i/>
          <w:iCs/>
          <w:color w:val="000000"/>
          <w:sz w:val="20"/>
          <w:szCs w:val="22"/>
        </w:rPr>
        <w:t>-30-</w:t>
      </w:r>
    </w:p>
    <w:sectPr w:rsidR="00F9517F" w:rsidRPr="001C7628" w:rsidSect="004F527C">
      <w:headerReference w:type="default" r:id="rId11"/>
      <w:footerReference w:type="default" r:id="rId12"/>
      <w:headerReference w:type="first" r:id="rId13"/>
      <w:footerReference w:type="first" r:id="rId14"/>
      <w:pgSz w:w="12240" w:h="15840"/>
      <w:pgMar w:top="1530" w:right="720" w:bottom="720" w:left="720" w:header="360" w:footer="8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6A150" w14:textId="77777777" w:rsidR="001F2FB1" w:rsidRDefault="001F2FB1" w:rsidP="003E0787">
      <w:r>
        <w:separator/>
      </w:r>
    </w:p>
  </w:endnote>
  <w:endnote w:type="continuationSeparator" w:id="0">
    <w:p w14:paraId="0F64B7A5" w14:textId="77777777" w:rsidR="001F2FB1" w:rsidRDefault="001F2FB1" w:rsidP="003E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619887"/>
      <w:docPartObj>
        <w:docPartGallery w:val="Page Numbers (Bottom of Page)"/>
        <w:docPartUnique/>
      </w:docPartObj>
    </w:sdtPr>
    <w:sdtEndPr>
      <w:rPr>
        <w:rFonts w:ascii="Arial" w:hAnsi="Arial" w:cs="Arial"/>
        <w:noProof/>
        <w:sz w:val="22"/>
      </w:rPr>
    </w:sdtEndPr>
    <w:sdtContent>
      <w:p w14:paraId="01E0902F" w14:textId="12906F7F" w:rsidR="004F527C" w:rsidRPr="004F527C" w:rsidRDefault="004F527C">
        <w:pPr>
          <w:pStyle w:val="Footer"/>
          <w:jc w:val="center"/>
          <w:rPr>
            <w:rFonts w:ascii="Arial" w:hAnsi="Arial" w:cs="Arial"/>
            <w:sz w:val="22"/>
          </w:rPr>
        </w:pPr>
        <w:r w:rsidRPr="004F527C">
          <w:rPr>
            <w:rFonts w:ascii="Arial" w:hAnsi="Arial" w:cs="Arial"/>
            <w:sz w:val="22"/>
          </w:rPr>
          <w:fldChar w:fldCharType="begin"/>
        </w:r>
        <w:r w:rsidRPr="004F527C">
          <w:rPr>
            <w:rFonts w:ascii="Arial" w:hAnsi="Arial" w:cs="Arial"/>
            <w:sz w:val="22"/>
          </w:rPr>
          <w:instrText xml:space="preserve"> PAGE   \* MERGEFORMAT </w:instrText>
        </w:r>
        <w:r w:rsidRPr="004F527C">
          <w:rPr>
            <w:rFonts w:ascii="Arial" w:hAnsi="Arial" w:cs="Arial"/>
            <w:sz w:val="22"/>
          </w:rPr>
          <w:fldChar w:fldCharType="separate"/>
        </w:r>
        <w:r w:rsidRPr="004F527C">
          <w:rPr>
            <w:rFonts w:ascii="Arial" w:hAnsi="Arial" w:cs="Arial"/>
            <w:noProof/>
            <w:sz w:val="22"/>
          </w:rPr>
          <w:t>2</w:t>
        </w:r>
        <w:r w:rsidRPr="004F527C">
          <w:rPr>
            <w:rFonts w:ascii="Arial" w:hAnsi="Arial" w:cs="Arial"/>
            <w:noProof/>
            <w:sz w:val="22"/>
          </w:rPr>
          <w:fldChar w:fldCharType="end"/>
        </w:r>
      </w:p>
    </w:sdtContent>
  </w:sdt>
  <w:p w14:paraId="1BFE3268" w14:textId="77777777" w:rsidR="004F527C" w:rsidRDefault="004F5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597281"/>
      <w:docPartObj>
        <w:docPartGallery w:val="Page Numbers (Bottom of Page)"/>
        <w:docPartUnique/>
      </w:docPartObj>
    </w:sdtPr>
    <w:sdtEndPr>
      <w:rPr>
        <w:rFonts w:ascii="Arial" w:hAnsi="Arial" w:cs="Arial"/>
        <w:noProof/>
        <w:sz w:val="22"/>
      </w:rPr>
    </w:sdtEndPr>
    <w:sdtContent>
      <w:p w14:paraId="6C0D79D5" w14:textId="35BE0030" w:rsidR="004F527C" w:rsidRPr="004F527C" w:rsidRDefault="004F527C">
        <w:pPr>
          <w:pStyle w:val="Footer"/>
          <w:jc w:val="center"/>
          <w:rPr>
            <w:rFonts w:ascii="Arial" w:hAnsi="Arial" w:cs="Arial"/>
            <w:sz w:val="22"/>
          </w:rPr>
        </w:pPr>
        <w:r w:rsidRPr="004F527C">
          <w:rPr>
            <w:rFonts w:ascii="Arial" w:hAnsi="Arial" w:cs="Arial"/>
            <w:sz w:val="22"/>
          </w:rPr>
          <w:fldChar w:fldCharType="begin"/>
        </w:r>
        <w:r w:rsidRPr="004F527C">
          <w:rPr>
            <w:rFonts w:ascii="Arial" w:hAnsi="Arial" w:cs="Arial"/>
            <w:sz w:val="22"/>
          </w:rPr>
          <w:instrText xml:space="preserve"> PAGE   \* MERGEFORMAT </w:instrText>
        </w:r>
        <w:r w:rsidRPr="004F527C">
          <w:rPr>
            <w:rFonts w:ascii="Arial" w:hAnsi="Arial" w:cs="Arial"/>
            <w:sz w:val="22"/>
          </w:rPr>
          <w:fldChar w:fldCharType="separate"/>
        </w:r>
        <w:r w:rsidRPr="004F527C">
          <w:rPr>
            <w:rFonts w:ascii="Arial" w:hAnsi="Arial" w:cs="Arial"/>
            <w:noProof/>
            <w:sz w:val="22"/>
          </w:rPr>
          <w:t>2</w:t>
        </w:r>
        <w:r w:rsidRPr="004F527C">
          <w:rPr>
            <w:rFonts w:ascii="Arial" w:hAnsi="Arial" w:cs="Arial"/>
            <w:noProof/>
            <w:sz w:val="22"/>
          </w:rPr>
          <w:fldChar w:fldCharType="end"/>
        </w:r>
      </w:p>
    </w:sdtContent>
  </w:sdt>
  <w:p w14:paraId="2329FA07" w14:textId="77777777" w:rsidR="004F527C" w:rsidRDefault="004F5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B6D9F" w14:textId="77777777" w:rsidR="001F2FB1" w:rsidRDefault="001F2FB1" w:rsidP="003E0787">
      <w:r>
        <w:separator/>
      </w:r>
    </w:p>
  </w:footnote>
  <w:footnote w:type="continuationSeparator" w:id="0">
    <w:p w14:paraId="318E9C36" w14:textId="77777777" w:rsidR="001F2FB1" w:rsidRDefault="001F2FB1" w:rsidP="003E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A91F" w14:textId="7F366F65" w:rsidR="003E0787" w:rsidRPr="004F527C" w:rsidRDefault="004F527C" w:rsidP="004F527C">
    <w:pPr>
      <w:pStyle w:val="Header"/>
      <w:jc w:val="right"/>
      <w:rPr>
        <w:lang w:val="en-CA"/>
      </w:rPr>
    </w:pPr>
    <w:proofErr w:type="gramStart"/>
    <w:r>
      <w:rPr>
        <w:lang w:val="en-CA"/>
      </w:rPr>
      <w:t>CSE :</w:t>
    </w:r>
    <w:proofErr w:type="gramEnd"/>
    <w:r>
      <w:rPr>
        <w:lang w:val="en-CA"/>
      </w:rPr>
      <w:t xml:space="preserve"> CGOC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F527C" w14:paraId="16777296" w14:textId="77777777" w:rsidTr="00C91C0C">
      <w:trPr>
        <w:trHeight w:val="1172"/>
      </w:trPr>
      <w:tc>
        <w:tcPr>
          <w:tcW w:w="5395" w:type="dxa"/>
          <w:vAlign w:val="center"/>
        </w:tcPr>
        <w:p w14:paraId="769595E0" w14:textId="77777777" w:rsidR="004F527C" w:rsidRDefault="004F527C" w:rsidP="004F527C">
          <w:pPr>
            <w:pStyle w:val="Header"/>
          </w:pPr>
          <w:r>
            <w:rPr>
              <w:rFonts w:ascii="Avenir Next" w:hAnsi="Avenir Next"/>
              <w:b/>
              <w:noProof/>
              <w:sz w:val="22"/>
              <w:szCs w:val="22"/>
            </w:rPr>
            <w:drawing>
              <wp:inline distT="0" distB="0" distL="0" distR="0" wp14:anchorId="12ECDC00" wp14:editId="23C09609">
                <wp:extent cx="2671638" cy="650619"/>
                <wp:effectExtent l="0" t="0" r="0" b="0"/>
                <wp:docPr id="40" name="Picture 40"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nabisGrowth-CMYK-H-Logo.R2.jpg"/>
                        <pic:cNvPicPr/>
                      </pic:nvPicPr>
                      <pic:blipFill>
                        <a:blip r:embed="rId1">
                          <a:extLst>
                            <a:ext uri="{28A0092B-C50C-407E-A947-70E740481C1C}">
                              <a14:useLocalDpi xmlns:a14="http://schemas.microsoft.com/office/drawing/2010/main" val="0"/>
                            </a:ext>
                          </a:extLst>
                        </a:blip>
                        <a:stretch>
                          <a:fillRect/>
                        </a:stretch>
                      </pic:blipFill>
                      <pic:spPr>
                        <a:xfrm>
                          <a:off x="0" y="0"/>
                          <a:ext cx="2724583" cy="663513"/>
                        </a:xfrm>
                        <a:prstGeom prst="rect">
                          <a:avLst/>
                        </a:prstGeom>
                      </pic:spPr>
                    </pic:pic>
                  </a:graphicData>
                </a:graphic>
              </wp:inline>
            </w:drawing>
          </w:r>
        </w:p>
      </w:tc>
      <w:tc>
        <w:tcPr>
          <w:tcW w:w="5395" w:type="dxa"/>
          <w:vAlign w:val="center"/>
        </w:tcPr>
        <w:p w14:paraId="63A39AD3" w14:textId="77777777" w:rsidR="004F527C" w:rsidRPr="003E0787" w:rsidRDefault="004F527C" w:rsidP="004F527C">
          <w:pPr>
            <w:pStyle w:val="Header"/>
            <w:jc w:val="right"/>
            <w:rPr>
              <w:b/>
              <w:color w:val="7F7F7F" w:themeColor="text1" w:themeTint="80"/>
            </w:rPr>
          </w:pPr>
          <w:proofErr w:type="gramStart"/>
          <w:r w:rsidRPr="003E0787">
            <w:rPr>
              <w:b/>
              <w:color w:val="7F7F7F" w:themeColor="text1" w:themeTint="80"/>
              <w:sz w:val="32"/>
            </w:rPr>
            <w:t>CSE :</w:t>
          </w:r>
          <w:proofErr w:type="gramEnd"/>
          <w:r w:rsidRPr="003E0787">
            <w:rPr>
              <w:b/>
              <w:color w:val="7F7F7F" w:themeColor="text1" w:themeTint="80"/>
              <w:sz w:val="32"/>
            </w:rPr>
            <w:t xml:space="preserve"> CGOC</w:t>
          </w:r>
        </w:p>
      </w:tc>
    </w:tr>
  </w:tbl>
  <w:p w14:paraId="7F73A779" w14:textId="356F46E8" w:rsidR="004F527C" w:rsidRPr="003E0787" w:rsidRDefault="004F527C" w:rsidP="004F527C">
    <w:pPr>
      <w:rPr>
        <w:rFonts w:ascii="Avenir Next" w:hAnsi="Avenir Next"/>
        <w:szCs w:val="22"/>
      </w:rPr>
    </w:pPr>
    <w:r>
      <w:rPr>
        <w:rFonts w:ascii="Avenir Next" w:hAnsi="Avenir Next"/>
        <w:szCs w:val="22"/>
      </w:rPr>
      <w:t>PRESS RELEASE</w:t>
    </w:r>
    <w:r w:rsidRPr="003E0787">
      <w:rPr>
        <w:rFonts w:ascii="Avenir Next" w:hAnsi="Avenir Next"/>
        <w:szCs w:val="22"/>
      </w:rPr>
      <w:t xml:space="preserve"> – </w:t>
    </w:r>
    <w:r>
      <w:rPr>
        <w:rFonts w:ascii="Avenir Next" w:hAnsi="Avenir Next"/>
        <w:szCs w:val="22"/>
      </w:rPr>
      <w:t xml:space="preserve">November </w:t>
    </w:r>
    <w:r w:rsidR="00CC33FC">
      <w:rPr>
        <w:rFonts w:ascii="Avenir Next" w:hAnsi="Avenir Next"/>
        <w:szCs w:val="22"/>
      </w:rPr>
      <w:t>20</w:t>
    </w:r>
    <w:r w:rsidRPr="003E0787">
      <w:rPr>
        <w:rFonts w:ascii="Avenir Next" w:hAnsi="Avenir Next"/>
        <w:szCs w:val="22"/>
      </w:rPr>
      <w:t>, 2018</w:t>
    </w:r>
  </w:p>
  <w:p w14:paraId="49059438" w14:textId="77777777" w:rsidR="004F527C" w:rsidRDefault="004F5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F59F7"/>
    <w:multiLevelType w:val="hybridMultilevel"/>
    <w:tmpl w:val="307432F6"/>
    <w:lvl w:ilvl="0" w:tplc="631A3ABC">
      <w:start w:val="1"/>
      <w:numFmt w:val="bullet"/>
      <w:lvlText w:val="​"/>
      <w:lvlJc w:val="left"/>
      <w:pPr>
        <w:tabs>
          <w:tab w:val="num" w:pos="720"/>
        </w:tabs>
        <w:ind w:left="720" w:hanging="360"/>
      </w:pPr>
      <w:rPr>
        <w:rFonts w:ascii="Open Sans" w:hAnsi="Open Sans" w:hint="default"/>
      </w:rPr>
    </w:lvl>
    <w:lvl w:ilvl="1" w:tplc="AB322870" w:tentative="1">
      <w:start w:val="1"/>
      <w:numFmt w:val="bullet"/>
      <w:lvlText w:val="​"/>
      <w:lvlJc w:val="left"/>
      <w:pPr>
        <w:tabs>
          <w:tab w:val="num" w:pos="1440"/>
        </w:tabs>
        <w:ind w:left="1440" w:hanging="360"/>
      </w:pPr>
      <w:rPr>
        <w:rFonts w:ascii="Open Sans" w:hAnsi="Open Sans" w:hint="default"/>
      </w:rPr>
    </w:lvl>
    <w:lvl w:ilvl="2" w:tplc="A89855FA" w:tentative="1">
      <w:start w:val="1"/>
      <w:numFmt w:val="bullet"/>
      <w:lvlText w:val="​"/>
      <w:lvlJc w:val="left"/>
      <w:pPr>
        <w:tabs>
          <w:tab w:val="num" w:pos="2160"/>
        </w:tabs>
        <w:ind w:left="2160" w:hanging="360"/>
      </w:pPr>
      <w:rPr>
        <w:rFonts w:ascii="Open Sans" w:hAnsi="Open Sans" w:hint="default"/>
      </w:rPr>
    </w:lvl>
    <w:lvl w:ilvl="3" w:tplc="DDD4AEB8" w:tentative="1">
      <w:start w:val="1"/>
      <w:numFmt w:val="bullet"/>
      <w:lvlText w:val="​"/>
      <w:lvlJc w:val="left"/>
      <w:pPr>
        <w:tabs>
          <w:tab w:val="num" w:pos="2880"/>
        </w:tabs>
        <w:ind w:left="2880" w:hanging="360"/>
      </w:pPr>
      <w:rPr>
        <w:rFonts w:ascii="Open Sans" w:hAnsi="Open Sans" w:hint="default"/>
      </w:rPr>
    </w:lvl>
    <w:lvl w:ilvl="4" w:tplc="5412B8BE" w:tentative="1">
      <w:start w:val="1"/>
      <w:numFmt w:val="bullet"/>
      <w:lvlText w:val="​"/>
      <w:lvlJc w:val="left"/>
      <w:pPr>
        <w:tabs>
          <w:tab w:val="num" w:pos="3600"/>
        </w:tabs>
        <w:ind w:left="3600" w:hanging="360"/>
      </w:pPr>
      <w:rPr>
        <w:rFonts w:ascii="Open Sans" w:hAnsi="Open Sans" w:hint="default"/>
      </w:rPr>
    </w:lvl>
    <w:lvl w:ilvl="5" w:tplc="F6CEFD6A" w:tentative="1">
      <w:start w:val="1"/>
      <w:numFmt w:val="bullet"/>
      <w:lvlText w:val="​"/>
      <w:lvlJc w:val="left"/>
      <w:pPr>
        <w:tabs>
          <w:tab w:val="num" w:pos="4320"/>
        </w:tabs>
        <w:ind w:left="4320" w:hanging="360"/>
      </w:pPr>
      <w:rPr>
        <w:rFonts w:ascii="Open Sans" w:hAnsi="Open Sans" w:hint="default"/>
      </w:rPr>
    </w:lvl>
    <w:lvl w:ilvl="6" w:tplc="596CF384" w:tentative="1">
      <w:start w:val="1"/>
      <w:numFmt w:val="bullet"/>
      <w:lvlText w:val="​"/>
      <w:lvlJc w:val="left"/>
      <w:pPr>
        <w:tabs>
          <w:tab w:val="num" w:pos="5040"/>
        </w:tabs>
        <w:ind w:left="5040" w:hanging="360"/>
      </w:pPr>
      <w:rPr>
        <w:rFonts w:ascii="Open Sans" w:hAnsi="Open Sans" w:hint="default"/>
      </w:rPr>
    </w:lvl>
    <w:lvl w:ilvl="7" w:tplc="C2D28648" w:tentative="1">
      <w:start w:val="1"/>
      <w:numFmt w:val="bullet"/>
      <w:lvlText w:val="​"/>
      <w:lvlJc w:val="left"/>
      <w:pPr>
        <w:tabs>
          <w:tab w:val="num" w:pos="5760"/>
        </w:tabs>
        <w:ind w:left="5760" w:hanging="360"/>
      </w:pPr>
      <w:rPr>
        <w:rFonts w:ascii="Open Sans" w:hAnsi="Open Sans" w:hint="default"/>
      </w:rPr>
    </w:lvl>
    <w:lvl w:ilvl="8" w:tplc="FF168780" w:tentative="1">
      <w:start w:val="1"/>
      <w:numFmt w:val="bullet"/>
      <w:lvlText w:val="​"/>
      <w:lvlJc w:val="left"/>
      <w:pPr>
        <w:tabs>
          <w:tab w:val="num" w:pos="6480"/>
        </w:tabs>
        <w:ind w:left="6480" w:hanging="360"/>
      </w:pPr>
      <w:rPr>
        <w:rFonts w:ascii="Open Sans" w:hAnsi="Open San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00"/>
    <w:rsid w:val="00002BCE"/>
    <w:rsid w:val="000070AF"/>
    <w:rsid w:val="00034FF5"/>
    <w:rsid w:val="0006625D"/>
    <w:rsid w:val="000A046B"/>
    <w:rsid w:val="000B2E37"/>
    <w:rsid w:val="000B5E4F"/>
    <w:rsid w:val="000B63C1"/>
    <w:rsid w:val="000D4CCD"/>
    <w:rsid w:val="000E2558"/>
    <w:rsid w:val="000E7869"/>
    <w:rsid w:val="001021C4"/>
    <w:rsid w:val="00104ED6"/>
    <w:rsid w:val="00112B2F"/>
    <w:rsid w:val="0016140B"/>
    <w:rsid w:val="0016578D"/>
    <w:rsid w:val="00167B79"/>
    <w:rsid w:val="001B0847"/>
    <w:rsid w:val="001C7628"/>
    <w:rsid w:val="001E6A7C"/>
    <w:rsid w:val="001F2E9C"/>
    <w:rsid w:val="001F2FB1"/>
    <w:rsid w:val="0020541C"/>
    <w:rsid w:val="0021394B"/>
    <w:rsid w:val="00216D74"/>
    <w:rsid w:val="00217C8A"/>
    <w:rsid w:val="0023110A"/>
    <w:rsid w:val="00235E48"/>
    <w:rsid w:val="00237160"/>
    <w:rsid w:val="002547F4"/>
    <w:rsid w:val="00257726"/>
    <w:rsid w:val="00267511"/>
    <w:rsid w:val="00275A5D"/>
    <w:rsid w:val="002A55E3"/>
    <w:rsid w:val="002C16B9"/>
    <w:rsid w:val="002E4BEB"/>
    <w:rsid w:val="002F0241"/>
    <w:rsid w:val="002F632F"/>
    <w:rsid w:val="00305850"/>
    <w:rsid w:val="00317D54"/>
    <w:rsid w:val="00323AF0"/>
    <w:rsid w:val="00355C99"/>
    <w:rsid w:val="003D4922"/>
    <w:rsid w:val="003D7835"/>
    <w:rsid w:val="003E0787"/>
    <w:rsid w:val="003E6150"/>
    <w:rsid w:val="003E69AA"/>
    <w:rsid w:val="003E75DE"/>
    <w:rsid w:val="003F6B5B"/>
    <w:rsid w:val="004011E6"/>
    <w:rsid w:val="00402749"/>
    <w:rsid w:val="004232B3"/>
    <w:rsid w:val="0044061C"/>
    <w:rsid w:val="00440FF6"/>
    <w:rsid w:val="004413B2"/>
    <w:rsid w:val="004545CA"/>
    <w:rsid w:val="004672EE"/>
    <w:rsid w:val="004A2303"/>
    <w:rsid w:val="004B6AF8"/>
    <w:rsid w:val="004C148A"/>
    <w:rsid w:val="004C6022"/>
    <w:rsid w:val="004E2A52"/>
    <w:rsid w:val="004F527C"/>
    <w:rsid w:val="005175BC"/>
    <w:rsid w:val="00530309"/>
    <w:rsid w:val="00533F32"/>
    <w:rsid w:val="005374FE"/>
    <w:rsid w:val="00541C46"/>
    <w:rsid w:val="005473DB"/>
    <w:rsid w:val="00583D72"/>
    <w:rsid w:val="00597433"/>
    <w:rsid w:val="005D069D"/>
    <w:rsid w:val="0060655F"/>
    <w:rsid w:val="00615D76"/>
    <w:rsid w:val="0062299A"/>
    <w:rsid w:val="00635077"/>
    <w:rsid w:val="00650697"/>
    <w:rsid w:val="00651083"/>
    <w:rsid w:val="00652839"/>
    <w:rsid w:val="00660BE9"/>
    <w:rsid w:val="00675B60"/>
    <w:rsid w:val="00686ED7"/>
    <w:rsid w:val="0069031B"/>
    <w:rsid w:val="006D43A5"/>
    <w:rsid w:val="006D7D5E"/>
    <w:rsid w:val="006E65DC"/>
    <w:rsid w:val="006F7025"/>
    <w:rsid w:val="00710823"/>
    <w:rsid w:val="00736D10"/>
    <w:rsid w:val="007430F9"/>
    <w:rsid w:val="00743515"/>
    <w:rsid w:val="00743A5F"/>
    <w:rsid w:val="00746085"/>
    <w:rsid w:val="00754D50"/>
    <w:rsid w:val="007749F1"/>
    <w:rsid w:val="00782D0A"/>
    <w:rsid w:val="007933F6"/>
    <w:rsid w:val="00795568"/>
    <w:rsid w:val="0079585A"/>
    <w:rsid w:val="007A6C04"/>
    <w:rsid w:val="007B7EEB"/>
    <w:rsid w:val="007E0E1E"/>
    <w:rsid w:val="00844B55"/>
    <w:rsid w:val="00855969"/>
    <w:rsid w:val="0086013F"/>
    <w:rsid w:val="0087303A"/>
    <w:rsid w:val="0087389C"/>
    <w:rsid w:val="0089014B"/>
    <w:rsid w:val="008A3FEA"/>
    <w:rsid w:val="008E3B97"/>
    <w:rsid w:val="008F74D6"/>
    <w:rsid w:val="00902764"/>
    <w:rsid w:val="00910800"/>
    <w:rsid w:val="0091706D"/>
    <w:rsid w:val="009231C1"/>
    <w:rsid w:val="00923B96"/>
    <w:rsid w:val="00923F4E"/>
    <w:rsid w:val="009252B1"/>
    <w:rsid w:val="00932555"/>
    <w:rsid w:val="009740BA"/>
    <w:rsid w:val="009B35D3"/>
    <w:rsid w:val="009C08D2"/>
    <w:rsid w:val="009C3577"/>
    <w:rsid w:val="009C4210"/>
    <w:rsid w:val="009E4529"/>
    <w:rsid w:val="009E7F8A"/>
    <w:rsid w:val="00A0316A"/>
    <w:rsid w:val="00A4776A"/>
    <w:rsid w:val="00A528C5"/>
    <w:rsid w:val="00A528FF"/>
    <w:rsid w:val="00A76062"/>
    <w:rsid w:val="00A95824"/>
    <w:rsid w:val="00AA2AAC"/>
    <w:rsid w:val="00AA4F8B"/>
    <w:rsid w:val="00AD5A2B"/>
    <w:rsid w:val="00AE1F76"/>
    <w:rsid w:val="00AE5760"/>
    <w:rsid w:val="00AF7424"/>
    <w:rsid w:val="00B03533"/>
    <w:rsid w:val="00B14E90"/>
    <w:rsid w:val="00B20757"/>
    <w:rsid w:val="00B65CBC"/>
    <w:rsid w:val="00B75CF2"/>
    <w:rsid w:val="00B9208C"/>
    <w:rsid w:val="00BB6280"/>
    <w:rsid w:val="00BB758F"/>
    <w:rsid w:val="00BD7676"/>
    <w:rsid w:val="00BE3A8F"/>
    <w:rsid w:val="00BF62C1"/>
    <w:rsid w:val="00C31E6D"/>
    <w:rsid w:val="00C46164"/>
    <w:rsid w:val="00C511CE"/>
    <w:rsid w:val="00C52046"/>
    <w:rsid w:val="00C54BCF"/>
    <w:rsid w:val="00C62541"/>
    <w:rsid w:val="00C75795"/>
    <w:rsid w:val="00C75D69"/>
    <w:rsid w:val="00CA1499"/>
    <w:rsid w:val="00CA58E3"/>
    <w:rsid w:val="00CC33FC"/>
    <w:rsid w:val="00CE60D2"/>
    <w:rsid w:val="00CE6853"/>
    <w:rsid w:val="00CF2EB6"/>
    <w:rsid w:val="00CF3097"/>
    <w:rsid w:val="00D35499"/>
    <w:rsid w:val="00D865E2"/>
    <w:rsid w:val="00DB6C5A"/>
    <w:rsid w:val="00DE78C5"/>
    <w:rsid w:val="00E04708"/>
    <w:rsid w:val="00E33515"/>
    <w:rsid w:val="00E35F2B"/>
    <w:rsid w:val="00E531C6"/>
    <w:rsid w:val="00E5564B"/>
    <w:rsid w:val="00E66B4C"/>
    <w:rsid w:val="00E736BC"/>
    <w:rsid w:val="00E971F2"/>
    <w:rsid w:val="00EB0740"/>
    <w:rsid w:val="00EC0616"/>
    <w:rsid w:val="00EC7FA0"/>
    <w:rsid w:val="00EE690A"/>
    <w:rsid w:val="00EF1D14"/>
    <w:rsid w:val="00F04EC7"/>
    <w:rsid w:val="00F173B7"/>
    <w:rsid w:val="00F244FC"/>
    <w:rsid w:val="00F449CF"/>
    <w:rsid w:val="00F736C5"/>
    <w:rsid w:val="00F9517F"/>
    <w:rsid w:val="00FB4E35"/>
    <w:rsid w:val="00FB7821"/>
    <w:rsid w:val="00FC0C2F"/>
    <w:rsid w:val="00FD399B"/>
    <w:rsid w:val="00FE1B78"/>
    <w:rsid w:val="00FE2720"/>
    <w:rsid w:val="00FF1F63"/>
    <w:rsid w:val="00FF4D0E"/>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8ABCF"/>
  <w14:defaultImageDpi w14:val="32767"/>
  <w15:chartTrackingRefBased/>
  <w15:docId w15:val="{B69C7617-A40A-464F-9830-CCA8EAAB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EC7FA0"/>
    <w:pPr>
      <w:keepNext/>
      <w:outlineLvl w:val="3"/>
    </w:pPr>
    <w:rPr>
      <w:rFonts w:ascii="Times New Roman" w:eastAsia="MS Mincho"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17F"/>
    <w:rPr>
      <w:color w:val="0563C1" w:themeColor="hyperlink"/>
      <w:u w:val="single"/>
    </w:rPr>
  </w:style>
  <w:style w:type="character" w:styleId="UnresolvedMention">
    <w:name w:val="Unresolved Mention"/>
    <w:basedOn w:val="DefaultParagraphFont"/>
    <w:uiPriority w:val="99"/>
    <w:rsid w:val="00F9517F"/>
    <w:rPr>
      <w:color w:val="605E5C"/>
      <w:shd w:val="clear" w:color="auto" w:fill="E1DFDD"/>
    </w:rPr>
  </w:style>
  <w:style w:type="paragraph" w:styleId="NormalWeb">
    <w:name w:val="Normal (Web)"/>
    <w:basedOn w:val="Normal"/>
    <w:uiPriority w:val="99"/>
    <w:unhideWhenUsed/>
    <w:rsid w:val="00FF6DF7"/>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FF6DF7"/>
    <w:rPr>
      <w:b/>
      <w:bCs/>
    </w:rPr>
  </w:style>
  <w:style w:type="character" w:styleId="FollowedHyperlink">
    <w:name w:val="FollowedHyperlink"/>
    <w:basedOn w:val="DefaultParagraphFont"/>
    <w:uiPriority w:val="99"/>
    <w:semiHidden/>
    <w:unhideWhenUsed/>
    <w:rsid w:val="00A95824"/>
    <w:rPr>
      <w:color w:val="954F72" w:themeColor="followedHyperlink"/>
      <w:u w:val="single"/>
    </w:rPr>
  </w:style>
  <w:style w:type="paragraph" w:styleId="BalloonText">
    <w:name w:val="Balloon Text"/>
    <w:basedOn w:val="Normal"/>
    <w:link w:val="BalloonTextChar"/>
    <w:uiPriority w:val="99"/>
    <w:semiHidden/>
    <w:unhideWhenUsed/>
    <w:rsid w:val="00CA58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58E3"/>
    <w:rPr>
      <w:rFonts w:ascii="Times New Roman" w:hAnsi="Times New Roman" w:cs="Times New Roman"/>
      <w:sz w:val="18"/>
      <w:szCs w:val="18"/>
    </w:rPr>
  </w:style>
  <w:style w:type="paragraph" w:styleId="Revision">
    <w:name w:val="Revision"/>
    <w:hidden/>
    <w:uiPriority w:val="99"/>
    <w:semiHidden/>
    <w:rsid w:val="00EB0740"/>
  </w:style>
  <w:style w:type="character" w:customStyle="1" w:styleId="aqj">
    <w:name w:val="aqj"/>
    <w:basedOn w:val="DefaultParagraphFont"/>
    <w:rsid w:val="008E3B97"/>
  </w:style>
  <w:style w:type="paragraph" w:styleId="Header">
    <w:name w:val="header"/>
    <w:basedOn w:val="Normal"/>
    <w:link w:val="HeaderChar"/>
    <w:uiPriority w:val="99"/>
    <w:unhideWhenUsed/>
    <w:rsid w:val="003E0787"/>
    <w:pPr>
      <w:tabs>
        <w:tab w:val="center" w:pos="4680"/>
        <w:tab w:val="right" w:pos="9360"/>
      </w:tabs>
    </w:pPr>
  </w:style>
  <w:style w:type="character" w:customStyle="1" w:styleId="HeaderChar">
    <w:name w:val="Header Char"/>
    <w:basedOn w:val="DefaultParagraphFont"/>
    <w:link w:val="Header"/>
    <w:uiPriority w:val="99"/>
    <w:rsid w:val="003E0787"/>
  </w:style>
  <w:style w:type="paragraph" w:styleId="Footer">
    <w:name w:val="footer"/>
    <w:basedOn w:val="Normal"/>
    <w:link w:val="FooterChar"/>
    <w:uiPriority w:val="99"/>
    <w:unhideWhenUsed/>
    <w:rsid w:val="003E0787"/>
    <w:pPr>
      <w:tabs>
        <w:tab w:val="center" w:pos="4680"/>
        <w:tab w:val="right" w:pos="9360"/>
      </w:tabs>
    </w:pPr>
  </w:style>
  <w:style w:type="character" w:customStyle="1" w:styleId="FooterChar">
    <w:name w:val="Footer Char"/>
    <w:basedOn w:val="DefaultParagraphFont"/>
    <w:link w:val="Footer"/>
    <w:uiPriority w:val="99"/>
    <w:rsid w:val="003E0787"/>
  </w:style>
  <w:style w:type="table" w:styleId="TableGrid">
    <w:name w:val="Table Grid"/>
    <w:basedOn w:val="TableNormal"/>
    <w:uiPriority w:val="39"/>
    <w:rsid w:val="003E0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44FC"/>
    <w:rPr>
      <w:i/>
      <w:iCs/>
    </w:rPr>
  </w:style>
  <w:style w:type="character" w:customStyle="1" w:styleId="Heading4Char">
    <w:name w:val="Heading 4 Char"/>
    <w:basedOn w:val="DefaultParagraphFont"/>
    <w:link w:val="Heading4"/>
    <w:rsid w:val="00EC7FA0"/>
    <w:rPr>
      <w:rFonts w:ascii="Times New Roman" w:eastAsia="MS Mincho"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47121">
      <w:bodyDiv w:val="1"/>
      <w:marLeft w:val="0"/>
      <w:marRight w:val="0"/>
      <w:marTop w:val="0"/>
      <w:marBottom w:val="0"/>
      <w:divBdr>
        <w:top w:val="none" w:sz="0" w:space="0" w:color="auto"/>
        <w:left w:val="none" w:sz="0" w:space="0" w:color="auto"/>
        <w:bottom w:val="none" w:sz="0" w:space="0" w:color="auto"/>
        <w:right w:val="none" w:sz="0" w:space="0" w:color="auto"/>
      </w:divBdr>
    </w:div>
    <w:div w:id="539434330">
      <w:bodyDiv w:val="1"/>
      <w:marLeft w:val="0"/>
      <w:marRight w:val="0"/>
      <w:marTop w:val="0"/>
      <w:marBottom w:val="0"/>
      <w:divBdr>
        <w:top w:val="none" w:sz="0" w:space="0" w:color="auto"/>
        <w:left w:val="none" w:sz="0" w:space="0" w:color="auto"/>
        <w:bottom w:val="none" w:sz="0" w:space="0" w:color="auto"/>
        <w:right w:val="none" w:sz="0" w:space="0" w:color="auto"/>
      </w:divBdr>
      <w:divsChild>
        <w:div w:id="1576478772">
          <w:marLeft w:val="0"/>
          <w:marRight w:val="0"/>
          <w:marTop w:val="200"/>
          <w:marBottom w:val="0"/>
          <w:divBdr>
            <w:top w:val="none" w:sz="0" w:space="0" w:color="auto"/>
            <w:left w:val="none" w:sz="0" w:space="0" w:color="auto"/>
            <w:bottom w:val="none" w:sz="0" w:space="0" w:color="auto"/>
            <w:right w:val="none" w:sz="0" w:space="0" w:color="auto"/>
          </w:divBdr>
        </w:div>
        <w:div w:id="738789304">
          <w:marLeft w:val="0"/>
          <w:marRight w:val="0"/>
          <w:marTop w:val="200"/>
          <w:marBottom w:val="0"/>
          <w:divBdr>
            <w:top w:val="none" w:sz="0" w:space="0" w:color="auto"/>
            <w:left w:val="none" w:sz="0" w:space="0" w:color="auto"/>
            <w:bottom w:val="none" w:sz="0" w:space="0" w:color="auto"/>
            <w:right w:val="none" w:sz="0" w:space="0" w:color="auto"/>
          </w:divBdr>
        </w:div>
      </w:divsChild>
    </w:div>
    <w:div w:id="951059028">
      <w:bodyDiv w:val="1"/>
      <w:marLeft w:val="0"/>
      <w:marRight w:val="0"/>
      <w:marTop w:val="0"/>
      <w:marBottom w:val="0"/>
      <w:divBdr>
        <w:top w:val="none" w:sz="0" w:space="0" w:color="auto"/>
        <w:left w:val="none" w:sz="0" w:space="0" w:color="auto"/>
        <w:bottom w:val="none" w:sz="0" w:space="0" w:color="auto"/>
        <w:right w:val="none" w:sz="0" w:space="0" w:color="auto"/>
      </w:divBdr>
      <w:divsChild>
        <w:div w:id="200817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824235">
              <w:marLeft w:val="0"/>
              <w:marRight w:val="0"/>
              <w:marTop w:val="0"/>
              <w:marBottom w:val="0"/>
              <w:divBdr>
                <w:top w:val="none" w:sz="0" w:space="0" w:color="auto"/>
                <w:left w:val="none" w:sz="0" w:space="0" w:color="auto"/>
                <w:bottom w:val="none" w:sz="0" w:space="0" w:color="auto"/>
                <w:right w:val="none" w:sz="0" w:space="0" w:color="auto"/>
              </w:divBdr>
              <w:divsChild>
                <w:div w:id="1247810178">
                  <w:marLeft w:val="0"/>
                  <w:marRight w:val="0"/>
                  <w:marTop w:val="0"/>
                  <w:marBottom w:val="0"/>
                  <w:divBdr>
                    <w:top w:val="none" w:sz="0" w:space="0" w:color="auto"/>
                    <w:left w:val="none" w:sz="0" w:space="0" w:color="auto"/>
                    <w:bottom w:val="none" w:sz="0" w:space="0" w:color="auto"/>
                    <w:right w:val="none" w:sz="0" w:space="0" w:color="auto"/>
                  </w:divBdr>
                  <w:divsChild>
                    <w:div w:id="1653481155">
                      <w:marLeft w:val="0"/>
                      <w:marRight w:val="0"/>
                      <w:marTop w:val="0"/>
                      <w:marBottom w:val="0"/>
                      <w:divBdr>
                        <w:top w:val="none" w:sz="0" w:space="0" w:color="auto"/>
                        <w:left w:val="none" w:sz="0" w:space="0" w:color="auto"/>
                        <w:bottom w:val="none" w:sz="0" w:space="0" w:color="auto"/>
                        <w:right w:val="none" w:sz="0" w:space="0" w:color="auto"/>
                      </w:divBdr>
                    </w:div>
                    <w:div w:id="682627098">
                      <w:marLeft w:val="0"/>
                      <w:marRight w:val="0"/>
                      <w:marTop w:val="0"/>
                      <w:marBottom w:val="0"/>
                      <w:divBdr>
                        <w:top w:val="none" w:sz="0" w:space="0" w:color="auto"/>
                        <w:left w:val="none" w:sz="0" w:space="0" w:color="auto"/>
                        <w:bottom w:val="none" w:sz="0" w:space="0" w:color="auto"/>
                        <w:right w:val="none" w:sz="0" w:space="0" w:color="auto"/>
                      </w:divBdr>
                    </w:div>
                    <w:div w:id="823622496">
                      <w:marLeft w:val="0"/>
                      <w:marRight w:val="0"/>
                      <w:marTop w:val="0"/>
                      <w:marBottom w:val="0"/>
                      <w:divBdr>
                        <w:top w:val="none" w:sz="0" w:space="0" w:color="auto"/>
                        <w:left w:val="none" w:sz="0" w:space="0" w:color="auto"/>
                        <w:bottom w:val="none" w:sz="0" w:space="0" w:color="auto"/>
                        <w:right w:val="none" w:sz="0" w:space="0" w:color="auto"/>
                      </w:divBdr>
                    </w:div>
                    <w:div w:id="1240821818">
                      <w:marLeft w:val="0"/>
                      <w:marRight w:val="0"/>
                      <w:marTop w:val="0"/>
                      <w:marBottom w:val="0"/>
                      <w:divBdr>
                        <w:top w:val="none" w:sz="0" w:space="0" w:color="auto"/>
                        <w:left w:val="none" w:sz="0" w:space="0" w:color="auto"/>
                        <w:bottom w:val="none" w:sz="0" w:space="0" w:color="auto"/>
                        <w:right w:val="none" w:sz="0" w:space="0" w:color="auto"/>
                      </w:divBdr>
                    </w:div>
                    <w:div w:id="101072075">
                      <w:marLeft w:val="0"/>
                      <w:marRight w:val="0"/>
                      <w:marTop w:val="0"/>
                      <w:marBottom w:val="0"/>
                      <w:divBdr>
                        <w:top w:val="none" w:sz="0" w:space="0" w:color="auto"/>
                        <w:left w:val="none" w:sz="0" w:space="0" w:color="auto"/>
                        <w:bottom w:val="none" w:sz="0" w:space="0" w:color="auto"/>
                        <w:right w:val="none" w:sz="0" w:space="0" w:color="auto"/>
                      </w:divBdr>
                    </w:div>
                    <w:div w:id="1215391919">
                      <w:marLeft w:val="0"/>
                      <w:marRight w:val="0"/>
                      <w:marTop w:val="0"/>
                      <w:marBottom w:val="0"/>
                      <w:divBdr>
                        <w:top w:val="none" w:sz="0" w:space="0" w:color="auto"/>
                        <w:left w:val="none" w:sz="0" w:space="0" w:color="auto"/>
                        <w:bottom w:val="none" w:sz="0" w:space="0" w:color="auto"/>
                        <w:right w:val="none" w:sz="0" w:space="0" w:color="auto"/>
                      </w:divBdr>
                    </w:div>
                    <w:div w:id="734930486">
                      <w:marLeft w:val="0"/>
                      <w:marRight w:val="0"/>
                      <w:marTop w:val="0"/>
                      <w:marBottom w:val="0"/>
                      <w:divBdr>
                        <w:top w:val="none" w:sz="0" w:space="0" w:color="auto"/>
                        <w:left w:val="none" w:sz="0" w:space="0" w:color="auto"/>
                        <w:bottom w:val="none" w:sz="0" w:space="0" w:color="auto"/>
                        <w:right w:val="none" w:sz="0" w:space="0" w:color="auto"/>
                      </w:divBdr>
                    </w:div>
                    <w:div w:id="120999647">
                      <w:marLeft w:val="0"/>
                      <w:marRight w:val="0"/>
                      <w:marTop w:val="0"/>
                      <w:marBottom w:val="0"/>
                      <w:divBdr>
                        <w:top w:val="none" w:sz="0" w:space="0" w:color="auto"/>
                        <w:left w:val="none" w:sz="0" w:space="0" w:color="auto"/>
                        <w:bottom w:val="none" w:sz="0" w:space="0" w:color="auto"/>
                        <w:right w:val="none" w:sz="0" w:space="0" w:color="auto"/>
                      </w:divBdr>
                    </w:div>
                    <w:div w:id="1494174441">
                      <w:marLeft w:val="0"/>
                      <w:marRight w:val="0"/>
                      <w:marTop w:val="0"/>
                      <w:marBottom w:val="0"/>
                      <w:divBdr>
                        <w:top w:val="none" w:sz="0" w:space="0" w:color="auto"/>
                        <w:left w:val="none" w:sz="0" w:space="0" w:color="auto"/>
                        <w:bottom w:val="none" w:sz="0" w:space="0" w:color="auto"/>
                        <w:right w:val="none" w:sz="0" w:space="0" w:color="auto"/>
                      </w:divBdr>
                    </w:div>
                    <w:div w:id="20904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oc.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ttendee.gotowebinar.com/register/6400710578748348418"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cgocorp.com" TargetMode="External"/><Relationship Id="rId4" Type="http://schemas.openxmlformats.org/officeDocument/2006/relationships/webSettings" Target="webSettings.xml"/><Relationship Id="rId9" Type="http://schemas.openxmlformats.org/officeDocument/2006/relationships/hyperlink" Target="http://www.cgocor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kathy@republicstory.com</dc:creator>
  <cp:keywords/>
  <dc:description/>
  <cp:lastModifiedBy>Suzette Ramcharan</cp:lastModifiedBy>
  <cp:revision>5</cp:revision>
  <dcterms:created xsi:type="dcterms:W3CDTF">2018-11-19T22:38:00Z</dcterms:created>
  <dcterms:modified xsi:type="dcterms:W3CDTF">2018-11-19T22:43:00Z</dcterms:modified>
</cp:coreProperties>
</file>