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891AA" w14:textId="77777777" w:rsidR="002825B9" w:rsidRDefault="00EF4546">
      <w:pPr>
        <w:pBdr>
          <w:top w:val="nil"/>
          <w:left w:val="nil"/>
          <w:bottom w:val="nil"/>
          <w:right w:val="nil"/>
          <w:between w:val="nil"/>
        </w:pBdr>
        <w:spacing w:before="240"/>
        <w:rPr>
          <w:color w:val="000000"/>
        </w:rPr>
      </w:pPr>
      <w:r>
        <w:rPr>
          <w:noProof/>
        </w:rPr>
        <w:drawing>
          <wp:anchor distT="0" distB="0" distL="114300" distR="114300" simplePos="0" relativeHeight="251658240" behindDoc="0" locked="0" layoutInCell="1" hidden="0" allowOverlap="1" wp14:anchorId="05E891D1" wp14:editId="05E891D2">
            <wp:simplePos x="0" y="0"/>
            <wp:positionH relativeFrom="column">
              <wp:posOffset>-467359</wp:posOffset>
            </wp:positionH>
            <wp:positionV relativeFrom="paragraph">
              <wp:posOffset>-561339</wp:posOffset>
            </wp:positionV>
            <wp:extent cx="1463494" cy="55626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63494" cy="556260"/>
                    </a:xfrm>
                    <a:prstGeom prst="rect">
                      <a:avLst/>
                    </a:prstGeom>
                    <a:ln/>
                  </pic:spPr>
                </pic:pic>
              </a:graphicData>
            </a:graphic>
          </wp:anchor>
        </w:drawing>
      </w:r>
    </w:p>
    <w:p w14:paraId="05E891AC" w14:textId="3BC84BCC" w:rsidR="002825B9" w:rsidRDefault="003F38A0" w:rsidP="00914C54">
      <w:pPr>
        <w:shd w:val="clear" w:color="auto" w:fill="FFFFFF"/>
        <w:jc w:val="center"/>
        <w:rPr>
          <w:b/>
          <w:color w:val="222222"/>
          <w:sz w:val="28"/>
          <w:szCs w:val="28"/>
        </w:rPr>
      </w:pPr>
      <w:r w:rsidRPr="000B79A7">
        <w:rPr>
          <w:b/>
          <w:color w:val="222222"/>
          <w:sz w:val="28"/>
          <w:szCs w:val="28"/>
        </w:rPr>
        <w:t xml:space="preserve">New Leaf Ventures </w:t>
      </w:r>
      <w:r w:rsidR="006C3344">
        <w:rPr>
          <w:b/>
          <w:color w:val="222222"/>
          <w:sz w:val="28"/>
          <w:szCs w:val="28"/>
        </w:rPr>
        <w:t>Updates Beverage</w:t>
      </w:r>
      <w:r w:rsidR="00775F0D">
        <w:rPr>
          <w:b/>
          <w:color w:val="222222"/>
          <w:sz w:val="28"/>
          <w:szCs w:val="28"/>
        </w:rPr>
        <w:t xml:space="preserve"> Product</w:t>
      </w:r>
      <w:r w:rsidR="006C3344">
        <w:rPr>
          <w:b/>
          <w:color w:val="222222"/>
          <w:sz w:val="28"/>
          <w:szCs w:val="28"/>
        </w:rPr>
        <w:t xml:space="preserve"> </w:t>
      </w:r>
      <w:r w:rsidR="00A30523">
        <w:rPr>
          <w:b/>
          <w:color w:val="222222"/>
          <w:sz w:val="28"/>
          <w:szCs w:val="28"/>
        </w:rPr>
        <w:t xml:space="preserve">Developments </w:t>
      </w:r>
      <w:r w:rsidR="00914C54">
        <w:rPr>
          <w:b/>
          <w:color w:val="222222"/>
          <w:sz w:val="28"/>
          <w:szCs w:val="28"/>
        </w:rPr>
        <w:br/>
      </w:r>
      <w:r w:rsidR="00A30523">
        <w:rPr>
          <w:b/>
          <w:color w:val="222222"/>
          <w:sz w:val="28"/>
          <w:szCs w:val="28"/>
        </w:rPr>
        <w:t xml:space="preserve">and </w:t>
      </w:r>
      <w:r w:rsidR="00914C54" w:rsidRPr="00914C54">
        <w:rPr>
          <w:b/>
          <w:color w:val="222222"/>
          <w:sz w:val="28"/>
          <w:szCs w:val="28"/>
        </w:rPr>
        <w:t>Acceleration of Warrant Expiry</w:t>
      </w:r>
    </w:p>
    <w:p w14:paraId="7CFE71FA" w14:textId="77777777" w:rsidR="00914C54" w:rsidRDefault="00914C54" w:rsidP="00A71A54">
      <w:pPr>
        <w:shd w:val="clear" w:color="auto" w:fill="FFFFFF"/>
        <w:jc w:val="both"/>
        <w:rPr>
          <w:color w:val="000000"/>
          <w:sz w:val="22"/>
          <w:szCs w:val="22"/>
        </w:rPr>
      </w:pPr>
    </w:p>
    <w:p w14:paraId="1D3FE1E7" w14:textId="5C609714" w:rsidR="00FD5AF6" w:rsidRPr="00576BFA" w:rsidRDefault="00EF4546" w:rsidP="00A71A54">
      <w:pPr>
        <w:jc w:val="both"/>
        <w:rPr>
          <w:sz w:val="22"/>
          <w:szCs w:val="22"/>
        </w:rPr>
      </w:pPr>
      <w:r w:rsidRPr="00576BFA">
        <w:rPr>
          <w:sz w:val="22"/>
          <w:szCs w:val="22"/>
        </w:rPr>
        <w:t xml:space="preserve">VANCOUVER, BC, -- (GLOBE NEWSWIRE – </w:t>
      </w:r>
      <w:r w:rsidR="00B62DBE" w:rsidRPr="00576BFA">
        <w:rPr>
          <w:sz w:val="22"/>
          <w:szCs w:val="22"/>
        </w:rPr>
        <w:t xml:space="preserve">March </w:t>
      </w:r>
      <w:r w:rsidR="00454218">
        <w:rPr>
          <w:sz w:val="22"/>
          <w:szCs w:val="22"/>
        </w:rPr>
        <w:t>02</w:t>
      </w:r>
      <w:r w:rsidRPr="00576BFA">
        <w:rPr>
          <w:sz w:val="22"/>
          <w:szCs w:val="22"/>
        </w:rPr>
        <w:t xml:space="preserve">, 2021) – </w:t>
      </w:r>
      <w:r w:rsidRPr="00576BFA">
        <w:rPr>
          <w:b/>
          <w:sz w:val="22"/>
          <w:szCs w:val="22"/>
        </w:rPr>
        <w:t xml:space="preserve">New Leaf Ventures Inc. </w:t>
      </w:r>
      <w:r w:rsidRPr="00576BFA">
        <w:rPr>
          <w:bCs/>
          <w:sz w:val="22"/>
          <w:szCs w:val="22"/>
        </w:rPr>
        <w:t>(CSE: NLV) (OTC: NLVVF) (“New Leaf,” “NLV” or the “Company”),</w:t>
      </w:r>
      <w:r w:rsidRPr="00576BFA">
        <w:rPr>
          <w:sz w:val="22"/>
          <w:szCs w:val="22"/>
        </w:rPr>
        <w:t xml:space="preserve"> a management and investment organization dedicated to evaluating, investing and accelerating advanced stage operations in the North American Cannabis sector </w:t>
      </w:r>
      <w:r w:rsidR="0060384D" w:rsidRPr="00576BFA">
        <w:rPr>
          <w:sz w:val="22"/>
          <w:szCs w:val="22"/>
        </w:rPr>
        <w:t>advises</w:t>
      </w:r>
      <w:r w:rsidR="00142445" w:rsidRPr="00576BFA">
        <w:rPr>
          <w:sz w:val="22"/>
          <w:szCs w:val="22"/>
        </w:rPr>
        <w:t xml:space="preserve"> that </w:t>
      </w:r>
      <w:r w:rsidRPr="00576BFA">
        <w:rPr>
          <w:sz w:val="22"/>
          <w:szCs w:val="22"/>
        </w:rPr>
        <w:t xml:space="preserve">its </w:t>
      </w:r>
      <w:hyperlink r:id="rId9">
        <w:r w:rsidRPr="00576BFA">
          <w:rPr>
            <w:color w:val="0000FF"/>
            <w:sz w:val="22"/>
            <w:szCs w:val="22"/>
            <w:u w:val="single"/>
          </w:rPr>
          <w:t>New Leaf USA</w:t>
        </w:r>
      </w:hyperlink>
      <w:r w:rsidRPr="00576BFA">
        <w:rPr>
          <w:sz w:val="22"/>
          <w:szCs w:val="22"/>
        </w:rPr>
        <w:t xml:space="preserve"> venture </w:t>
      </w:r>
      <w:r w:rsidR="008645CC" w:rsidRPr="00576BFA">
        <w:rPr>
          <w:sz w:val="22"/>
          <w:szCs w:val="22"/>
        </w:rPr>
        <w:t>is</w:t>
      </w:r>
      <w:r w:rsidR="0060384D" w:rsidRPr="00576BFA">
        <w:rPr>
          <w:sz w:val="22"/>
          <w:szCs w:val="22"/>
        </w:rPr>
        <w:t xml:space="preserve"> pleased to</w:t>
      </w:r>
      <w:r w:rsidR="00390FFA" w:rsidRPr="00576BFA">
        <w:rPr>
          <w:sz w:val="22"/>
          <w:szCs w:val="22"/>
        </w:rPr>
        <w:t xml:space="preserve"> </w:t>
      </w:r>
      <w:r w:rsidR="00A43528" w:rsidRPr="00576BFA">
        <w:rPr>
          <w:sz w:val="22"/>
          <w:szCs w:val="22"/>
        </w:rPr>
        <w:t xml:space="preserve">update </w:t>
      </w:r>
      <w:r w:rsidR="006A4A99" w:rsidRPr="00576BFA">
        <w:rPr>
          <w:sz w:val="22"/>
          <w:szCs w:val="22"/>
        </w:rPr>
        <w:t xml:space="preserve">activities </w:t>
      </w:r>
      <w:r w:rsidR="0097637F" w:rsidRPr="00576BFA">
        <w:rPr>
          <w:sz w:val="22"/>
          <w:szCs w:val="22"/>
        </w:rPr>
        <w:t xml:space="preserve">related to the </w:t>
      </w:r>
      <w:r w:rsidR="001144DF" w:rsidRPr="00576BFA">
        <w:rPr>
          <w:sz w:val="22"/>
          <w:szCs w:val="22"/>
        </w:rPr>
        <w:t xml:space="preserve">ongoing </w:t>
      </w:r>
      <w:r w:rsidR="0097637F" w:rsidRPr="00576BFA">
        <w:rPr>
          <w:sz w:val="22"/>
          <w:szCs w:val="22"/>
        </w:rPr>
        <w:t>business</w:t>
      </w:r>
      <w:r w:rsidR="001144DF" w:rsidRPr="00576BFA">
        <w:rPr>
          <w:sz w:val="22"/>
          <w:szCs w:val="22"/>
        </w:rPr>
        <w:t xml:space="preserve"> opportunity with</w:t>
      </w:r>
      <w:r w:rsidR="00FD5AF6" w:rsidRPr="00576BFA">
        <w:rPr>
          <w:sz w:val="22"/>
          <w:szCs w:val="22"/>
        </w:rPr>
        <w:t xml:space="preserve"> </w:t>
      </w:r>
      <w:r w:rsidR="00AB5CFD" w:rsidRPr="00576BFA">
        <w:rPr>
          <w:sz w:val="22"/>
          <w:szCs w:val="22"/>
        </w:rPr>
        <w:t xml:space="preserve">Washington-based </w:t>
      </w:r>
      <w:r w:rsidR="00FD5AF6" w:rsidRPr="00576BFA">
        <w:rPr>
          <w:sz w:val="22"/>
          <w:szCs w:val="22"/>
        </w:rPr>
        <w:t>Schilling Hard Cider</w:t>
      </w:r>
      <w:r w:rsidR="00174182" w:rsidRPr="00576BFA">
        <w:rPr>
          <w:sz w:val="22"/>
          <w:szCs w:val="22"/>
        </w:rPr>
        <w:t xml:space="preserve"> (“Schilling”)</w:t>
      </w:r>
      <w:r w:rsidR="00417076">
        <w:rPr>
          <w:sz w:val="22"/>
          <w:szCs w:val="22"/>
        </w:rPr>
        <w:t>.</w:t>
      </w:r>
    </w:p>
    <w:p w14:paraId="36CA270C" w14:textId="77777777" w:rsidR="00FD5AF6" w:rsidRPr="00576BFA" w:rsidRDefault="00FD5AF6" w:rsidP="00A71A54">
      <w:pPr>
        <w:jc w:val="both"/>
        <w:rPr>
          <w:sz w:val="22"/>
          <w:szCs w:val="22"/>
        </w:rPr>
      </w:pPr>
    </w:p>
    <w:p w14:paraId="5FAA0B70" w14:textId="02C45220" w:rsidR="00D53E14" w:rsidRPr="00576BFA" w:rsidRDefault="00BC3F0A" w:rsidP="00A71A54">
      <w:pPr>
        <w:jc w:val="both"/>
        <w:rPr>
          <w:color w:val="000000" w:themeColor="text1"/>
          <w:sz w:val="22"/>
          <w:szCs w:val="22"/>
          <w:shd w:val="clear" w:color="auto" w:fill="FFFFFF"/>
        </w:rPr>
      </w:pPr>
      <w:r w:rsidRPr="00576BFA">
        <w:rPr>
          <w:sz w:val="22"/>
          <w:szCs w:val="22"/>
        </w:rPr>
        <w:t xml:space="preserve">As noted in </w:t>
      </w:r>
      <w:r w:rsidR="001451DA">
        <w:rPr>
          <w:sz w:val="22"/>
          <w:szCs w:val="22"/>
        </w:rPr>
        <w:t xml:space="preserve">our </w:t>
      </w:r>
      <w:hyperlink r:id="rId10" w:history="1">
        <w:r w:rsidR="001451DA" w:rsidRPr="001451DA">
          <w:rPr>
            <w:rStyle w:val="Hyperlink"/>
            <w:sz w:val="22"/>
            <w:szCs w:val="22"/>
          </w:rPr>
          <w:t>news release</w:t>
        </w:r>
      </w:hyperlink>
      <w:r w:rsidR="001451DA">
        <w:rPr>
          <w:sz w:val="22"/>
          <w:szCs w:val="22"/>
        </w:rPr>
        <w:t xml:space="preserve"> of </w:t>
      </w:r>
      <w:r w:rsidRPr="00576BFA">
        <w:rPr>
          <w:sz w:val="22"/>
          <w:szCs w:val="22"/>
        </w:rPr>
        <w:t xml:space="preserve">November </w:t>
      </w:r>
      <w:r w:rsidR="001451DA">
        <w:rPr>
          <w:sz w:val="22"/>
          <w:szCs w:val="22"/>
        </w:rPr>
        <w:t xml:space="preserve">10, </w:t>
      </w:r>
      <w:r w:rsidRPr="00576BFA">
        <w:rPr>
          <w:sz w:val="22"/>
          <w:szCs w:val="22"/>
        </w:rPr>
        <w:t xml:space="preserve">2020, New Leaf </w:t>
      </w:r>
      <w:r w:rsidR="002716B3" w:rsidRPr="00576BFA">
        <w:rPr>
          <w:sz w:val="22"/>
          <w:szCs w:val="22"/>
        </w:rPr>
        <w:t>inked</w:t>
      </w:r>
      <w:r w:rsidRPr="00576BFA">
        <w:rPr>
          <w:sz w:val="22"/>
          <w:szCs w:val="22"/>
        </w:rPr>
        <w:t xml:space="preserve"> a </w:t>
      </w:r>
      <w:r w:rsidR="00E340DC">
        <w:rPr>
          <w:sz w:val="22"/>
          <w:szCs w:val="22"/>
        </w:rPr>
        <w:t xml:space="preserve">strategic </w:t>
      </w:r>
      <w:r w:rsidRPr="00576BFA">
        <w:rPr>
          <w:sz w:val="22"/>
          <w:szCs w:val="22"/>
        </w:rPr>
        <w:t>collaborative partnership with Seattle</w:t>
      </w:r>
      <w:r w:rsidR="002716B3" w:rsidRPr="00576BFA">
        <w:rPr>
          <w:sz w:val="22"/>
          <w:szCs w:val="22"/>
        </w:rPr>
        <w:t>’s</w:t>
      </w:r>
      <w:r w:rsidRPr="00576BFA">
        <w:rPr>
          <w:sz w:val="22"/>
          <w:szCs w:val="22"/>
        </w:rPr>
        <w:t xml:space="preserve"> Schilling Hard Cider </w:t>
      </w:r>
      <w:r w:rsidR="002716B3" w:rsidRPr="00576BFA">
        <w:rPr>
          <w:sz w:val="22"/>
          <w:szCs w:val="22"/>
        </w:rPr>
        <w:t xml:space="preserve">for entry into </w:t>
      </w:r>
      <w:r w:rsidR="007346B4" w:rsidRPr="00576BFA">
        <w:rPr>
          <w:sz w:val="22"/>
          <w:szCs w:val="22"/>
        </w:rPr>
        <w:t xml:space="preserve">the cannabis infused beverage marketplace. The </w:t>
      </w:r>
      <w:r w:rsidR="0097637F" w:rsidRPr="00576BFA">
        <w:rPr>
          <w:sz w:val="22"/>
          <w:szCs w:val="22"/>
        </w:rPr>
        <w:t xml:space="preserve">arrangement </w:t>
      </w:r>
      <w:r w:rsidR="006C0F15" w:rsidRPr="00576BFA">
        <w:rPr>
          <w:sz w:val="22"/>
          <w:szCs w:val="22"/>
        </w:rPr>
        <w:t>encompassed</w:t>
      </w:r>
      <w:r w:rsidR="0097637F" w:rsidRPr="00576BFA">
        <w:rPr>
          <w:sz w:val="22"/>
          <w:szCs w:val="22"/>
        </w:rPr>
        <w:t xml:space="preserve"> the creation of proprietary formulations, </w:t>
      </w:r>
      <w:r w:rsidR="00E340DC" w:rsidRPr="00576BFA">
        <w:rPr>
          <w:sz w:val="22"/>
          <w:szCs w:val="22"/>
        </w:rPr>
        <w:t>brand,</w:t>
      </w:r>
      <w:r w:rsidR="0097637F" w:rsidRPr="00576BFA">
        <w:rPr>
          <w:sz w:val="22"/>
          <w:szCs w:val="22"/>
        </w:rPr>
        <w:t xml:space="preserve"> and distribution strategies </w:t>
      </w:r>
      <w:r w:rsidR="00B8685C" w:rsidRPr="00576BFA">
        <w:rPr>
          <w:sz w:val="22"/>
          <w:szCs w:val="22"/>
        </w:rPr>
        <w:t>across</w:t>
      </w:r>
      <w:r w:rsidR="0097637F" w:rsidRPr="00576BFA">
        <w:rPr>
          <w:sz w:val="22"/>
          <w:szCs w:val="22"/>
        </w:rPr>
        <w:t xml:space="preserve"> a proposed family of cannabis infused beverage products</w:t>
      </w:r>
      <w:r w:rsidR="00B8685C" w:rsidRPr="00576BFA">
        <w:rPr>
          <w:sz w:val="22"/>
          <w:szCs w:val="22"/>
        </w:rPr>
        <w:t>.</w:t>
      </w:r>
      <w:r w:rsidR="00100B57">
        <w:rPr>
          <w:sz w:val="22"/>
          <w:szCs w:val="22"/>
        </w:rPr>
        <w:t xml:space="preserve"> </w:t>
      </w:r>
      <w:r w:rsidR="00D53E14" w:rsidRPr="00576BFA">
        <w:rPr>
          <w:color w:val="000000" w:themeColor="text1"/>
          <w:sz w:val="22"/>
          <w:szCs w:val="22"/>
          <w:shd w:val="clear" w:color="auto" w:fill="FFFFFF"/>
        </w:rPr>
        <w:t xml:space="preserve">After an initial period of research and development </w:t>
      </w:r>
      <w:r w:rsidR="00603612" w:rsidRPr="00576BFA">
        <w:rPr>
          <w:color w:val="000000" w:themeColor="text1"/>
          <w:sz w:val="22"/>
          <w:szCs w:val="22"/>
          <w:shd w:val="clear" w:color="auto" w:fill="FFFFFF"/>
        </w:rPr>
        <w:t>of</w:t>
      </w:r>
      <w:r w:rsidR="00D53E14" w:rsidRPr="00576BFA">
        <w:rPr>
          <w:color w:val="000000" w:themeColor="text1"/>
          <w:sz w:val="22"/>
          <w:szCs w:val="22"/>
          <w:shd w:val="clear" w:color="auto" w:fill="FFFFFF"/>
        </w:rPr>
        <w:t xml:space="preserve"> proprietary formulatio</w:t>
      </w:r>
      <w:r w:rsidR="00603612" w:rsidRPr="00576BFA">
        <w:rPr>
          <w:color w:val="000000" w:themeColor="text1"/>
          <w:sz w:val="22"/>
          <w:szCs w:val="22"/>
          <w:shd w:val="clear" w:color="auto" w:fill="FFFFFF"/>
        </w:rPr>
        <w:t xml:space="preserve">ns for </w:t>
      </w:r>
      <w:r w:rsidR="00E340DC">
        <w:rPr>
          <w:color w:val="000000" w:themeColor="text1"/>
          <w:sz w:val="22"/>
          <w:szCs w:val="22"/>
          <w:shd w:val="clear" w:color="auto" w:fill="FFFFFF"/>
        </w:rPr>
        <w:t xml:space="preserve">its proposed </w:t>
      </w:r>
      <w:r w:rsidR="00603612" w:rsidRPr="00576BFA">
        <w:rPr>
          <w:color w:val="000000" w:themeColor="text1"/>
          <w:sz w:val="22"/>
          <w:szCs w:val="22"/>
          <w:shd w:val="clear" w:color="auto" w:fill="FFFFFF"/>
        </w:rPr>
        <w:t>product</w:t>
      </w:r>
      <w:r w:rsidR="00C8608F">
        <w:rPr>
          <w:color w:val="000000" w:themeColor="text1"/>
          <w:sz w:val="22"/>
          <w:szCs w:val="22"/>
          <w:shd w:val="clear" w:color="auto" w:fill="FFFFFF"/>
        </w:rPr>
        <w:t>s</w:t>
      </w:r>
      <w:r w:rsidR="00603612" w:rsidRPr="00576BFA">
        <w:rPr>
          <w:color w:val="000000" w:themeColor="text1"/>
          <w:sz w:val="22"/>
          <w:szCs w:val="22"/>
          <w:shd w:val="clear" w:color="auto" w:fill="FFFFFF"/>
        </w:rPr>
        <w:t xml:space="preserve">, </w:t>
      </w:r>
      <w:r w:rsidR="004E0557" w:rsidRPr="00576BFA">
        <w:rPr>
          <w:color w:val="000000" w:themeColor="text1"/>
          <w:sz w:val="22"/>
          <w:szCs w:val="22"/>
          <w:shd w:val="clear" w:color="auto" w:fill="FFFFFF"/>
        </w:rPr>
        <w:t>New Leaf is advancing the</w:t>
      </w:r>
      <w:r w:rsidR="00D53E14" w:rsidRPr="00576BFA">
        <w:rPr>
          <w:color w:val="000000" w:themeColor="text1"/>
          <w:sz w:val="22"/>
          <w:szCs w:val="22"/>
          <w:shd w:val="clear" w:color="auto" w:fill="FFFFFF"/>
        </w:rPr>
        <w:t xml:space="preserve"> project into branding and visual design of the product</w:t>
      </w:r>
      <w:r w:rsidR="00B97DE0" w:rsidRPr="00576BFA">
        <w:rPr>
          <w:color w:val="000000" w:themeColor="text1"/>
          <w:sz w:val="22"/>
          <w:szCs w:val="22"/>
          <w:shd w:val="clear" w:color="auto" w:fill="FFFFFF"/>
        </w:rPr>
        <w:t xml:space="preserve"> family</w:t>
      </w:r>
      <w:r w:rsidR="00D53E14" w:rsidRPr="00576BFA">
        <w:rPr>
          <w:color w:val="000000" w:themeColor="text1"/>
          <w:sz w:val="22"/>
          <w:szCs w:val="22"/>
          <w:shd w:val="clear" w:color="auto" w:fill="FFFFFF"/>
        </w:rPr>
        <w:t xml:space="preserve">. </w:t>
      </w:r>
    </w:p>
    <w:p w14:paraId="4F700388" w14:textId="17445EFC" w:rsidR="00B97DE0" w:rsidRPr="00576BFA" w:rsidRDefault="00B97DE0" w:rsidP="00A71A54">
      <w:pPr>
        <w:jc w:val="both"/>
        <w:rPr>
          <w:color w:val="000000" w:themeColor="text1"/>
          <w:sz w:val="22"/>
          <w:szCs w:val="22"/>
          <w:shd w:val="clear" w:color="auto" w:fill="FFFFFF"/>
        </w:rPr>
      </w:pPr>
    </w:p>
    <w:p w14:paraId="09639204" w14:textId="3F6A7E06" w:rsidR="00BC3F0A" w:rsidRPr="00454218" w:rsidRDefault="00B97DE0" w:rsidP="00A71A54">
      <w:pPr>
        <w:jc w:val="both"/>
        <w:rPr>
          <w:color w:val="000000" w:themeColor="text1"/>
          <w:sz w:val="22"/>
          <w:szCs w:val="22"/>
          <w:shd w:val="clear" w:color="auto" w:fill="FFFFFF"/>
        </w:rPr>
      </w:pPr>
      <w:r w:rsidRPr="00576BFA">
        <w:rPr>
          <w:color w:val="000000" w:themeColor="text1"/>
          <w:sz w:val="22"/>
          <w:szCs w:val="22"/>
          <w:shd w:val="clear" w:color="auto" w:fill="FFFFFF"/>
        </w:rPr>
        <w:t xml:space="preserve">Current plans position </w:t>
      </w:r>
      <w:r w:rsidR="00007BF2" w:rsidRPr="00576BFA">
        <w:rPr>
          <w:color w:val="000000" w:themeColor="text1"/>
          <w:sz w:val="22"/>
          <w:szCs w:val="22"/>
          <w:shd w:val="clear" w:color="auto" w:fill="FFFFFF"/>
        </w:rPr>
        <w:t>the manufactur</w:t>
      </w:r>
      <w:r w:rsidR="00E85EBB">
        <w:rPr>
          <w:color w:val="000000" w:themeColor="text1"/>
          <w:sz w:val="22"/>
          <w:szCs w:val="22"/>
          <w:shd w:val="clear" w:color="auto" w:fill="FFFFFF"/>
        </w:rPr>
        <w:t>ing</w:t>
      </w:r>
      <w:r w:rsidR="00007BF2" w:rsidRPr="00576BFA">
        <w:rPr>
          <w:color w:val="000000" w:themeColor="text1"/>
          <w:sz w:val="22"/>
          <w:szCs w:val="22"/>
          <w:shd w:val="clear" w:color="auto" w:fill="FFFFFF"/>
        </w:rPr>
        <w:t xml:space="preserve"> of t</w:t>
      </w:r>
      <w:r w:rsidRPr="00576BFA">
        <w:rPr>
          <w:color w:val="000000" w:themeColor="text1"/>
          <w:sz w:val="22"/>
          <w:szCs w:val="22"/>
          <w:shd w:val="clear" w:color="auto" w:fill="FFFFFF"/>
        </w:rPr>
        <w:t>hree 12oz canned beverage</w:t>
      </w:r>
      <w:r w:rsidR="00E85EBB">
        <w:rPr>
          <w:color w:val="000000" w:themeColor="text1"/>
          <w:sz w:val="22"/>
          <w:szCs w:val="22"/>
          <w:shd w:val="clear" w:color="auto" w:fill="FFFFFF"/>
        </w:rPr>
        <w:t xml:space="preserve"> flavors</w:t>
      </w:r>
      <w:r w:rsidRPr="00576BFA">
        <w:rPr>
          <w:color w:val="000000" w:themeColor="text1"/>
          <w:sz w:val="22"/>
          <w:szCs w:val="22"/>
          <w:shd w:val="clear" w:color="auto" w:fill="FFFFFF"/>
        </w:rPr>
        <w:t xml:space="preserve"> to be sold in 4</w:t>
      </w:r>
      <w:r w:rsidR="00007BF2" w:rsidRPr="00576BFA">
        <w:rPr>
          <w:color w:val="000000" w:themeColor="text1"/>
          <w:sz w:val="22"/>
          <w:szCs w:val="22"/>
          <w:shd w:val="clear" w:color="auto" w:fill="FFFFFF"/>
        </w:rPr>
        <w:t>-</w:t>
      </w:r>
      <w:r w:rsidRPr="00576BFA">
        <w:rPr>
          <w:color w:val="000000" w:themeColor="text1"/>
          <w:sz w:val="22"/>
          <w:szCs w:val="22"/>
          <w:shd w:val="clear" w:color="auto" w:fill="FFFFFF"/>
        </w:rPr>
        <w:t>pack</w:t>
      </w:r>
      <w:r w:rsidR="00007BF2" w:rsidRPr="00576BFA">
        <w:rPr>
          <w:color w:val="000000" w:themeColor="text1"/>
          <w:sz w:val="22"/>
          <w:szCs w:val="22"/>
          <w:shd w:val="clear" w:color="auto" w:fill="FFFFFF"/>
        </w:rPr>
        <w:t xml:space="preserve"> configuration</w:t>
      </w:r>
      <w:r w:rsidR="0079008D" w:rsidRPr="00576BFA">
        <w:rPr>
          <w:color w:val="000000" w:themeColor="text1"/>
          <w:sz w:val="22"/>
          <w:szCs w:val="22"/>
          <w:shd w:val="clear" w:color="auto" w:fill="FFFFFF"/>
        </w:rPr>
        <w:t xml:space="preserve"> and have arrived at the</w:t>
      </w:r>
      <w:r w:rsidRPr="00576BFA">
        <w:rPr>
          <w:color w:val="000000" w:themeColor="text1"/>
          <w:sz w:val="22"/>
          <w:szCs w:val="22"/>
          <w:shd w:val="clear" w:color="auto" w:fill="FFFFFF"/>
        </w:rPr>
        <w:t xml:space="preserve"> final stages of recipe development</w:t>
      </w:r>
      <w:r w:rsidR="00E85EBB">
        <w:rPr>
          <w:color w:val="000000" w:themeColor="text1"/>
          <w:sz w:val="22"/>
          <w:szCs w:val="22"/>
          <w:shd w:val="clear" w:color="auto" w:fill="FFFFFF"/>
        </w:rPr>
        <w:t>.</w:t>
      </w:r>
      <w:r w:rsidR="00454218">
        <w:rPr>
          <w:color w:val="000000" w:themeColor="text1"/>
          <w:sz w:val="22"/>
          <w:szCs w:val="22"/>
          <w:shd w:val="clear" w:color="auto" w:fill="FFFFFF"/>
        </w:rPr>
        <w:t xml:space="preserve"> </w:t>
      </w:r>
      <w:r w:rsidR="00E34A1C" w:rsidRPr="00576BFA">
        <w:rPr>
          <w:color w:val="000000" w:themeColor="text1"/>
          <w:sz w:val="22"/>
          <w:szCs w:val="22"/>
          <w:shd w:val="clear" w:color="auto" w:fill="FFFFFF"/>
        </w:rPr>
        <w:t xml:space="preserve">Many current </w:t>
      </w:r>
      <w:r w:rsidR="00FA1B97" w:rsidRPr="00576BFA">
        <w:rPr>
          <w:color w:val="000000" w:themeColor="text1"/>
          <w:sz w:val="22"/>
          <w:szCs w:val="22"/>
          <w:shd w:val="clear" w:color="auto" w:fill="FFFFFF"/>
        </w:rPr>
        <w:t>brands</w:t>
      </w:r>
      <w:r w:rsidR="00E34A1C" w:rsidRPr="00576BFA">
        <w:rPr>
          <w:color w:val="000000" w:themeColor="text1"/>
          <w:sz w:val="22"/>
          <w:szCs w:val="22"/>
          <w:shd w:val="clear" w:color="auto" w:fill="FFFFFF"/>
        </w:rPr>
        <w:t xml:space="preserve"> in the marketplace</w:t>
      </w:r>
      <w:r w:rsidR="00FA1B97" w:rsidRPr="00576BFA">
        <w:rPr>
          <w:color w:val="000000" w:themeColor="text1"/>
          <w:sz w:val="22"/>
          <w:szCs w:val="22"/>
          <w:shd w:val="clear" w:color="auto" w:fill="FFFFFF"/>
        </w:rPr>
        <w:t xml:space="preserve"> offer</w:t>
      </w:r>
      <w:r w:rsidR="00E34A1C" w:rsidRPr="00576BFA">
        <w:rPr>
          <w:color w:val="000000" w:themeColor="text1"/>
          <w:sz w:val="22"/>
          <w:szCs w:val="22"/>
          <w:shd w:val="clear" w:color="auto" w:fill="FFFFFF"/>
        </w:rPr>
        <w:t xml:space="preserve"> </w:t>
      </w:r>
      <w:r w:rsidR="00FA1B97" w:rsidRPr="00576BFA">
        <w:rPr>
          <w:color w:val="000000" w:themeColor="text1"/>
          <w:sz w:val="22"/>
          <w:szCs w:val="22"/>
          <w:shd w:val="clear" w:color="auto" w:fill="FFFFFF"/>
        </w:rPr>
        <w:t xml:space="preserve">single serving beverages with 100mg of THC (the maximum allowed by law) which </w:t>
      </w:r>
      <w:r w:rsidR="009E7475">
        <w:rPr>
          <w:color w:val="000000" w:themeColor="text1"/>
          <w:sz w:val="22"/>
          <w:szCs w:val="22"/>
          <w:shd w:val="clear" w:color="auto" w:fill="FFFFFF"/>
        </w:rPr>
        <w:t xml:space="preserve">can </w:t>
      </w:r>
      <w:r w:rsidR="00C041F3" w:rsidRPr="00576BFA">
        <w:rPr>
          <w:color w:val="000000" w:themeColor="text1"/>
          <w:sz w:val="22"/>
          <w:szCs w:val="22"/>
          <w:shd w:val="clear" w:color="auto" w:fill="FFFFFF"/>
        </w:rPr>
        <w:t>complicate</w:t>
      </w:r>
      <w:r w:rsidR="00FA1B97" w:rsidRPr="00576BFA">
        <w:rPr>
          <w:color w:val="000000" w:themeColor="text1"/>
          <w:sz w:val="22"/>
          <w:szCs w:val="22"/>
          <w:shd w:val="clear" w:color="auto" w:fill="FFFFFF"/>
        </w:rPr>
        <w:t xml:space="preserve"> </w:t>
      </w:r>
      <w:r w:rsidR="009E7475">
        <w:rPr>
          <w:color w:val="000000" w:themeColor="text1"/>
          <w:sz w:val="22"/>
          <w:szCs w:val="22"/>
          <w:shd w:val="clear" w:color="auto" w:fill="FFFFFF"/>
        </w:rPr>
        <w:t>personal</w:t>
      </w:r>
      <w:r w:rsidR="00C041F3" w:rsidRPr="00576BFA">
        <w:rPr>
          <w:color w:val="000000" w:themeColor="text1"/>
          <w:sz w:val="22"/>
          <w:szCs w:val="22"/>
          <w:shd w:val="clear" w:color="auto" w:fill="FFFFFF"/>
        </w:rPr>
        <w:t xml:space="preserve"> dosing </w:t>
      </w:r>
      <w:r w:rsidR="00173E8D" w:rsidRPr="00576BFA">
        <w:rPr>
          <w:color w:val="000000" w:themeColor="text1"/>
          <w:sz w:val="22"/>
          <w:szCs w:val="22"/>
          <w:shd w:val="clear" w:color="auto" w:fill="FFFFFF"/>
        </w:rPr>
        <w:t>accurac</w:t>
      </w:r>
      <w:r w:rsidR="009E7475">
        <w:rPr>
          <w:color w:val="000000" w:themeColor="text1"/>
          <w:sz w:val="22"/>
          <w:szCs w:val="22"/>
          <w:shd w:val="clear" w:color="auto" w:fill="FFFFFF"/>
        </w:rPr>
        <w:t>y</w:t>
      </w:r>
      <w:r w:rsidR="00FA1B97" w:rsidRPr="00576BFA">
        <w:rPr>
          <w:color w:val="000000" w:themeColor="text1"/>
          <w:sz w:val="22"/>
          <w:szCs w:val="22"/>
          <w:shd w:val="clear" w:color="auto" w:fill="FFFFFF"/>
        </w:rPr>
        <w:t>. The beverages</w:t>
      </w:r>
      <w:r w:rsidR="004F496B" w:rsidRPr="00576BFA">
        <w:rPr>
          <w:color w:val="000000" w:themeColor="text1"/>
          <w:sz w:val="22"/>
          <w:szCs w:val="22"/>
          <w:shd w:val="clear" w:color="auto" w:fill="FFFFFF"/>
        </w:rPr>
        <w:t xml:space="preserve"> proposed by New </w:t>
      </w:r>
      <w:r w:rsidR="00C358FD" w:rsidRPr="00576BFA">
        <w:rPr>
          <w:color w:val="000000" w:themeColor="text1"/>
          <w:sz w:val="22"/>
          <w:szCs w:val="22"/>
          <w:shd w:val="clear" w:color="auto" w:fill="FFFFFF"/>
        </w:rPr>
        <w:t>Leaf are</w:t>
      </w:r>
      <w:r w:rsidR="004F496B" w:rsidRPr="00576BFA">
        <w:rPr>
          <w:color w:val="000000" w:themeColor="text1"/>
          <w:sz w:val="22"/>
          <w:szCs w:val="22"/>
          <w:shd w:val="clear" w:color="auto" w:fill="FFFFFF"/>
        </w:rPr>
        <w:t xml:space="preserve"> formulated to contain</w:t>
      </w:r>
      <w:r w:rsidR="005E5AF0" w:rsidRPr="00576BFA">
        <w:rPr>
          <w:color w:val="000000" w:themeColor="text1"/>
          <w:sz w:val="22"/>
          <w:szCs w:val="22"/>
          <w:shd w:val="clear" w:color="auto" w:fill="FFFFFF"/>
        </w:rPr>
        <w:t xml:space="preserve"> </w:t>
      </w:r>
      <w:r w:rsidR="00FA1B97" w:rsidRPr="00576BFA">
        <w:rPr>
          <w:color w:val="000000" w:themeColor="text1"/>
          <w:sz w:val="22"/>
          <w:szCs w:val="22"/>
          <w:shd w:val="clear" w:color="auto" w:fill="FFFFFF"/>
        </w:rPr>
        <w:t>2-4mg of THC a</w:t>
      </w:r>
      <w:r w:rsidR="005E5AF0" w:rsidRPr="00576BFA">
        <w:rPr>
          <w:color w:val="000000" w:themeColor="text1"/>
          <w:sz w:val="22"/>
          <w:szCs w:val="22"/>
          <w:shd w:val="clear" w:color="auto" w:fill="FFFFFF"/>
        </w:rPr>
        <w:t>nd</w:t>
      </w:r>
      <w:r w:rsidR="00FA1B97" w:rsidRPr="00576BFA">
        <w:rPr>
          <w:color w:val="000000" w:themeColor="text1"/>
          <w:sz w:val="22"/>
          <w:szCs w:val="22"/>
          <w:shd w:val="clear" w:color="auto" w:fill="FFFFFF"/>
        </w:rPr>
        <w:t xml:space="preserve"> designed to have the same drinkability as beer or hard cider</w:t>
      </w:r>
      <w:r w:rsidR="001E3BE4">
        <w:rPr>
          <w:color w:val="000000" w:themeColor="text1"/>
          <w:sz w:val="22"/>
          <w:szCs w:val="22"/>
          <w:shd w:val="clear" w:color="auto" w:fill="FFFFFF"/>
        </w:rPr>
        <w:t>.</w:t>
      </w:r>
      <w:r w:rsidR="00FA1B97" w:rsidRPr="00576BFA">
        <w:rPr>
          <w:color w:val="000000" w:themeColor="text1"/>
          <w:sz w:val="22"/>
          <w:szCs w:val="22"/>
          <w:shd w:val="clear" w:color="auto" w:fill="FFFFFF"/>
        </w:rPr>
        <w:t xml:space="preserve"> </w:t>
      </w:r>
      <w:r w:rsidR="001E3BE4">
        <w:rPr>
          <w:color w:val="000000" w:themeColor="text1"/>
          <w:sz w:val="22"/>
          <w:szCs w:val="22"/>
          <w:shd w:val="clear" w:color="auto" w:fill="FFFFFF"/>
        </w:rPr>
        <w:t xml:space="preserve">The products are proposed as </w:t>
      </w:r>
      <w:r w:rsidR="00FA1B97" w:rsidRPr="00576BFA">
        <w:rPr>
          <w:color w:val="000000" w:themeColor="text1"/>
          <w:sz w:val="22"/>
          <w:szCs w:val="22"/>
          <w:shd w:val="clear" w:color="auto" w:fill="FFFFFF"/>
        </w:rPr>
        <w:t xml:space="preserve">suitable for 1-3 bottles or cans consumed in an evening to achieve a light to medium effect. </w:t>
      </w:r>
      <w:r w:rsidR="006D5D52" w:rsidRPr="00576BFA">
        <w:rPr>
          <w:color w:val="000000" w:themeColor="text1"/>
          <w:sz w:val="22"/>
          <w:szCs w:val="22"/>
          <w:shd w:val="clear" w:color="auto" w:fill="FFFFFF"/>
        </w:rPr>
        <w:t xml:space="preserve">Attention to flavor and healthier ingredients is a natural value-add </w:t>
      </w:r>
      <w:r w:rsidR="00C358FD" w:rsidRPr="00576BFA">
        <w:rPr>
          <w:color w:val="000000" w:themeColor="text1"/>
          <w:sz w:val="22"/>
          <w:szCs w:val="22"/>
          <w:shd w:val="clear" w:color="auto" w:fill="FFFFFF"/>
        </w:rPr>
        <w:t xml:space="preserve">targeting the </w:t>
      </w:r>
      <w:r w:rsidR="00174182" w:rsidRPr="00576BFA">
        <w:rPr>
          <w:color w:val="000000" w:themeColor="text1"/>
          <w:sz w:val="22"/>
          <w:szCs w:val="22"/>
          <w:shd w:val="clear" w:color="auto" w:fill="FFFFFF"/>
        </w:rPr>
        <w:t>health-conscious</w:t>
      </w:r>
      <w:r w:rsidR="00C358FD" w:rsidRPr="00576BFA">
        <w:rPr>
          <w:color w:val="000000" w:themeColor="text1"/>
          <w:sz w:val="22"/>
          <w:szCs w:val="22"/>
          <w:shd w:val="clear" w:color="auto" w:fill="FFFFFF"/>
        </w:rPr>
        <w:t xml:space="preserve"> consumer.</w:t>
      </w:r>
    </w:p>
    <w:p w14:paraId="015E5340" w14:textId="4DCE7476" w:rsidR="00A45056" w:rsidRPr="00576BFA" w:rsidRDefault="00174182" w:rsidP="00A71A54">
      <w:pPr>
        <w:shd w:val="clear" w:color="auto" w:fill="FFFFFF"/>
        <w:spacing w:before="100" w:beforeAutospacing="1" w:after="100" w:afterAutospacing="1"/>
        <w:jc w:val="both"/>
        <w:rPr>
          <w:color w:val="222222"/>
          <w:sz w:val="22"/>
          <w:szCs w:val="22"/>
        </w:rPr>
      </w:pPr>
      <w:r w:rsidRPr="00576BFA">
        <w:rPr>
          <w:sz w:val="22"/>
          <w:szCs w:val="22"/>
        </w:rPr>
        <w:t>New Leaf, in consultation with the team at Schilling</w:t>
      </w:r>
      <w:r w:rsidR="00B817E8" w:rsidRPr="00576BFA">
        <w:rPr>
          <w:sz w:val="22"/>
          <w:szCs w:val="22"/>
        </w:rPr>
        <w:t xml:space="preserve"> have undertaken a series of market research and focus group </w:t>
      </w:r>
      <w:r w:rsidR="00B17F86" w:rsidRPr="00576BFA">
        <w:rPr>
          <w:sz w:val="22"/>
          <w:szCs w:val="22"/>
        </w:rPr>
        <w:t xml:space="preserve">studies to </w:t>
      </w:r>
      <w:r w:rsidR="001C27FE" w:rsidRPr="00576BFA">
        <w:rPr>
          <w:sz w:val="22"/>
          <w:szCs w:val="22"/>
        </w:rPr>
        <w:t>ensure</w:t>
      </w:r>
      <w:r w:rsidR="00B17F86" w:rsidRPr="00576BFA">
        <w:rPr>
          <w:sz w:val="22"/>
          <w:szCs w:val="22"/>
        </w:rPr>
        <w:t xml:space="preserve"> accurate bran</w:t>
      </w:r>
      <w:r w:rsidR="0064552F" w:rsidRPr="00576BFA">
        <w:rPr>
          <w:sz w:val="22"/>
          <w:szCs w:val="22"/>
        </w:rPr>
        <w:t>ding</w:t>
      </w:r>
      <w:r w:rsidR="00F77415" w:rsidRPr="00576BFA">
        <w:rPr>
          <w:sz w:val="22"/>
          <w:szCs w:val="22"/>
        </w:rPr>
        <w:t xml:space="preserve"> reflective of key consumer demographics. </w:t>
      </w:r>
      <w:r w:rsidR="00FA1515" w:rsidRPr="00576BFA">
        <w:rPr>
          <w:sz w:val="22"/>
          <w:szCs w:val="22"/>
        </w:rPr>
        <w:t>Th</w:t>
      </w:r>
      <w:r w:rsidR="00F77415" w:rsidRPr="00576BFA">
        <w:rPr>
          <w:sz w:val="22"/>
          <w:szCs w:val="22"/>
        </w:rPr>
        <w:t>e</w:t>
      </w:r>
      <w:r w:rsidR="00FA1515" w:rsidRPr="00576BFA">
        <w:rPr>
          <w:sz w:val="22"/>
          <w:szCs w:val="22"/>
        </w:rPr>
        <w:t xml:space="preserve"> program includes </w:t>
      </w:r>
      <w:r w:rsidR="00566AC2" w:rsidRPr="00576BFA">
        <w:rPr>
          <w:sz w:val="22"/>
          <w:szCs w:val="22"/>
        </w:rPr>
        <w:t xml:space="preserve">a </w:t>
      </w:r>
      <w:r w:rsidR="00566AC2" w:rsidRPr="00576BFA">
        <w:rPr>
          <w:color w:val="222222"/>
          <w:sz w:val="22"/>
          <w:szCs w:val="22"/>
        </w:rPr>
        <w:t>competitive</w:t>
      </w:r>
      <w:r w:rsidR="0064552F" w:rsidRPr="00576BFA">
        <w:rPr>
          <w:color w:val="222222"/>
          <w:sz w:val="22"/>
          <w:szCs w:val="22"/>
        </w:rPr>
        <w:t> landscape</w:t>
      </w:r>
      <w:r w:rsidR="00566AC2" w:rsidRPr="00576BFA">
        <w:rPr>
          <w:color w:val="222222"/>
          <w:sz w:val="22"/>
          <w:szCs w:val="22"/>
        </w:rPr>
        <w:t xml:space="preserve"> assessment including </w:t>
      </w:r>
      <w:r w:rsidR="001036E5" w:rsidRPr="00576BFA">
        <w:rPr>
          <w:color w:val="222222"/>
          <w:sz w:val="22"/>
          <w:szCs w:val="22"/>
        </w:rPr>
        <w:t>most western states, and c</w:t>
      </w:r>
      <w:r w:rsidR="0064552F" w:rsidRPr="00576BFA">
        <w:rPr>
          <w:color w:val="222222"/>
          <w:sz w:val="22"/>
          <w:szCs w:val="22"/>
        </w:rPr>
        <w:t xml:space="preserve">onsumer surveys for </w:t>
      </w:r>
      <w:r w:rsidR="00700013" w:rsidRPr="00576BFA">
        <w:rPr>
          <w:color w:val="222222"/>
          <w:sz w:val="22"/>
          <w:szCs w:val="22"/>
        </w:rPr>
        <w:t>desirability</w:t>
      </w:r>
      <w:r w:rsidR="0064552F" w:rsidRPr="00576BFA">
        <w:rPr>
          <w:color w:val="222222"/>
          <w:sz w:val="22"/>
          <w:szCs w:val="22"/>
        </w:rPr>
        <w:t>, flavor profiles, pricing sensitivity, and eventua</w:t>
      </w:r>
      <w:r w:rsidR="00700013" w:rsidRPr="00576BFA">
        <w:rPr>
          <w:color w:val="222222"/>
          <w:sz w:val="22"/>
          <w:szCs w:val="22"/>
        </w:rPr>
        <w:t>l</w:t>
      </w:r>
      <w:r w:rsidR="0064552F" w:rsidRPr="00576BFA">
        <w:rPr>
          <w:color w:val="222222"/>
          <w:sz w:val="22"/>
          <w:szCs w:val="22"/>
        </w:rPr>
        <w:t xml:space="preserve"> A</w:t>
      </w:r>
      <w:r w:rsidR="00700013" w:rsidRPr="00576BFA">
        <w:rPr>
          <w:color w:val="222222"/>
          <w:sz w:val="22"/>
          <w:szCs w:val="22"/>
        </w:rPr>
        <w:t>/</w:t>
      </w:r>
      <w:r w:rsidR="0064552F" w:rsidRPr="00576BFA">
        <w:rPr>
          <w:color w:val="222222"/>
          <w:sz w:val="22"/>
          <w:szCs w:val="22"/>
        </w:rPr>
        <w:t>B testing o</w:t>
      </w:r>
      <w:r w:rsidR="00006846">
        <w:rPr>
          <w:color w:val="222222"/>
          <w:sz w:val="22"/>
          <w:szCs w:val="22"/>
        </w:rPr>
        <w:t>f</w:t>
      </w:r>
      <w:r w:rsidR="002467E8">
        <w:rPr>
          <w:color w:val="222222"/>
          <w:sz w:val="22"/>
          <w:szCs w:val="22"/>
        </w:rPr>
        <w:t xml:space="preserve"> overall</w:t>
      </w:r>
      <w:r w:rsidR="0064552F" w:rsidRPr="00576BFA">
        <w:rPr>
          <w:color w:val="222222"/>
          <w:sz w:val="22"/>
          <w:szCs w:val="22"/>
        </w:rPr>
        <w:t xml:space="preserve"> brand</w:t>
      </w:r>
      <w:r w:rsidR="00700013" w:rsidRPr="00576BFA">
        <w:rPr>
          <w:color w:val="222222"/>
          <w:sz w:val="22"/>
          <w:szCs w:val="22"/>
        </w:rPr>
        <w:t xml:space="preserve"> identity. Brand positioning will rely on resea</w:t>
      </w:r>
      <w:r w:rsidR="004100BE" w:rsidRPr="00576BFA">
        <w:rPr>
          <w:color w:val="222222"/>
          <w:sz w:val="22"/>
          <w:szCs w:val="22"/>
        </w:rPr>
        <w:t xml:space="preserve">rch data analysis to develop a compelling </w:t>
      </w:r>
      <w:r w:rsidR="00740C52" w:rsidRPr="00576BFA">
        <w:rPr>
          <w:color w:val="222222"/>
          <w:sz w:val="22"/>
          <w:szCs w:val="22"/>
        </w:rPr>
        <w:t xml:space="preserve">identity, story copy, SKU specific art for cans and boxes, point of sale (POS) </w:t>
      </w:r>
      <w:r w:rsidR="00C52627" w:rsidRPr="00576BFA">
        <w:rPr>
          <w:color w:val="222222"/>
          <w:sz w:val="22"/>
          <w:szCs w:val="22"/>
        </w:rPr>
        <w:t xml:space="preserve">display </w:t>
      </w:r>
      <w:r w:rsidR="00740C52" w:rsidRPr="00576BFA">
        <w:rPr>
          <w:color w:val="222222"/>
          <w:sz w:val="22"/>
          <w:szCs w:val="22"/>
        </w:rPr>
        <w:t>artwork</w:t>
      </w:r>
      <w:r w:rsidR="00C52627" w:rsidRPr="00576BFA">
        <w:rPr>
          <w:color w:val="222222"/>
          <w:sz w:val="22"/>
          <w:szCs w:val="22"/>
        </w:rPr>
        <w:t xml:space="preserve">, digital </w:t>
      </w:r>
      <w:r w:rsidR="004C65D6" w:rsidRPr="00576BFA">
        <w:rPr>
          <w:color w:val="222222"/>
          <w:sz w:val="22"/>
          <w:szCs w:val="22"/>
        </w:rPr>
        <w:t>assets,</w:t>
      </w:r>
      <w:r w:rsidR="00C52627" w:rsidRPr="00576BFA">
        <w:rPr>
          <w:color w:val="222222"/>
          <w:sz w:val="22"/>
          <w:szCs w:val="22"/>
        </w:rPr>
        <w:t xml:space="preserve"> and vendor in</w:t>
      </w:r>
      <w:r w:rsidR="00946C56" w:rsidRPr="00576BFA">
        <w:rPr>
          <w:color w:val="222222"/>
          <w:sz w:val="22"/>
          <w:szCs w:val="22"/>
        </w:rPr>
        <w:t>troductory materials.</w:t>
      </w:r>
    </w:p>
    <w:p w14:paraId="66290C02" w14:textId="2A7F2A97" w:rsidR="00A45056" w:rsidRPr="00576BFA" w:rsidRDefault="00A45056" w:rsidP="00A71A54">
      <w:pPr>
        <w:jc w:val="both"/>
        <w:rPr>
          <w:sz w:val="22"/>
          <w:szCs w:val="22"/>
        </w:rPr>
      </w:pPr>
      <w:r w:rsidRPr="00576BFA">
        <w:rPr>
          <w:sz w:val="22"/>
          <w:szCs w:val="22"/>
        </w:rPr>
        <w:t xml:space="preserve">Operationally, </w:t>
      </w:r>
      <w:r w:rsidR="00AC7918" w:rsidRPr="00576BFA">
        <w:rPr>
          <w:sz w:val="22"/>
          <w:szCs w:val="22"/>
        </w:rPr>
        <w:t>the</w:t>
      </w:r>
      <w:r w:rsidR="00D31D14" w:rsidRPr="00576BFA">
        <w:rPr>
          <w:sz w:val="22"/>
          <w:szCs w:val="22"/>
        </w:rPr>
        <w:t xml:space="preserve"> New Leaf team has been</w:t>
      </w:r>
      <w:r w:rsidR="00A71A54">
        <w:rPr>
          <w:sz w:val="22"/>
          <w:szCs w:val="22"/>
        </w:rPr>
        <w:t xml:space="preserve"> working</w:t>
      </w:r>
      <w:r w:rsidR="00D31D14" w:rsidRPr="00576BFA">
        <w:rPr>
          <w:sz w:val="22"/>
          <w:szCs w:val="22"/>
        </w:rPr>
        <w:t xml:space="preserve"> with Schilling </w:t>
      </w:r>
      <w:r w:rsidR="00BD0478" w:rsidRPr="00576BFA">
        <w:rPr>
          <w:sz w:val="22"/>
          <w:szCs w:val="22"/>
        </w:rPr>
        <w:t xml:space="preserve">to finalize the </w:t>
      </w:r>
      <w:r w:rsidR="006A1ADB" w:rsidRPr="00576BFA">
        <w:rPr>
          <w:sz w:val="22"/>
          <w:szCs w:val="22"/>
        </w:rPr>
        <w:t xml:space="preserve">equipment purchases and installation plans to </w:t>
      </w:r>
      <w:r w:rsidR="00D31D14" w:rsidRPr="00576BFA">
        <w:rPr>
          <w:spacing w:val="1"/>
          <w:sz w:val="22"/>
          <w:szCs w:val="22"/>
        </w:rPr>
        <w:t>m</w:t>
      </w:r>
      <w:r w:rsidR="00D31D14" w:rsidRPr="00576BFA">
        <w:rPr>
          <w:sz w:val="22"/>
          <w:szCs w:val="22"/>
        </w:rPr>
        <w:t>ix,</w:t>
      </w:r>
      <w:r w:rsidR="00E45EB2" w:rsidRPr="00576BFA">
        <w:rPr>
          <w:sz w:val="22"/>
          <w:szCs w:val="22"/>
        </w:rPr>
        <w:t xml:space="preserve"> </w:t>
      </w:r>
      <w:r w:rsidR="00D31D14" w:rsidRPr="00576BFA">
        <w:rPr>
          <w:sz w:val="22"/>
          <w:szCs w:val="22"/>
        </w:rPr>
        <w:t>chil</w:t>
      </w:r>
      <w:r w:rsidR="00D31D14" w:rsidRPr="00576BFA">
        <w:rPr>
          <w:spacing w:val="1"/>
          <w:sz w:val="22"/>
          <w:szCs w:val="22"/>
        </w:rPr>
        <w:t>l</w:t>
      </w:r>
      <w:r w:rsidR="00D31D14" w:rsidRPr="00576BFA">
        <w:rPr>
          <w:sz w:val="22"/>
          <w:szCs w:val="22"/>
        </w:rPr>
        <w:t>, </w:t>
      </w:r>
      <w:r w:rsidR="00D31D14" w:rsidRPr="00576BFA">
        <w:rPr>
          <w:spacing w:val="-1"/>
          <w:sz w:val="22"/>
          <w:szCs w:val="22"/>
        </w:rPr>
        <w:t>ca</w:t>
      </w:r>
      <w:r w:rsidR="00D31D14" w:rsidRPr="00576BFA">
        <w:rPr>
          <w:sz w:val="22"/>
          <w:szCs w:val="22"/>
        </w:rPr>
        <w:t>rbon</w:t>
      </w:r>
      <w:r w:rsidR="00D31D14" w:rsidRPr="00576BFA">
        <w:rPr>
          <w:spacing w:val="-2"/>
          <w:sz w:val="22"/>
          <w:szCs w:val="22"/>
        </w:rPr>
        <w:t>a</w:t>
      </w:r>
      <w:r w:rsidR="00D31D14" w:rsidRPr="00576BFA">
        <w:rPr>
          <w:sz w:val="22"/>
          <w:szCs w:val="22"/>
        </w:rPr>
        <w:t>te,</w:t>
      </w:r>
      <w:r w:rsidR="00D31D14" w:rsidRPr="00576BFA">
        <w:rPr>
          <w:spacing w:val="2"/>
          <w:sz w:val="22"/>
          <w:szCs w:val="22"/>
        </w:rPr>
        <w:t> </w:t>
      </w:r>
      <w:r w:rsidR="00D31D14" w:rsidRPr="00576BFA">
        <w:rPr>
          <w:sz w:val="22"/>
          <w:szCs w:val="22"/>
        </w:rPr>
        <w:t>p</w:t>
      </w:r>
      <w:r w:rsidR="00D31D14" w:rsidRPr="00576BFA">
        <w:rPr>
          <w:spacing w:val="-1"/>
          <w:sz w:val="22"/>
          <w:szCs w:val="22"/>
        </w:rPr>
        <w:t>a</w:t>
      </w:r>
      <w:r w:rsidR="00D31D14" w:rsidRPr="00576BFA">
        <w:rPr>
          <w:sz w:val="22"/>
          <w:szCs w:val="22"/>
        </w:rPr>
        <w:t>steu</w:t>
      </w:r>
      <w:r w:rsidR="00D31D14" w:rsidRPr="00576BFA">
        <w:rPr>
          <w:spacing w:val="-1"/>
          <w:sz w:val="22"/>
          <w:szCs w:val="22"/>
        </w:rPr>
        <w:t>r</w:t>
      </w:r>
      <w:r w:rsidR="00D31D14" w:rsidRPr="00576BFA">
        <w:rPr>
          <w:sz w:val="22"/>
          <w:szCs w:val="22"/>
        </w:rPr>
        <w:t>iz</w:t>
      </w:r>
      <w:r w:rsidR="00D31D14" w:rsidRPr="00576BFA">
        <w:rPr>
          <w:spacing w:val="-1"/>
          <w:sz w:val="22"/>
          <w:szCs w:val="22"/>
        </w:rPr>
        <w:t>e</w:t>
      </w:r>
      <w:r w:rsidR="00D31D14" w:rsidRPr="00576BFA">
        <w:rPr>
          <w:sz w:val="22"/>
          <w:szCs w:val="22"/>
        </w:rPr>
        <w:t>,</w:t>
      </w:r>
      <w:r w:rsidR="00D31D14" w:rsidRPr="00576BFA">
        <w:rPr>
          <w:spacing w:val="2"/>
          <w:sz w:val="22"/>
          <w:szCs w:val="22"/>
        </w:rPr>
        <w:t> </w:t>
      </w:r>
      <w:proofErr w:type="gramStart"/>
      <w:r w:rsidR="00D31D14" w:rsidRPr="00576BFA">
        <w:rPr>
          <w:sz w:val="22"/>
          <w:szCs w:val="22"/>
        </w:rPr>
        <w:t>fill</w:t>
      </w:r>
      <w:proofErr w:type="gramEnd"/>
      <w:r w:rsidR="00D31D14" w:rsidRPr="00576BFA">
        <w:rPr>
          <w:sz w:val="22"/>
          <w:szCs w:val="22"/>
        </w:rPr>
        <w:t xml:space="preserve"> and s</w:t>
      </w:r>
      <w:r w:rsidR="00D31D14" w:rsidRPr="00576BFA">
        <w:rPr>
          <w:spacing w:val="-1"/>
          <w:sz w:val="22"/>
          <w:szCs w:val="22"/>
        </w:rPr>
        <w:t>e</w:t>
      </w:r>
      <w:r w:rsidR="00D31D14" w:rsidRPr="00576BFA">
        <w:rPr>
          <w:spacing w:val="1"/>
          <w:sz w:val="22"/>
          <w:szCs w:val="22"/>
        </w:rPr>
        <w:t>a</w:t>
      </w:r>
      <w:r w:rsidR="00D31D14" w:rsidRPr="00576BFA">
        <w:rPr>
          <w:sz w:val="22"/>
          <w:szCs w:val="22"/>
        </w:rPr>
        <w:t>m c</w:t>
      </w:r>
      <w:r w:rsidR="00D31D14" w:rsidRPr="00576BFA">
        <w:rPr>
          <w:spacing w:val="-1"/>
          <w:sz w:val="22"/>
          <w:szCs w:val="22"/>
        </w:rPr>
        <w:t>a</w:t>
      </w:r>
      <w:r w:rsidR="00D31D14" w:rsidRPr="00576BFA">
        <w:rPr>
          <w:sz w:val="22"/>
          <w:szCs w:val="22"/>
        </w:rPr>
        <w:t xml:space="preserve">ns, </w:t>
      </w:r>
      <w:r w:rsidR="00D31D14" w:rsidRPr="00576BFA">
        <w:rPr>
          <w:spacing w:val="-1"/>
          <w:sz w:val="22"/>
          <w:szCs w:val="22"/>
        </w:rPr>
        <w:t>a</w:t>
      </w:r>
      <w:r w:rsidR="00D31D14" w:rsidRPr="00576BFA">
        <w:rPr>
          <w:sz w:val="22"/>
          <w:szCs w:val="22"/>
        </w:rPr>
        <w:t>nd </w:t>
      </w:r>
      <w:r w:rsidR="00D31D14" w:rsidRPr="00576BFA">
        <w:rPr>
          <w:spacing w:val="3"/>
          <w:sz w:val="22"/>
          <w:szCs w:val="22"/>
        </w:rPr>
        <w:t>C</w:t>
      </w:r>
      <w:r w:rsidR="00D31D14" w:rsidRPr="00576BFA">
        <w:rPr>
          <w:spacing w:val="-3"/>
          <w:sz w:val="22"/>
          <w:szCs w:val="22"/>
        </w:rPr>
        <w:t>I</w:t>
      </w:r>
      <w:r w:rsidR="00D31D14" w:rsidRPr="00576BFA">
        <w:rPr>
          <w:sz w:val="22"/>
          <w:szCs w:val="22"/>
        </w:rPr>
        <w:t>P</w:t>
      </w:r>
      <w:r w:rsidR="00D31D14" w:rsidRPr="00576BFA">
        <w:rPr>
          <w:spacing w:val="1"/>
          <w:sz w:val="22"/>
          <w:szCs w:val="22"/>
        </w:rPr>
        <w:t> </w:t>
      </w:r>
      <w:r w:rsidR="00D31D14" w:rsidRPr="00576BFA">
        <w:rPr>
          <w:spacing w:val="-1"/>
          <w:sz w:val="22"/>
          <w:szCs w:val="22"/>
        </w:rPr>
        <w:t>a</w:t>
      </w:r>
      <w:r w:rsidR="00D31D14" w:rsidRPr="00576BFA">
        <w:rPr>
          <w:sz w:val="22"/>
          <w:szCs w:val="22"/>
        </w:rPr>
        <w:t>t </w:t>
      </w:r>
      <w:r w:rsidR="00D31D14" w:rsidRPr="00576BFA">
        <w:rPr>
          <w:spacing w:val="1"/>
          <w:sz w:val="22"/>
          <w:szCs w:val="22"/>
        </w:rPr>
        <w:t>c</w:t>
      </w:r>
      <w:r w:rsidR="00D31D14" w:rsidRPr="00576BFA">
        <w:rPr>
          <w:sz w:val="22"/>
          <w:szCs w:val="22"/>
        </w:rPr>
        <w:t>usto</w:t>
      </w:r>
      <w:r w:rsidR="00D31D14" w:rsidRPr="00576BFA">
        <w:rPr>
          <w:spacing w:val="1"/>
          <w:sz w:val="22"/>
          <w:szCs w:val="22"/>
        </w:rPr>
        <w:t>m</w:t>
      </w:r>
      <w:r w:rsidR="00D31D14" w:rsidRPr="00576BFA">
        <w:rPr>
          <w:spacing w:val="-1"/>
          <w:sz w:val="22"/>
          <w:szCs w:val="22"/>
        </w:rPr>
        <w:t>e</w:t>
      </w:r>
      <w:r w:rsidR="00D31D14" w:rsidRPr="00576BFA">
        <w:rPr>
          <w:sz w:val="22"/>
          <w:szCs w:val="22"/>
        </w:rPr>
        <w:t>r lo</w:t>
      </w:r>
      <w:r w:rsidR="00D31D14" w:rsidRPr="00576BFA">
        <w:rPr>
          <w:spacing w:val="-1"/>
          <w:sz w:val="22"/>
          <w:szCs w:val="22"/>
        </w:rPr>
        <w:t>ca</w:t>
      </w:r>
      <w:r w:rsidR="00D31D14" w:rsidRPr="00576BFA">
        <w:rPr>
          <w:sz w:val="22"/>
          <w:szCs w:val="22"/>
        </w:rPr>
        <w:t>t</w:t>
      </w:r>
      <w:r w:rsidR="00D31D14" w:rsidRPr="00576BFA">
        <w:rPr>
          <w:spacing w:val="1"/>
          <w:sz w:val="22"/>
          <w:szCs w:val="22"/>
        </w:rPr>
        <w:t>i</w:t>
      </w:r>
      <w:r w:rsidR="00D31D14" w:rsidRPr="00576BFA">
        <w:rPr>
          <w:sz w:val="22"/>
          <w:szCs w:val="22"/>
        </w:rPr>
        <w:t>on</w:t>
      </w:r>
      <w:r w:rsidR="00A51C92">
        <w:rPr>
          <w:sz w:val="22"/>
          <w:szCs w:val="22"/>
        </w:rPr>
        <w:t>s</w:t>
      </w:r>
      <w:r w:rsidR="00D31D14" w:rsidRPr="00576BFA">
        <w:rPr>
          <w:sz w:val="22"/>
          <w:szCs w:val="22"/>
        </w:rPr>
        <w:t> </w:t>
      </w:r>
      <w:r w:rsidR="00D31D14" w:rsidRPr="00576BFA">
        <w:rPr>
          <w:spacing w:val="-1"/>
          <w:sz w:val="22"/>
          <w:szCs w:val="22"/>
        </w:rPr>
        <w:t>a</w:t>
      </w:r>
      <w:r w:rsidR="00D31D14" w:rsidRPr="00576BFA">
        <w:rPr>
          <w:sz w:val="22"/>
          <w:szCs w:val="22"/>
        </w:rPr>
        <w:t xml:space="preserve">t a projected </w:t>
      </w:r>
      <w:r w:rsidR="00D31D14" w:rsidRPr="00576BFA">
        <w:rPr>
          <w:spacing w:val="1"/>
          <w:sz w:val="22"/>
          <w:szCs w:val="22"/>
        </w:rPr>
        <w:t>r</w:t>
      </w:r>
      <w:r w:rsidR="00D31D14" w:rsidRPr="00576BFA">
        <w:rPr>
          <w:spacing w:val="-1"/>
          <w:sz w:val="22"/>
          <w:szCs w:val="22"/>
        </w:rPr>
        <w:t>a</w:t>
      </w:r>
      <w:r w:rsidR="00D31D14" w:rsidRPr="00576BFA">
        <w:rPr>
          <w:sz w:val="22"/>
          <w:szCs w:val="22"/>
        </w:rPr>
        <w:t>te</w:t>
      </w:r>
      <w:r w:rsidR="00D31D14" w:rsidRPr="00576BFA">
        <w:rPr>
          <w:spacing w:val="2"/>
          <w:sz w:val="22"/>
          <w:szCs w:val="22"/>
        </w:rPr>
        <w:t> </w:t>
      </w:r>
      <w:r w:rsidR="00D31D14" w:rsidRPr="00576BFA">
        <w:rPr>
          <w:sz w:val="22"/>
          <w:szCs w:val="22"/>
        </w:rPr>
        <w:t>of 15</w:t>
      </w:r>
      <w:r w:rsidR="00D31D14" w:rsidRPr="00576BFA">
        <w:rPr>
          <w:spacing w:val="-1"/>
          <w:sz w:val="22"/>
          <w:szCs w:val="22"/>
        </w:rPr>
        <w:t> ca</w:t>
      </w:r>
      <w:r w:rsidR="00D31D14" w:rsidRPr="00576BFA">
        <w:rPr>
          <w:sz w:val="22"/>
          <w:szCs w:val="22"/>
        </w:rPr>
        <w:t>s</w:t>
      </w:r>
      <w:r w:rsidR="00D31D14" w:rsidRPr="00576BFA">
        <w:rPr>
          <w:spacing w:val="-1"/>
          <w:sz w:val="22"/>
          <w:szCs w:val="22"/>
        </w:rPr>
        <w:t>e</w:t>
      </w:r>
      <w:r w:rsidR="00D31D14" w:rsidRPr="00576BFA">
        <w:rPr>
          <w:sz w:val="22"/>
          <w:szCs w:val="22"/>
        </w:rPr>
        <w:t>s </w:t>
      </w:r>
      <w:r w:rsidR="00D31D14" w:rsidRPr="00576BFA">
        <w:rPr>
          <w:spacing w:val="2"/>
          <w:sz w:val="22"/>
          <w:szCs w:val="22"/>
        </w:rPr>
        <w:t>p</w:t>
      </w:r>
      <w:r w:rsidR="00D31D14" w:rsidRPr="00576BFA">
        <w:rPr>
          <w:spacing w:val="-1"/>
          <w:sz w:val="22"/>
          <w:szCs w:val="22"/>
        </w:rPr>
        <w:t>e</w:t>
      </w:r>
      <w:r w:rsidR="00D31D14" w:rsidRPr="00576BFA">
        <w:rPr>
          <w:sz w:val="22"/>
          <w:szCs w:val="22"/>
        </w:rPr>
        <w:t>r ho</w:t>
      </w:r>
      <w:r w:rsidR="00D31D14" w:rsidRPr="00576BFA">
        <w:rPr>
          <w:spacing w:val="-1"/>
          <w:sz w:val="22"/>
          <w:szCs w:val="22"/>
        </w:rPr>
        <w:t>u</w:t>
      </w:r>
      <w:r w:rsidR="00D31D14" w:rsidRPr="00576BFA">
        <w:rPr>
          <w:sz w:val="22"/>
          <w:szCs w:val="22"/>
        </w:rPr>
        <w:t>r.</w:t>
      </w:r>
      <w:r w:rsidR="00D31D14" w:rsidRPr="00576BFA">
        <w:rPr>
          <w:spacing w:val="1"/>
          <w:sz w:val="22"/>
          <w:szCs w:val="22"/>
        </w:rPr>
        <w:t> </w:t>
      </w:r>
      <w:r w:rsidR="00A71A54" w:rsidRPr="00A71A54">
        <w:rPr>
          <w:spacing w:val="1"/>
          <w:sz w:val="22"/>
          <w:szCs w:val="22"/>
        </w:rPr>
        <w:t>At launch, th</w:t>
      </w:r>
      <w:r w:rsidR="002467E8">
        <w:rPr>
          <w:spacing w:val="1"/>
          <w:sz w:val="22"/>
          <w:szCs w:val="22"/>
        </w:rPr>
        <w:t>e</w:t>
      </w:r>
      <w:r w:rsidR="00A71A54" w:rsidRPr="00A71A54">
        <w:rPr>
          <w:spacing w:val="1"/>
          <w:sz w:val="22"/>
          <w:szCs w:val="22"/>
        </w:rPr>
        <w:t xml:space="preserve"> product will be produced in the new commercial kitchen </w:t>
      </w:r>
      <w:r w:rsidR="00E85EBB">
        <w:rPr>
          <w:spacing w:val="1"/>
          <w:sz w:val="22"/>
          <w:szCs w:val="22"/>
        </w:rPr>
        <w:t>upgraded through</w:t>
      </w:r>
      <w:r w:rsidR="00A71A54" w:rsidRPr="00A71A54">
        <w:rPr>
          <w:spacing w:val="1"/>
          <w:sz w:val="22"/>
          <w:szCs w:val="22"/>
        </w:rPr>
        <w:t xml:space="preserve"> N</w:t>
      </w:r>
      <w:r w:rsidR="00F93C10">
        <w:rPr>
          <w:spacing w:val="1"/>
          <w:sz w:val="22"/>
          <w:szCs w:val="22"/>
        </w:rPr>
        <w:t>ew Leaf</w:t>
      </w:r>
      <w:r w:rsidR="00A71A54" w:rsidRPr="00A71A54">
        <w:rPr>
          <w:spacing w:val="1"/>
          <w:sz w:val="22"/>
          <w:szCs w:val="22"/>
        </w:rPr>
        <w:t xml:space="preserve"> USA</w:t>
      </w:r>
      <w:r w:rsidR="00E85EBB">
        <w:rPr>
          <w:spacing w:val="1"/>
          <w:sz w:val="22"/>
          <w:szCs w:val="22"/>
        </w:rPr>
        <w:t>’s recent investments</w:t>
      </w:r>
      <w:r w:rsidR="00A71A54" w:rsidRPr="00A71A54">
        <w:rPr>
          <w:spacing w:val="1"/>
          <w:sz w:val="22"/>
          <w:szCs w:val="22"/>
        </w:rPr>
        <w:t xml:space="preserve"> and </w:t>
      </w:r>
      <w:r w:rsidR="007C2ADC">
        <w:rPr>
          <w:spacing w:val="1"/>
          <w:sz w:val="22"/>
          <w:szCs w:val="22"/>
        </w:rPr>
        <w:t xml:space="preserve">are </w:t>
      </w:r>
      <w:r w:rsidR="003B04DC">
        <w:rPr>
          <w:spacing w:val="1"/>
          <w:sz w:val="22"/>
          <w:szCs w:val="22"/>
        </w:rPr>
        <w:t xml:space="preserve">planned for </w:t>
      </w:r>
      <w:r w:rsidR="00A71A54" w:rsidRPr="00A71A54">
        <w:rPr>
          <w:spacing w:val="1"/>
          <w:sz w:val="22"/>
          <w:szCs w:val="22"/>
        </w:rPr>
        <w:t>distribut</w:t>
      </w:r>
      <w:r w:rsidR="003B04DC">
        <w:rPr>
          <w:spacing w:val="1"/>
          <w:sz w:val="22"/>
          <w:szCs w:val="22"/>
        </w:rPr>
        <w:t>ion</w:t>
      </w:r>
      <w:r w:rsidR="00A71A54" w:rsidRPr="00A71A54">
        <w:rPr>
          <w:spacing w:val="1"/>
          <w:sz w:val="22"/>
          <w:szCs w:val="22"/>
        </w:rPr>
        <w:t xml:space="preserve"> within Washington State in Q3 of 2021.</w:t>
      </w:r>
    </w:p>
    <w:p w14:paraId="5394EE78" w14:textId="34091F4E" w:rsidR="00BC3F0A" w:rsidRPr="00576BFA" w:rsidRDefault="00BC3F0A" w:rsidP="00FD5AF6">
      <w:pPr>
        <w:jc w:val="both"/>
        <w:rPr>
          <w:sz w:val="22"/>
          <w:szCs w:val="22"/>
        </w:rPr>
      </w:pPr>
    </w:p>
    <w:p w14:paraId="3B864818" w14:textId="0090C8F0" w:rsidR="00480DC0" w:rsidRPr="00CF43B6" w:rsidRDefault="00A71A54" w:rsidP="00CF43B6">
      <w:pPr>
        <w:jc w:val="both"/>
        <w:rPr>
          <w:sz w:val="22"/>
          <w:szCs w:val="22"/>
        </w:rPr>
      </w:pPr>
      <w:r w:rsidRPr="007C64CC">
        <w:rPr>
          <w:sz w:val="22"/>
          <w:szCs w:val="22"/>
        </w:rPr>
        <w:t>Michael Stier, CEO of New Leaf Ventures states,</w:t>
      </w:r>
      <w:r>
        <w:rPr>
          <w:sz w:val="22"/>
          <w:szCs w:val="22"/>
        </w:rPr>
        <w:t xml:space="preserve"> “We are </w:t>
      </w:r>
      <w:r w:rsidR="004E4ADA">
        <w:rPr>
          <w:sz w:val="22"/>
          <w:szCs w:val="22"/>
        </w:rPr>
        <w:t>incredibly pleased</w:t>
      </w:r>
      <w:r>
        <w:rPr>
          <w:sz w:val="22"/>
          <w:szCs w:val="22"/>
        </w:rPr>
        <w:t xml:space="preserve"> by the considered approach and </w:t>
      </w:r>
      <w:r w:rsidR="00362E46">
        <w:rPr>
          <w:sz w:val="22"/>
          <w:szCs w:val="22"/>
        </w:rPr>
        <w:t>commitment to excellence in this venture. The opportunity continues to grow</w:t>
      </w:r>
      <w:r w:rsidR="004E4ADA">
        <w:rPr>
          <w:sz w:val="22"/>
          <w:szCs w:val="22"/>
        </w:rPr>
        <w:t xml:space="preserve">, the statistics </w:t>
      </w:r>
      <w:r w:rsidR="000B42AD">
        <w:rPr>
          <w:sz w:val="22"/>
          <w:szCs w:val="22"/>
        </w:rPr>
        <w:t xml:space="preserve">continue to trend positively, and we are excited to add infused beverages into our product mix. </w:t>
      </w:r>
      <w:r w:rsidR="00B86094">
        <w:rPr>
          <w:sz w:val="22"/>
          <w:szCs w:val="22"/>
        </w:rPr>
        <w:t xml:space="preserve">Each step undertaken </w:t>
      </w:r>
      <w:r w:rsidR="00E621C2">
        <w:rPr>
          <w:sz w:val="22"/>
          <w:szCs w:val="22"/>
        </w:rPr>
        <w:t xml:space="preserve">through the acquisition of </w:t>
      </w:r>
      <w:r w:rsidR="00B86094">
        <w:rPr>
          <w:sz w:val="22"/>
          <w:szCs w:val="22"/>
        </w:rPr>
        <w:t xml:space="preserve">new </w:t>
      </w:r>
      <w:r w:rsidR="001F497F">
        <w:rPr>
          <w:sz w:val="22"/>
          <w:szCs w:val="22"/>
        </w:rPr>
        <w:t>equipment improves efficiency and productivity</w:t>
      </w:r>
      <w:r w:rsidR="008A5FA5">
        <w:rPr>
          <w:sz w:val="22"/>
          <w:szCs w:val="22"/>
        </w:rPr>
        <w:t xml:space="preserve">. Combined with </w:t>
      </w:r>
      <w:r w:rsidR="00793705">
        <w:rPr>
          <w:sz w:val="22"/>
          <w:szCs w:val="22"/>
        </w:rPr>
        <w:t>agreement</w:t>
      </w:r>
      <w:r w:rsidR="009046B7">
        <w:rPr>
          <w:sz w:val="22"/>
          <w:szCs w:val="22"/>
        </w:rPr>
        <w:t>s</w:t>
      </w:r>
      <w:r w:rsidR="00793705">
        <w:rPr>
          <w:sz w:val="22"/>
          <w:szCs w:val="22"/>
        </w:rPr>
        <w:t xml:space="preserve"> that bring new ways of improving our product mix</w:t>
      </w:r>
      <w:r w:rsidR="00267199">
        <w:rPr>
          <w:sz w:val="22"/>
          <w:szCs w:val="22"/>
        </w:rPr>
        <w:t>,</w:t>
      </w:r>
      <w:r w:rsidR="00793705">
        <w:rPr>
          <w:sz w:val="22"/>
          <w:szCs w:val="22"/>
        </w:rPr>
        <w:t xml:space="preserve"> </w:t>
      </w:r>
      <w:r w:rsidR="009046B7">
        <w:rPr>
          <w:sz w:val="22"/>
          <w:szCs w:val="22"/>
        </w:rPr>
        <w:t xml:space="preserve">alongside </w:t>
      </w:r>
      <w:r w:rsidR="00267199">
        <w:rPr>
          <w:sz w:val="22"/>
          <w:szCs w:val="22"/>
        </w:rPr>
        <w:t xml:space="preserve">the introduction of </w:t>
      </w:r>
      <w:r w:rsidR="009046B7">
        <w:rPr>
          <w:sz w:val="22"/>
          <w:szCs w:val="22"/>
        </w:rPr>
        <w:t xml:space="preserve">proven business </w:t>
      </w:r>
      <w:r w:rsidR="00267199">
        <w:rPr>
          <w:sz w:val="22"/>
          <w:szCs w:val="22"/>
        </w:rPr>
        <w:t>method</w:t>
      </w:r>
      <w:r w:rsidR="00120B00">
        <w:rPr>
          <w:sz w:val="22"/>
          <w:szCs w:val="22"/>
        </w:rPr>
        <w:t>s and practices</w:t>
      </w:r>
      <w:r w:rsidR="009046B7">
        <w:rPr>
          <w:sz w:val="22"/>
          <w:szCs w:val="22"/>
        </w:rPr>
        <w:t xml:space="preserve"> is </w:t>
      </w:r>
      <w:r w:rsidR="00120B00">
        <w:rPr>
          <w:sz w:val="22"/>
          <w:szCs w:val="22"/>
        </w:rPr>
        <w:t>a further</w:t>
      </w:r>
      <w:r w:rsidR="009046B7">
        <w:rPr>
          <w:sz w:val="22"/>
          <w:szCs w:val="22"/>
        </w:rPr>
        <w:t xml:space="preserve"> demonstration as to how we intend </w:t>
      </w:r>
      <w:r w:rsidR="00AF03B3">
        <w:rPr>
          <w:sz w:val="22"/>
          <w:szCs w:val="22"/>
        </w:rPr>
        <w:t>t</w:t>
      </w:r>
      <w:r w:rsidR="009046B7">
        <w:rPr>
          <w:sz w:val="22"/>
          <w:szCs w:val="22"/>
        </w:rPr>
        <w:t>o move the needle forward</w:t>
      </w:r>
      <w:r w:rsidR="00BB7B2C">
        <w:rPr>
          <w:sz w:val="22"/>
          <w:szCs w:val="22"/>
        </w:rPr>
        <w:t xml:space="preserve"> toward increasing the fundamental asset worth of our holdings. It’s </w:t>
      </w:r>
      <w:r w:rsidR="00122497">
        <w:rPr>
          <w:sz w:val="22"/>
          <w:szCs w:val="22"/>
        </w:rPr>
        <w:t>an exciting</w:t>
      </w:r>
      <w:r w:rsidR="00BB7B2C">
        <w:rPr>
          <w:sz w:val="22"/>
          <w:szCs w:val="22"/>
        </w:rPr>
        <w:t xml:space="preserve"> time </w:t>
      </w:r>
      <w:r w:rsidR="00122497">
        <w:rPr>
          <w:sz w:val="22"/>
          <w:szCs w:val="22"/>
        </w:rPr>
        <w:t>to be building a business in this expanding marketplace.”</w:t>
      </w:r>
      <w:r w:rsidR="00BB7B2C">
        <w:rPr>
          <w:sz w:val="22"/>
          <w:szCs w:val="22"/>
        </w:rPr>
        <w:t xml:space="preserve"> </w:t>
      </w:r>
      <w:r w:rsidR="00454218">
        <w:rPr>
          <w:sz w:val="22"/>
          <w:szCs w:val="22"/>
        </w:rPr>
        <w:br/>
      </w:r>
      <w:r w:rsidR="00CF43B6">
        <w:rPr>
          <w:sz w:val="22"/>
          <w:szCs w:val="22"/>
        </w:rPr>
        <w:br/>
      </w:r>
      <w:r w:rsidR="00480DC0" w:rsidRPr="00CF43B6">
        <w:rPr>
          <w:sz w:val="22"/>
          <w:szCs w:val="22"/>
          <w:lang w:val="en-CA"/>
        </w:rPr>
        <w:t xml:space="preserve">Furthermore, the Company announces the acceleration of </w:t>
      </w:r>
      <w:r w:rsidR="0044287A" w:rsidRPr="00CF43B6">
        <w:rPr>
          <w:sz w:val="22"/>
          <w:szCs w:val="22"/>
          <w:lang w:val="en-CA"/>
        </w:rPr>
        <w:t>2,1</w:t>
      </w:r>
      <w:r w:rsidR="007962A4" w:rsidRPr="00CF43B6">
        <w:rPr>
          <w:sz w:val="22"/>
          <w:szCs w:val="22"/>
          <w:lang w:val="en-CA"/>
        </w:rPr>
        <w:t>43,165</w:t>
      </w:r>
      <w:r w:rsidR="0044287A" w:rsidRPr="00CF43B6">
        <w:rPr>
          <w:sz w:val="22"/>
          <w:szCs w:val="22"/>
          <w:lang w:val="en-CA"/>
        </w:rPr>
        <w:t xml:space="preserve"> </w:t>
      </w:r>
      <w:r w:rsidR="00480DC0" w:rsidRPr="00CF43B6">
        <w:rPr>
          <w:sz w:val="22"/>
          <w:szCs w:val="22"/>
          <w:lang w:val="en-CA"/>
        </w:rPr>
        <w:t>outstanding warrants (the "</w:t>
      </w:r>
      <w:r w:rsidR="00480DC0" w:rsidRPr="00CF43B6">
        <w:rPr>
          <w:b/>
          <w:bCs/>
          <w:sz w:val="22"/>
          <w:szCs w:val="22"/>
          <w:lang w:val="en-CA"/>
        </w:rPr>
        <w:t>Accelerated Warrants</w:t>
      </w:r>
      <w:r w:rsidR="00480DC0" w:rsidRPr="00CF43B6">
        <w:rPr>
          <w:sz w:val="22"/>
          <w:szCs w:val="22"/>
          <w:lang w:val="en-CA"/>
        </w:rPr>
        <w:t xml:space="preserve">") that were previously issued in connection with the Company’s initial public </w:t>
      </w:r>
      <w:r w:rsidR="00480DC0" w:rsidRPr="00CF43B6">
        <w:rPr>
          <w:sz w:val="22"/>
          <w:szCs w:val="22"/>
          <w:lang w:val="en-CA"/>
        </w:rPr>
        <w:lastRenderedPageBreak/>
        <w:t xml:space="preserve">offering of units. Each Accelerated Warrant entitles the holder thereof to purchase one common share in the capital of the Company at a price of $0.40; the original exercise period of the Accelerated Warrants was 24 months, however, </w:t>
      </w:r>
      <w:proofErr w:type="gramStart"/>
      <w:r w:rsidR="00480DC0" w:rsidRPr="00CF43B6">
        <w:rPr>
          <w:sz w:val="22"/>
          <w:szCs w:val="22"/>
          <w:lang w:val="en-CA"/>
        </w:rPr>
        <w:t>as a result of</w:t>
      </w:r>
      <w:proofErr w:type="gramEnd"/>
      <w:r w:rsidR="00480DC0" w:rsidRPr="00CF43B6">
        <w:rPr>
          <w:sz w:val="22"/>
          <w:szCs w:val="22"/>
          <w:lang w:val="en-CA"/>
        </w:rPr>
        <w:t xml:space="preserve"> the Company’s common shares trading above $0.60 for the last 10 consecutive trading days, the exercise period has been accelerated such that it now expires within 30 days</w:t>
      </w:r>
      <w:r w:rsidR="00D16FC2">
        <w:rPr>
          <w:sz w:val="22"/>
          <w:szCs w:val="22"/>
          <w:lang w:val="en-CA"/>
        </w:rPr>
        <w:t xml:space="preserve"> (March 31, 2021)</w:t>
      </w:r>
      <w:r w:rsidR="00480DC0" w:rsidRPr="00CF43B6">
        <w:rPr>
          <w:sz w:val="22"/>
          <w:szCs w:val="22"/>
          <w:lang w:val="en-CA"/>
        </w:rPr>
        <w:t>. Any Accelerated Warrants unexercised as of the new expiry date will be void and of no effect whatsoever.</w:t>
      </w:r>
    </w:p>
    <w:p w14:paraId="45E9D1D1" w14:textId="36231D7C" w:rsidR="00CE1248" w:rsidRPr="00CF43B6" w:rsidRDefault="00CE1248" w:rsidP="00714CC6">
      <w:pPr>
        <w:jc w:val="both"/>
        <w:rPr>
          <w:sz w:val="22"/>
          <w:szCs w:val="22"/>
        </w:rPr>
      </w:pPr>
    </w:p>
    <w:p w14:paraId="7C2F00B9" w14:textId="636D1E0D" w:rsidR="00CE1248" w:rsidRPr="00CF43B6" w:rsidRDefault="00CE1248" w:rsidP="00714CC6">
      <w:pPr>
        <w:jc w:val="both"/>
        <w:rPr>
          <w:sz w:val="22"/>
          <w:szCs w:val="22"/>
        </w:rPr>
      </w:pPr>
      <w:r w:rsidRPr="00CF43B6">
        <w:rPr>
          <w:sz w:val="22"/>
          <w:szCs w:val="22"/>
        </w:rPr>
        <w:t xml:space="preserve">Lastly, in preparation for the Q4 audit the Company uncovered a clerical error in the original IP Licensing agreement between New Leaf IP, LLC (“New Leaf”) and New Leaf Enterprises, Inc. (“NLE”) whereby Section 4.1 states any interest owing on overdue amounts will be calculated at “fifteen percent (15%) per month” when it should state “fifteen percent (15%) per year. The Companies have rectified the language and any past due amounts will reflect the proper and originally intended calculation. </w:t>
      </w:r>
    </w:p>
    <w:p w14:paraId="3F8384B7" w14:textId="77777777" w:rsidR="00FD5AF6" w:rsidRPr="008E4612" w:rsidRDefault="00FD5AF6" w:rsidP="00FD5AF6">
      <w:pPr>
        <w:jc w:val="both"/>
        <w:rPr>
          <w:sz w:val="22"/>
          <w:szCs w:val="22"/>
        </w:rPr>
      </w:pPr>
    </w:p>
    <w:p w14:paraId="05E891BD" w14:textId="77777777" w:rsidR="002825B9" w:rsidRPr="00F337F3" w:rsidRDefault="00EF4546">
      <w:pPr>
        <w:jc w:val="both"/>
      </w:pPr>
      <w:r w:rsidRPr="00F337F3">
        <w:rPr>
          <w:b/>
        </w:rPr>
        <w:t xml:space="preserve">About New Leaf Ventures Inc. </w:t>
      </w:r>
      <w:r w:rsidRPr="00F337F3">
        <w:t>(CSE: NLV) (OTC: NLVVF)</w:t>
      </w:r>
    </w:p>
    <w:p w14:paraId="05E891BE" w14:textId="77777777" w:rsidR="002825B9" w:rsidRPr="00F337F3" w:rsidRDefault="00EF4546">
      <w:pPr>
        <w:pBdr>
          <w:top w:val="nil"/>
          <w:left w:val="nil"/>
          <w:bottom w:val="nil"/>
          <w:right w:val="nil"/>
          <w:between w:val="nil"/>
        </w:pBdr>
        <w:jc w:val="both"/>
        <w:rPr>
          <w:color w:val="000000"/>
        </w:rPr>
      </w:pPr>
      <w:r w:rsidRPr="00F337F3">
        <w:rPr>
          <w:color w:val="000000"/>
        </w:rPr>
        <w:t>New Leaf Ventures</w:t>
      </w:r>
      <w:r w:rsidRPr="00F337F3">
        <w:rPr>
          <w:b/>
          <w:color w:val="000000"/>
        </w:rPr>
        <w:t xml:space="preserve"> </w:t>
      </w:r>
      <w:r w:rsidRPr="00F337F3">
        <w:rPr>
          <w:color w:val="000000"/>
        </w:rPr>
        <w:t>Inc.</w:t>
      </w:r>
      <w:r w:rsidRPr="00F337F3">
        <w:rPr>
          <w:b/>
          <w:color w:val="000000"/>
        </w:rPr>
        <w:t xml:space="preserve"> </w:t>
      </w:r>
      <w:r w:rsidRPr="00F337F3">
        <w:rPr>
          <w:color w:val="000000"/>
        </w:rPr>
        <w:t xml:space="preserve">is developing a cannabis sector-based scalable securities concept of focused financing and applied management to achieve earnings growth through targeted investment. The Company’s flagship enterprise is New Leaf USA and its subsidiaries, which provide licenses, consulting services, real property, intellectual property and equipment for lease and ancillary services to a Washington-based Tier 3 Producer/Processor focused on cultivating, growing, processing, packaging, and distributing cannabis and cannabis related products. Find out more at: </w:t>
      </w:r>
      <w:hyperlink r:id="rId11">
        <w:r w:rsidRPr="00F337F3">
          <w:rPr>
            <w:color w:val="0000FF"/>
            <w:u w:val="single"/>
          </w:rPr>
          <w:t>https://newleafventuresinc.com/</w:t>
        </w:r>
      </w:hyperlink>
      <w:r w:rsidRPr="00F337F3">
        <w:rPr>
          <w:color w:val="000000"/>
        </w:rPr>
        <w:t>.</w:t>
      </w:r>
    </w:p>
    <w:p w14:paraId="05E891BF" w14:textId="77777777" w:rsidR="002825B9" w:rsidRPr="00F337F3" w:rsidRDefault="002825B9">
      <w:pPr>
        <w:jc w:val="both"/>
      </w:pPr>
    </w:p>
    <w:p w14:paraId="05E891C0" w14:textId="77777777" w:rsidR="002825B9" w:rsidRPr="00F337F3" w:rsidRDefault="00EF4546">
      <w:pPr>
        <w:jc w:val="both"/>
      </w:pPr>
      <w:r w:rsidRPr="00F337F3">
        <w:t>For further information, please contact:</w:t>
      </w:r>
    </w:p>
    <w:p w14:paraId="05E891C1" w14:textId="77777777" w:rsidR="002825B9" w:rsidRPr="00F337F3" w:rsidRDefault="00EF4546">
      <w:pPr>
        <w:jc w:val="both"/>
      </w:pPr>
      <w:r w:rsidRPr="00F337F3">
        <w:t>New Leaf Ventures Inc.</w:t>
      </w:r>
    </w:p>
    <w:p w14:paraId="05E891C2" w14:textId="77777777" w:rsidR="002825B9" w:rsidRPr="00F337F3" w:rsidRDefault="00EF4546">
      <w:pPr>
        <w:jc w:val="both"/>
      </w:pPr>
      <w:r w:rsidRPr="00F337F3">
        <w:t>Invictus Investor Relations</w:t>
      </w:r>
    </w:p>
    <w:p w14:paraId="05E891C3" w14:textId="77777777" w:rsidR="002825B9" w:rsidRPr="00F337F3" w:rsidRDefault="00EF4546">
      <w:pPr>
        <w:jc w:val="both"/>
      </w:pPr>
      <w:r w:rsidRPr="00F337F3">
        <w:t>Tel: +1 (604) 330-9220</w:t>
      </w:r>
    </w:p>
    <w:p w14:paraId="05E891C4" w14:textId="77777777" w:rsidR="002825B9" w:rsidRPr="00F337F3" w:rsidRDefault="00EF4546">
      <w:pPr>
        <w:jc w:val="both"/>
      </w:pPr>
      <w:r w:rsidRPr="00F337F3">
        <w:t xml:space="preserve">Email: </w:t>
      </w:r>
      <w:hyperlink r:id="rId12">
        <w:r w:rsidRPr="00F337F3">
          <w:rPr>
            <w:color w:val="0000FF"/>
            <w:u w:val="single"/>
          </w:rPr>
          <w:t>investors@newleafventuresinc.com</w:t>
        </w:r>
      </w:hyperlink>
    </w:p>
    <w:p w14:paraId="05E891C5" w14:textId="77777777" w:rsidR="002825B9" w:rsidRPr="00F337F3" w:rsidRDefault="002825B9">
      <w:pPr>
        <w:jc w:val="both"/>
        <w:rPr>
          <w:b/>
        </w:rPr>
      </w:pPr>
    </w:p>
    <w:p w14:paraId="05E891C6" w14:textId="77777777" w:rsidR="002825B9" w:rsidRDefault="00EF4546">
      <w:pPr>
        <w:jc w:val="both"/>
        <w:rPr>
          <w:b/>
          <w:sz w:val="22"/>
          <w:szCs w:val="22"/>
        </w:rPr>
      </w:pPr>
      <w:r>
        <w:rPr>
          <w:b/>
          <w:sz w:val="22"/>
          <w:szCs w:val="22"/>
        </w:rPr>
        <w:t xml:space="preserve">Forward Looking Statement </w:t>
      </w:r>
    </w:p>
    <w:p w14:paraId="05E891C7" w14:textId="77777777" w:rsidR="002825B9" w:rsidRDefault="00EF4546">
      <w:pPr>
        <w:jc w:val="both"/>
        <w:rPr>
          <w:i/>
          <w:color w:val="000000"/>
          <w:sz w:val="22"/>
          <w:szCs w:val="22"/>
        </w:rPr>
      </w:pPr>
      <w:r>
        <w:rPr>
          <w:i/>
          <w:color w:val="000000"/>
          <w:sz w:val="22"/>
          <w:szCs w:val="22"/>
        </w:rPr>
        <w:t xml:space="preserve">This news release contains statements and information that, to the extent that they are not historical fact, may constitute “forward-looking information” within the meaning of applicable securities legislation. Forward-looking information may include financial and other projections, as well as statements regarding </w:t>
      </w:r>
      <w:proofErr w:type="gramStart"/>
      <w:r>
        <w:rPr>
          <w:i/>
          <w:color w:val="000000"/>
          <w:sz w:val="22"/>
          <w:szCs w:val="22"/>
        </w:rPr>
        <w:t>future plans</w:t>
      </w:r>
      <w:proofErr w:type="gramEnd"/>
      <w:r>
        <w:rPr>
          <w:i/>
          <w:color w:val="000000"/>
          <w:sz w:val="22"/>
          <w:szCs w:val="22"/>
        </w:rPr>
        <w:t>, objectives, or economic performance, or the assumption underlying any of the foregoing. In some cases, forward-looking statements can be identified by terms such as “may”, “would”, “could”, “will”, “likely”, “except”, “anticipate”, “believe”, “intend”, “plan”, “forecast”, “project”, “estimate”, “outlook”, or the negative thereof or other similar expressions concerning matters that are not historical facts. Examples of such statements include, but are not limited to, statements with respect to the objectives and business plans of the Company;</w:t>
      </w:r>
      <w:r>
        <w:rPr>
          <w:sz w:val="22"/>
          <w:szCs w:val="22"/>
        </w:rPr>
        <w:t xml:space="preserve"> </w:t>
      </w:r>
      <w:r>
        <w:rPr>
          <w:i/>
          <w:color w:val="000000"/>
          <w:sz w:val="22"/>
          <w:szCs w:val="22"/>
        </w:rPr>
        <w:t>ability to realize benefits from its recent corporate appointments; ability to retain its key personnel; the intention to grow the Company’s business and operations; the competitive conditions of the industries in which the Company operates; and laws and any amendments thereto applicable to the Company.</w:t>
      </w:r>
    </w:p>
    <w:p w14:paraId="05E891C8" w14:textId="77777777" w:rsidR="002825B9" w:rsidRDefault="002825B9">
      <w:pPr>
        <w:pBdr>
          <w:top w:val="nil"/>
          <w:left w:val="nil"/>
          <w:bottom w:val="nil"/>
          <w:right w:val="nil"/>
          <w:between w:val="nil"/>
        </w:pBdr>
        <w:jc w:val="both"/>
        <w:rPr>
          <w:color w:val="000000"/>
          <w:sz w:val="22"/>
          <w:szCs w:val="22"/>
        </w:rPr>
      </w:pPr>
    </w:p>
    <w:p w14:paraId="05E891C9" w14:textId="77777777" w:rsidR="002825B9" w:rsidRDefault="00EF4546">
      <w:pPr>
        <w:jc w:val="both"/>
        <w:rPr>
          <w:i/>
          <w:color w:val="000000"/>
          <w:sz w:val="22"/>
          <w:szCs w:val="22"/>
        </w:rPr>
      </w:pPr>
      <w:r>
        <w:rPr>
          <w:i/>
          <w:color w:val="000000"/>
          <w:sz w:val="22"/>
          <w:szCs w:val="22"/>
        </w:rPr>
        <w:t xml:space="preserve">Forward-looking information is based on the assumptions, estimates, </w:t>
      </w:r>
      <w:proofErr w:type="gramStart"/>
      <w:r>
        <w:rPr>
          <w:i/>
          <w:color w:val="000000"/>
          <w:sz w:val="22"/>
          <w:szCs w:val="22"/>
        </w:rPr>
        <w:t>analysis</w:t>
      </w:r>
      <w:proofErr w:type="gramEnd"/>
      <w:r>
        <w:rPr>
          <w:i/>
          <w:color w:val="000000"/>
          <w:sz w:val="22"/>
          <w:szCs w:val="22"/>
        </w:rPr>
        <w:t xml:space="preserve"> and opinions of management made in light of its experience and its perception of trends, current conditions and expected developments, as well as other factors that management believes to be relevant and reasonable in the circumstances at the date that such statements are made, but which may prove to be incorrect. The material factors and assumptions used to develop the forward-looking information contained in this news release include, but are not limited to, key personnel and qualified employees continuing their involvement with the Company; and the Company’s ability to secure financing on reasonable terms. </w:t>
      </w:r>
    </w:p>
    <w:p w14:paraId="05E891CA" w14:textId="77777777" w:rsidR="002825B9" w:rsidRDefault="002825B9">
      <w:pPr>
        <w:jc w:val="both"/>
        <w:rPr>
          <w:i/>
          <w:color w:val="000000"/>
          <w:sz w:val="22"/>
          <w:szCs w:val="22"/>
        </w:rPr>
      </w:pPr>
    </w:p>
    <w:p w14:paraId="05E891CB" w14:textId="77777777" w:rsidR="002825B9" w:rsidRDefault="00EF4546">
      <w:pPr>
        <w:jc w:val="both"/>
        <w:rPr>
          <w:i/>
          <w:color w:val="000000"/>
          <w:sz w:val="22"/>
          <w:szCs w:val="22"/>
        </w:rPr>
      </w:pPr>
      <w:r>
        <w:rPr>
          <w:i/>
          <w:color w:val="000000"/>
          <w:sz w:val="22"/>
          <w:szCs w:val="22"/>
        </w:rPr>
        <w:t>Forward-looking information involves known and unknown risks, uncertainties and other factors that may cause the actual results, performance or achievements of the Company to differ materially from any future results, performance or achievements expressed or implied by the forward-looking information, including, without limitation,  risks relating to the future business plans of the Company;</w:t>
      </w:r>
      <w:r>
        <w:rPr>
          <w:sz w:val="22"/>
          <w:szCs w:val="22"/>
        </w:rPr>
        <w:t xml:space="preserve"> </w:t>
      </w:r>
      <w:r>
        <w:rPr>
          <w:i/>
          <w:sz w:val="22"/>
          <w:szCs w:val="22"/>
        </w:rPr>
        <w:t>risks that the Company</w:t>
      </w:r>
      <w:r>
        <w:rPr>
          <w:i/>
          <w:color w:val="000000"/>
          <w:sz w:val="22"/>
          <w:szCs w:val="22"/>
        </w:rPr>
        <w:t xml:space="preserve"> will not be able to retain its key personnel; risks that the Company will not be able to secure financing on reasonable terms or at all, as well as all of the other risks as described in the Company’s management discussion and analysis for year ended December 31, 2019 under the heading “Risks and Uncertainties”.  Accordingly, readers should not place undue reliance on any such forward-looking information. Further, any forward-looking information speaks only as of the date on which such statement is made. New factors emerge from time to time, and it is not possible for the Company’s management to predict </w:t>
      </w:r>
      <w:proofErr w:type="gramStart"/>
      <w:r>
        <w:rPr>
          <w:i/>
          <w:color w:val="000000"/>
          <w:sz w:val="22"/>
          <w:szCs w:val="22"/>
        </w:rPr>
        <w:t>all of</w:t>
      </w:r>
      <w:proofErr w:type="gramEnd"/>
      <w:r>
        <w:rPr>
          <w:i/>
          <w:color w:val="000000"/>
          <w:sz w:val="22"/>
          <w:szCs w:val="22"/>
        </w:rPr>
        <w:t xml:space="preserve"> such factors and to assess in advance the impact of each such factor on the Company’s business or the extent to which any factor, or combination of factors, may cause actual results to differ materially from those contained in any forward-looking information. The Company does not undertake any obligation to update any forward-looking information to reflect information or events after the date on which it is made or to reflect the occurrence of unanticipated events, except as required by law, including securities laws.</w:t>
      </w:r>
    </w:p>
    <w:p w14:paraId="05E891CC" w14:textId="77777777" w:rsidR="002825B9" w:rsidRDefault="002825B9">
      <w:pPr>
        <w:pBdr>
          <w:top w:val="nil"/>
          <w:left w:val="nil"/>
          <w:bottom w:val="nil"/>
          <w:right w:val="nil"/>
          <w:between w:val="nil"/>
        </w:pBdr>
        <w:jc w:val="both"/>
        <w:rPr>
          <w:b/>
          <w:i/>
          <w:color w:val="000000"/>
          <w:sz w:val="22"/>
          <w:szCs w:val="22"/>
        </w:rPr>
      </w:pPr>
    </w:p>
    <w:p w14:paraId="05E891CD" w14:textId="77777777" w:rsidR="002825B9" w:rsidRDefault="00EF4546">
      <w:pPr>
        <w:pBdr>
          <w:top w:val="nil"/>
          <w:left w:val="nil"/>
          <w:bottom w:val="nil"/>
          <w:right w:val="nil"/>
          <w:between w:val="nil"/>
        </w:pBdr>
        <w:jc w:val="center"/>
        <w:rPr>
          <w:b/>
          <w:i/>
          <w:color w:val="000000"/>
          <w:sz w:val="22"/>
          <w:szCs w:val="22"/>
        </w:rPr>
      </w:pPr>
      <w:r>
        <w:rPr>
          <w:b/>
          <w:i/>
          <w:color w:val="000000"/>
          <w:sz w:val="22"/>
          <w:szCs w:val="22"/>
        </w:rPr>
        <w:t>The CSE does not accept responsibility for the adequacy or accuracy of this release.</w:t>
      </w:r>
    </w:p>
    <w:p w14:paraId="05E891CE" w14:textId="77777777" w:rsidR="002825B9" w:rsidRDefault="002825B9">
      <w:pPr>
        <w:pBdr>
          <w:top w:val="nil"/>
          <w:left w:val="nil"/>
          <w:bottom w:val="nil"/>
          <w:right w:val="nil"/>
          <w:between w:val="nil"/>
        </w:pBdr>
        <w:jc w:val="both"/>
        <w:rPr>
          <w:b/>
          <w:i/>
          <w:color w:val="000000"/>
          <w:sz w:val="22"/>
          <w:szCs w:val="22"/>
        </w:rPr>
      </w:pPr>
    </w:p>
    <w:p w14:paraId="05E891CF" w14:textId="77777777" w:rsidR="002825B9" w:rsidRDefault="002825B9">
      <w:pPr>
        <w:pBdr>
          <w:top w:val="nil"/>
          <w:left w:val="nil"/>
          <w:bottom w:val="nil"/>
          <w:right w:val="nil"/>
          <w:between w:val="nil"/>
        </w:pBdr>
        <w:jc w:val="center"/>
        <w:rPr>
          <w:b/>
          <w:i/>
          <w:color w:val="000000"/>
          <w:sz w:val="22"/>
          <w:szCs w:val="22"/>
        </w:rPr>
      </w:pPr>
    </w:p>
    <w:p w14:paraId="05E891D0" w14:textId="77777777" w:rsidR="002825B9" w:rsidRDefault="002825B9">
      <w:pPr>
        <w:pBdr>
          <w:top w:val="nil"/>
          <w:left w:val="nil"/>
          <w:bottom w:val="nil"/>
          <w:right w:val="nil"/>
          <w:between w:val="nil"/>
        </w:pBdr>
        <w:rPr>
          <w:color w:val="000000"/>
          <w:sz w:val="22"/>
          <w:szCs w:val="22"/>
        </w:rPr>
      </w:pPr>
    </w:p>
    <w:sectPr w:rsidR="002825B9">
      <w:headerReference w:type="default" r:id="rId13"/>
      <w:footerReference w:type="even" r:id="rId14"/>
      <w:headerReference w:type="first" r:id="rId15"/>
      <w:footerReference w:type="first" r:id="rId16"/>
      <w:pgSz w:w="12240" w:h="15840"/>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B3165" w14:textId="77777777" w:rsidR="00110376" w:rsidRDefault="00110376">
      <w:r>
        <w:separator/>
      </w:r>
    </w:p>
  </w:endnote>
  <w:endnote w:type="continuationSeparator" w:id="0">
    <w:p w14:paraId="61726176" w14:textId="77777777" w:rsidR="00110376" w:rsidRDefault="0011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891D4" w14:textId="77777777" w:rsidR="002825B9" w:rsidRDefault="00EF4546">
    <w:pPr>
      <w:pBdr>
        <w:top w:val="nil"/>
        <w:left w:val="nil"/>
        <w:bottom w:val="nil"/>
        <w:right w:val="nil"/>
        <w:between w:val="nil"/>
      </w:pBdr>
      <w:tabs>
        <w:tab w:val="center" w:pos="4680"/>
        <w:tab w:val="right" w:pos="9360"/>
      </w:tabs>
      <w:rPr>
        <w:color w:val="000000"/>
        <w:sz w:val="16"/>
        <w:szCs w:val="16"/>
      </w:rPr>
    </w:pPr>
    <w:r>
      <w:rPr>
        <w:rFonts w:ascii="Arial" w:eastAsia="Arial" w:hAnsi="Arial" w:cs="Arial"/>
        <w:color w:val="000000"/>
        <w:sz w:val="14"/>
        <w:szCs w:val="14"/>
      </w:rPr>
      <w:t>LEGAL_29886133.1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891D6" w14:textId="77777777" w:rsidR="002825B9" w:rsidRDefault="00EF4546">
    <w:pPr>
      <w:pBdr>
        <w:top w:val="nil"/>
        <w:left w:val="nil"/>
        <w:bottom w:val="nil"/>
        <w:right w:val="nil"/>
        <w:between w:val="nil"/>
      </w:pBdr>
      <w:tabs>
        <w:tab w:val="center" w:pos="4680"/>
        <w:tab w:val="right" w:pos="9360"/>
      </w:tabs>
      <w:rPr>
        <w:color w:val="000000"/>
        <w:sz w:val="16"/>
        <w:szCs w:val="16"/>
      </w:rPr>
    </w:pPr>
    <w:r>
      <w:rPr>
        <w:color w:val="000000"/>
        <w:sz w:val="16"/>
        <w:szCs w:val="16"/>
      </w:rPr>
      <w:tab/>
      <w:t xml:space="preserve"> </w:t>
    </w:r>
  </w:p>
  <w:p w14:paraId="05E891D7" w14:textId="77777777" w:rsidR="002825B9" w:rsidRDefault="00EF4546">
    <w:pPr>
      <w:pBdr>
        <w:top w:val="nil"/>
        <w:left w:val="nil"/>
        <w:bottom w:val="nil"/>
        <w:right w:val="nil"/>
        <w:between w:val="nil"/>
      </w:pBdr>
      <w:tabs>
        <w:tab w:val="center" w:pos="4680"/>
        <w:tab w:val="right" w:pos="9360"/>
      </w:tabs>
      <w:rPr>
        <w:color w:val="000000"/>
        <w:sz w:val="16"/>
        <w:szCs w:val="16"/>
      </w:rPr>
    </w:pPr>
    <w:r>
      <w:rPr>
        <w:noProof/>
      </w:rPr>
      <mc:AlternateContent>
        <mc:Choice Requires="wps">
          <w:drawing>
            <wp:anchor distT="0" distB="0" distL="0" distR="0" simplePos="0" relativeHeight="251658240" behindDoc="0" locked="0" layoutInCell="1" hidden="0" allowOverlap="1" wp14:anchorId="05E891D8" wp14:editId="05E891D9">
              <wp:simplePos x="0" y="0"/>
              <wp:positionH relativeFrom="column">
                <wp:posOffset>0</wp:posOffset>
              </wp:positionH>
              <wp:positionV relativeFrom="paragraph">
                <wp:posOffset>0</wp:posOffset>
              </wp:positionV>
              <wp:extent cx="2569845" cy="265430"/>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4065840" y="3652048"/>
                        <a:ext cx="2560320" cy="255905"/>
                      </a:xfrm>
                      <a:prstGeom prst="rect">
                        <a:avLst/>
                      </a:prstGeom>
                      <a:noFill/>
                      <a:ln>
                        <a:noFill/>
                      </a:ln>
                    </wps:spPr>
                    <wps:txbx>
                      <w:txbxContent>
                        <w:p w14:paraId="05E891DA" w14:textId="77777777" w:rsidR="002825B9" w:rsidRDefault="002825B9">
                          <w:pPr>
                            <w:spacing w:line="200" w:lineRule="auto"/>
                            <w:textDirection w:val="btLr"/>
                          </w:pPr>
                        </w:p>
                      </w:txbxContent>
                    </wps:txbx>
                    <wps:bodyPr spcFirstLastPara="1" wrap="square" lIns="0" tIns="0" rIns="0" bIns="0" anchor="t" anchorCtr="0">
                      <a:noAutofit/>
                    </wps:bodyPr>
                  </wps:wsp>
                </a:graphicData>
              </a:graphic>
            </wp:anchor>
          </w:drawing>
        </mc:Choice>
        <mc:Fallback>
          <w:pict>
            <v:rect w14:anchorId="05E891D8" id="Rectangle 1" o:spid="_x0000_s1026" style="position:absolute;margin-left:0;margin-top:0;width:202.35pt;height:20.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" filled="f" stroked="f">
              <v:textbox inset="0,0,0,0">
                <w:txbxContent>
                  <w:p w14:paraId="05E891DA" w14:textId="77777777" w:rsidR="002825B9" w:rsidRDefault="002825B9">
                    <w:pPr>
                      <w:spacing w:line="200" w:lineRule="auto"/>
                      <w:textDirection w:val="btLr"/>
                    </w:pP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9C8B3" w14:textId="77777777" w:rsidR="00110376" w:rsidRDefault="00110376">
      <w:r>
        <w:separator/>
      </w:r>
    </w:p>
  </w:footnote>
  <w:footnote w:type="continuationSeparator" w:id="0">
    <w:p w14:paraId="343631A8" w14:textId="77777777" w:rsidR="00110376" w:rsidRDefault="00110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891D3" w14:textId="77777777" w:rsidR="002825B9" w:rsidRDefault="00EF4546">
    <w:pPr>
      <w:pBdr>
        <w:top w:val="nil"/>
        <w:left w:val="nil"/>
        <w:bottom w:val="nil"/>
        <w:right w:val="nil"/>
        <w:between w:val="nil"/>
      </w:pBdr>
      <w:tabs>
        <w:tab w:val="center" w:pos="4680"/>
        <w:tab w:val="right" w:pos="9360"/>
      </w:tabs>
      <w:jc w:val="center"/>
      <w:rPr>
        <w:color w:val="000000"/>
      </w:rPr>
    </w:pP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891D5" w14:textId="77777777" w:rsidR="002825B9" w:rsidRDefault="00EF4546">
    <w:pPr>
      <w:pBdr>
        <w:top w:val="nil"/>
        <w:left w:val="nil"/>
        <w:bottom w:val="nil"/>
        <w:right w:val="nil"/>
        <w:between w:val="nil"/>
      </w:pBdr>
      <w:tabs>
        <w:tab w:val="center" w:pos="4680"/>
        <w:tab w:val="right" w:pos="9360"/>
      </w:tabs>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867B9"/>
    <w:multiLevelType w:val="multilevel"/>
    <w:tmpl w:val="FA40E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E33145"/>
    <w:multiLevelType w:val="hybridMultilevel"/>
    <w:tmpl w:val="C464B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5B9"/>
    <w:rsid w:val="000019E9"/>
    <w:rsid w:val="00006846"/>
    <w:rsid w:val="00007BF2"/>
    <w:rsid w:val="000206BD"/>
    <w:rsid w:val="00032D4E"/>
    <w:rsid w:val="00050060"/>
    <w:rsid w:val="0005306E"/>
    <w:rsid w:val="00054FD9"/>
    <w:rsid w:val="00072564"/>
    <w:rsid w:val="0008621A"/>
    <w:rsid w:val="000A7D82"/>
    <w:rsid w:val="000B42AD"/>
    <w:rsid w:val="000B79A7"/>
    <w:rsid w:val="000D0971"/>
    <w:rsid w:val="00100B57"/>
    <w:rsid w:val="001036E5"/>
    <w:rsid w:val="00105590"/>
    <w:rsid w:val="00110376"/>
    <w:rsid w:val="001144DF"/>
    <w:rsid w:val="00120696"/>
    <w:rsid w:val="00120B00"/>
    <w:rsid w:val="00122497"/>
    <w:rsid w:val="00122E2A"/>
    <w:rsid w:val="0013388E"/>
    <w:rsid w:val="00133EFA"/>
    <w:rsid w:val="00142445"/>
    <w:rsid w:val="001451DA"/>
    <w:rsid w:val="00173E8D"/>
    <w:rsid w:val="00174182"/>
    <w:rsid w:val="00176BA5"/>
    <w:rsid w:val="00182381"/>
    <w:rsid w:val="0019134A"/>
    <w:rsid w:val="0019242E"/>
    <w:rsid w:val="001A070C"/>
    <w:rsid w:val="001A3B4E"/>
    <w:rsid w:val="001B1687"/>
    <w:rsid w:val="001B3C7B"/>
    <w:rsid w:val="001C27FE"/>
    <w:rsid w:val="001D1088"/>
    <w:rsid w:val="001D7C48"/>
    <w:rsid w:val="001E3BE4"/>
    <w:rsid w:val="001F05D7"/>
    <w:rsid w:val="001F2341"/>
    <w:rsid w:val="001F497F"/>
    <w:rsid w:val="00205A89"/>
    <w:rsid w:val="002073F0"/>
    <w:rsid w:val="00237256"/>
    <w:rsid w:val="002467E8"/>
    <w:rsid w:val="00265C2E"/>
    <w:rsid w:val="00267199"/>
    <w:rsid w:val="002716B3"/>
    <w:rsid w:val="00274FF2"/>
    <w:rsid w:val="0027614B"/>
    <w:rsid w:val="002825B9"/>
    <w:rsid w:val="002A0719"/>
    <w:rsid w:val="002B14C5"/>
    <w:rsid w:val="002B1CDB"/>
    <w:rsid w:val="002B5D2E"/>
    <w:rsid w:val="002C30B2"/>
    <w:rsid w:val="002C6F2A"/>
    <w:rsid w:val="002D59AE"/>
    <w:rsid w:val="002E11BE"/>
    <w:rsid w:val="002F29AC"/>
    <w:rsid w:val="002F6583"/>
    <w:rsid w:val="0030560C"/>
    <w:rsid w:val="00316519"/>
    <w:rsid w:val="00323EB4"/>
    <w:rsid w:val="0035103D"/>
    <w:rsid w:val="00355459"/>
    <w:rsid w:val="00362E46"/>
    <w:rsid w:val="00364D56"/>
    <w:rsid w:val="00365674"/>
    <w:rsid w:val="00382E4A"/>
    <w:rsid w:val="00390FFA"/>
    <w:rsid w:val="003A58C4"/>
    <w:rsid w:val="003B04DC"/>
    <w:rsid w:val="003E67A2"/>
    <w:rsid w:val="003E73E8"/>
    <w:rsid w:val="003F38A0"/>
    <w:rsid w:val="0040059A"/>
    <w:rsid w:val="00404FD7"/>
    <w:rsid w:val="004100BE"/>
    <w:rsid w:val="00417076"/>
    <w:rsid w:val="0044287A"/>
    <w:rsid w:val="00443306"/>
    <w:rsid w:val="00454218"/>
    <w:rsid w:val="00456E27"/>
    <w:rsid w:val="00460D7A"/>
    <w:rsid w:val="00474E37"/>
    <w:rsid w:val="00480DC0"/>
    <w:rsid w:val="004906F7"/>
    <w:rsid w:val="00497AC3"/>
    <w:rsid w:val="004A084A"/>
    <w:rsid w:val="004A7CA5"/>
    <w:rsid w:val="004B06B4"/>
    <w:rsid w:val="004B5BDE"/>
    <w:rsid w:val="004C65D6"/>
    <w:rsid w:val="004D64B8"/>
    <w:rsid w:val="004E0557"/>
    <w:rsid w:val="004E4ADA"/>
    <w:rsid w:val="004F496B"/>
    <w:rsid w:val="004F54C3"/>
    <w:rsid w:val="004F5D68"/>
    <w:rsid w:val="00500F84"/>
    <w:rsid w:val="00504BA0"/>
    <w:rsid w:val="0055171B"/>
    <w:rsid w:val="005534F0"/>
    <w:rsid w:val="00566AC2"/>
    <w:rsid w:val="00576BFA"/>
    <w:rsid w:val="0058177A"/>
    <w:rsid w:val="0059496D"/>
    <w:rsid w:val="005A1C54"/>
    <w:rsid w:val="005A24BF"/>
    <w:rsid w:val="005A731F"/>
    <w:rsid w:val="005D5226"/>
    <w:rsid w:val="005E5AF0"/>
    <w:rsid w:val="005F74F5"/>
    <w:rsid w:val="00603612"/>
    <w:rsid w:val="0060384D"/>
    <w:rsid w:val="00610811"/>
    <w:rsid w:val="0062181A"/>
    <w:rsid w:val="00622173"/>
    <w:rsid w:val="00644748"/>
    <w:rsid w:val="0064552F"/>
    <w:rsid w:val="006900DC"/>
    <w:rsid w:val="006927B7"/>
    <w:rsid w:val="006A1ADB"/>
    <w:rsid w:val="006A4A99"/>
    <w:rsid w:val="006C0F15"/>
    <w:rsid w:val="006C3344"/>
    <w:rsid w:val="006D5D52"/>
    <w:rsid w:val="006E6873"/>
    <w:rsid w:val="006F06AA"/>
    <w:rsid w:val="006F6573"/>
    <w:rsid w:val="00700013"/>
    <w:rsid w:val="00706167"/>
    <w:rsid w:val="00714CC6"/>
    <w:rsid w:val="00716CCB"/>
    <w:rsid w:val="007346B4"/>
    <w:rsid w:val="00740C52"/>
    <w:rsid w:val="00756053"/>
    <w:rsid w:val="00761CA4"/>
    <w:rsid w:val="00762EBF"/>
    <w:rsid w:val="00774750"/>
    <w:rsid w:val="00775F0D"/>
    <w:rsid w:val="007807C2"/>
    <w:rsid w:val="00781657"/>
    <w:rsid w:val="007855C1"/>
    <w:rsid w:val="0079008D"/>
    <w:rsid w:val="00793705"/>
    <w:rsid w:val="007962A4"/>
    <w:rsid w:val="007A6C96"/>
    <w:rsid w:val="007B78C7"/>
    <w:rsid w:val="007C2ADC"/>
    <w:rsid w:val="007D5977"/>
    <w:rsid w:val="007D7440"/>
    <w:rsid w:val="007E3755"/>
    <w:rsid w:val="007F04CF"/>
    <w:rsid w:val="007F45E5"/>
    <w:rsid w:val="00800C8A"/>
    <w:rsid w:val="00810DC8"/>
    <w:rsid w:val="0081215E"/>
    <w:rsid w:val="008318D4"/>
    <w:rsid w:val="0085036B"/>
    <w:rsid w:val="008645CC"/>
    <w:rsid w:val="00875379"/>
    <w:rsid w:val="008A5FA5"/>
    <w:rsid w:val="008D43E4"/>
    <w:rsid w:val="008E339F"/>
    <w:rsid w:val="008F5857"/>
    <w:rsid w:val="009046B7"/>
    <w:rsid w:val="00914C54"/>
    <w:rsid w:val="00917A41"/>
    <w:rsid w:val="00920A7B"/>
    <w:rsid w:val="00927160"/>
    <w:rsid w:val="00934516"/>
    <w:rsid w:val="009424CD"/>
    <w:rsid w:val="0094608D"/>
    <w:rsid w:val="00946C56"/>
    <w:rsid w:val="00965344"/>
    <w:rsid w:val="0097637F"/>
    <w:rsid w:val="00997E1C"/>
    <w:rsid w:val="009C18FD"/>
    <w:rsid w:val="009C206A"/>
    <w:rsid w:val="009C2C97"/>
    <w:rsid w:val="009C30A5"/>
    <w:rsid w:val="009D191B"/>
    <w:rsid w:val="009D63C6"/>
    <w:rsid w:val="009E393A"/>
    <w:rsid w:val="009E5071"/>
    <w:rsid w:val="009E7475"/>
    <w:rsid w:val="00A07DA9"/>
    <w:rsid w:val="00A12538"/>
    <w:rsid w:val="00A30523"/>
    <w:rsid w:val="00A4154D"/>
    <w:rsid w:val="00A43528"/>
    <w:rsid w:val="00A45056"/>
    <w:rsid w:val="00A51C92"/>
    <w:rsid w:val="00A56F9B"/>
    <w:rsid w:val="00A62CA6"/>
    <w:rsid w:val="00A71A54"/>
    <w:rsid w:val="00A72671"/>
    <w:rsid w:val="00A728D4"/>
    <w:rsid w:val="00A72D00"/>
    <w:rsid w:val="00A86FE1"/>
    <w:rsid w:val="00A940F1"/>
    <w:rsid w:val="00A97ECE"/>
    <w:rsid w:val="00AB0496"/>
    <w:rsid w:val="00AB5CFD"/>
    <w:rsid w:val="00AB628E"/>
    <w:rsid w:val="00AB79B9"/>
    <w:rsid w:val="00AC111B"/>
    <w:rsid w:val="00AC1F6F"/>
    <w:rsid w:val="00AC25D7"/>
    <w:rsid w:val="00AC4A0F"/>
    <w:rsid w:val="00AC7918"/>
    <w:rsid w:val="00AE5C32"/>
    <w:rsid w:val="00AF03B3"/>
    <w:rsid w:val="00AF52DF"/>
    <w:rsid w:val="00B01497"/>
    <w:rsid w:val="00B01C7A"/>
    <w:rsid w:val="00B05435"/>
    <w:rsid w:val="00B17F86"/>
    <w:rsid w:val="00B22E24"/>
    <w:rsid w:val="00B32A2B"/>
    <w:rsid w:val="00B4020F"/>
    <w:rsid w:val="00B417F7"/>
    <w:rsid w:val="00B62DBE"/>
    <w:rsid w:val="00B7622B"/>
    <w:rsid w:val="00B817E8"/>
    <w:rsid w:val="00B85BAA"/>
    <w:rsid w:val="00B86094"/>
    <w:rsid w:val="00B8685C"/>
    <w:rsid w:val="00B910DB"/>
    <w:rsid w:val="00B97DE0"/>
    <w:rsid w:val="00BB3182"/>
    <w:rsid w:val="00BB7B2C"/>
    <w:rsid w:val="00BC1DA0"/>
    <w:rsid w:val="00BC3F0A"/>
    <w:rsid w:val="00BC4B00"/>
    <w:rsid w:val="00BD0478"/>
    <w:rsid w:val="00BD1315"/>
    <w:rsid w:val="00BE20E5"/>
    <w:rsid w:val="00C041F3"/>
    <w:rsid w:val="00C15BF6"/>
    <w:rsid w:val="00C16A3D"/>
    <w:rsid w:val="00C20CBE"/>
    <w:rsid w:val="00C32E92"/>
    <w:rsid w:val="00C358FD"/>
    <w:rsid w:val="00C52627"/>
    <w:rsid w:val="00C57AC6"/>
    <w:rsid w:val="00C70B01"/>
    <w:rsid w:val="00C83D3E"/>
    <w:rsid w:val="00C8608F"/>
    <w:rsid w:val="00CA149C"/>
    <w:rsid w:val="00CB2BF7"/>
    <w:rsid w:val="00CB59C7"/>
    <w:rsid w:val="00CE01F2"/>
    <w:rsid w:val="00CE1248"/>
    <w:rsid w:val="00CF43B6"/>
    <w:rsid w:val="00D0280F"/>
    <w:rsid w:val="00D04679"/>
    <w:rsid w:val="00D15385"/>
    <w:rsid w:val="00D16FC2"/>
    <w:rsid w:val="00D21A17"/>
    <w:rsid w:val="00D22E9D"/>
    <w:rsid w:val="00D31D14"/>
    <w:rsid w:val="00D33518"/>
    <w:rsid w:val="00D400B9"/>
    <w:rsid w:val="00D53E14"/>
    <w:rsid w:val="00D609C1"/>
    <w:rsid w:val="00D61EF5"/>
    <w:rsid w:val="00D62F29"/>
    <w:rsid w:val="00D66B97"/>
    <w:rsid w:val="00D90743"/>
    <w:rsid w:val="00DA4E65"/>
    <w:rsid w:val="00DE286C"/>
    <w:rsid w:val="00E06A4B"/>
    <w:rsid w:val="00E14751"/>
    <w:rsid w:val="00E17ECA"/>
    <w:rsid w:val="00E244B0"/>
    <w:rsid w:val="00E340DC"/>
    <w:rsid w:val="00E34A1C"/>
    <w:rsid w:val="00E432C9"/>
    <w:rsid w:val="00E45EB2"/>
    <w:rsid w:val="00E477CC"/>
    <w:rsid w:val="00E548B1"/>
    <w:rsid w:val="00E61F72"/>
    <w:rsid w:val="00E621C2"/>
    <w:rsid w:val="00E75C01"/>
    <w:rsid w:val="00E85EBB"/>
    <w:rsid w:val="00E874CC"/>
    <w:rsid w:val="00EB620E"/>
    <w:rsid w:val="00EC4244"/>
    <w:rsid w:val="00EE03CC"/>
    <w:rsid w:val="00EF4546"/>
    <w:rsid w:val="00F003E0"/>
    <w:rsid w:val="00F05DE4"/>
    <w:rsid w:val="00F05F99"/>
    <w:rsid w:val="00F07067"/>
    <w:rsid w:val="00F13612"/>
    <w:rsid w:val="00F337F3"/>
    <w:rsid w:val="00F3704C"/>
    <w:rsid w:val="00F41DB4"/>
    <w:rsid w:val="00F57EA5"/>
    <w:rsid w:val="00F71136"/>
    <w:rsid w:val="00F77415"/>
    <w:rsid w:val="00F84DC2"/>
    <w:rsid w:val="00F93C10"/>
    <w:rsid w:val="00FA0EA4"/>
    <w:rsid w:val="00FA1515"/>
    <w:rsid w:val="00FA1B97"/>
    <w:rsid w:val="00FA4F17"/>
    <w:rsid w:val="00FD5AF6"/>
    <w:rsid w:val="00FE7CB0"/>
    <w:rsid w:val="00FF46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91AA"/>
  <w15:docId w15:val="{DA7484EA-3299-40AF-BB06-85E04FF0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jc w:val="center"/>
      <w:outlineLvl w:val="0"/>
    </w:pPr>
    <w:rPr>
      <w:b/>
      <w:smallCaps/>
    </w:rPr>
  </w:style>
  <w:style w:type="paragraph" w:styleId="Heading2">
    <w:name w:val="heading 2"/>
    <w:basedOn w:val="Normal"/>
    <w:next w:val="Normal"/>
    <w:uiPriority w:val="9"/>
    <w:semiHidden/>
    <w:unhideWhenUsed/>
    <w:qFormat/>
    <w:pPr>
      <w:keepNext/>
      <w:spacing w:before="240"/>
      <w:outlineLvl w:val="1"/>
    </w:pPr>
    <w:rPr>
      <w:b/>
    </w:rPr>
  </w:style>
  <w:style w:type="paragraph" w:styleId="Heading3">
    <w:name w:val="heading 3"/>
    <w:basedOn w:val="Normal"/>
    <w:next w:val="Normal"/>
    <w:uiPriority w:val="9"/>
    <w:semiHidden/>
    <w:unhideWhenUsed/>
    <w:qFormat/>
    <w:pPr>
      <w:keepNext/>
      <w:spacing w:before="240"/>
      <w:outlineLvl w:val="2"/>
    </w:pPr>
    <w:rPr>
      <w:b/>
      <w:i/>
    </w:rPr>
  </w:style>
  <w:style w:type="paragraph" w:styleId="Heading4">
    <w:name w:val="heading 4"/>
    <w:basedOn w:val="Normal"/>
    <w:next w:val="Normal"/>
    <w:uiPriority w:val="9"/>
    <w:semiHidden/>
    <w:unhideWhenUsed/>
    <w:qFormat/>
    <w:pPr>
      <w:keepNext/>
      <w:spacing w:before="240"/>
      <w:outlineLvl w:val="3"/>
    </w:pPr>
    <w:rPr>
      <w:i/>
    </w:rPr>
  </w:style>
  <w:style w:type="paragraph" w:styleId="Heading5">
    <w:name w:val="heading 5"/>
    <w:basedOn w:val="Normal"/>
    <w:next w:val="Normal"/>
    <w:uiPriority w:val="9"/>
    <w:semiHidden/>
    <w:unhideWhenUsed/>
    <w:qFormat/>
    <w:pPr>
      <w:keepNext/>
      <w:spacing w:before="240"/>
      <w:outlineLvl w:val="4"/>
    </w:pPr>
  </w:style>
  <w:style w:type="paragraph" w:styleId="Heading6">
    <w:name w:val="heading 6"/>
    <w:basedOn w:val="Normal"/>
    <w:next w:val="Normal"/>
    <w:uiPriority w:val="9"/>
    <w:semiHidden/>
    <w:unhideWhenUsed/>
    <w:qFormat/>
    <w:pPr>
      <w:keepNext/>
      <w:spacing w:before="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120"/>
      <w:jc w:val="center"/>
    </w:pPr>
    <w:rPr>
      <w:b/>
      <w:smallCap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97AC3"/>
    <w:rPr>
      <w:sz w:val="16"/>
      <w:szCs w:val="16"/>
    </w:rPr>
  </w:style>
  <w:style w:type="paragraph" w:styleId="CommentText">
    <w:name w:val="annotation text"/>
    <w:basedOn w:val="Normal"/>
    <w:link w:val="CommentTextChar"/>
    <w:uiPriority w:val="99"/>
    <w:semiHidden/>
    <w:unhideWhenUsed/>
    <w:rsid w:val="00497AC3"/>
    <w:rPr>
      <w:sz w:val="20"/>
      <w:szCs w:val="20"/>
    </w:rPr>
  </w:style>
  <w:style w:type="character" w:customStyle="1" w:styleId="CommentTextChar">
    <w:name w:val="Comment Text Char"/>
    <w:basedOn w:val="DefaultParagraphFont"/>
    <w:link w:val="CommentText"/>
    <w:uiPriority w:val="99"/>
    <w:semiHidden/>
    <w:rsid w:val="00497AC3"/>
    <w:rPr>
      <w:sz w:val="20"/>
      <w:szCs w:val="20"/>
    </w:rPr>
  </w:style>
  <w:style w:type="paragraph" w:styleId="CommentSubject">
    <w:name w:val="annotation subject"/>
    <w:basedOn w:val="CommentText"/>
    <w:next w:val="CommentText"/>
    <w:link w:val="CommentSubjectChar"/>
    <w:uiPriority w:val="99"/>
    <w:semiHidden/>
    <w:unhideWhenUsed/>
    <w:rsid w:val="00497AC3"/>
    <w:rPr>
      <w:b/>
      <w:bCs/>
    </w:rPr>
  </w:style>
  <w:style w:type="character" w:customStyle="1" w:styleId="CommentSubjectChar">
    <w:name w:val="Comment Subject Char"/>
    <w:basedOn w:val="CommentTextChar"/>
    <w:link w:val="CommentSubject"/>
    <w:uiPriority w:val="99"/>
    <w:semiHidden/>
    <w:rsid w:val="00497AC3"/>
    <w:rPr>
      <w:b/>
      <w:bCs/>
      <w:sz w:val="20"/>
      <w:szCs w:val="20"/>
    </w:rPr>
  </w:style>
  <w:style w:type="character" w:styleId="Hyperlink">
    <w:name w:val="Hyperlink"/>
    <w:basedOn w:val="DefaultParagraphFont"/>
    <w:unhideWhenUsed/>
    <w:rsid w:val="005A731F"/>
    <w:rPr>
      <w:color w:val="0000FF" w:themeColor="hyperlink"/>
      <w:u w:val="single"/>
    </w:rPr>
  </w:style>
  <w:style w:type="character" w:styleId="UnresolvedMention">
    <w:name w:val="Unresolved Mention"/>
    <w:basedOn w:val="DefaultParagraphFont"/>
    <w:uiPriority w:val="99"/>
    <w:semiHidden/>
    <w:unhideWhenUsed/>
    <w:rsid w:val="005A731F"/>
    <w:rPr>
      <w:color w:val="605E5C"/>
      <w:shd w:val="clear" w:color="auto" w:fill="E1DFDD"/>
    </w:rPr>
  </w:style>
  <w:style w:type="character" w:styleId="FollowedHyperlink">
    <w:name w:val="FollowedHyperlink"/>
    <w:basedOn w:val="DefaultParagraphFont"/>
    <w:uiPriority w:val="99"/>
    <w:semiHidden/>
    <w:unhideWhenUsed/>
    <w:rsid w:val="005A731F"/>
    <w:rPr>
      <w:color w:val="800080" w:themeColor="followedHyperlink"/>
      <w:u w:val="single"/>
    </w:rPr>
  </w:style>
  <w:style w:type="paragraph" w:styleId="Revision">
    <w:name w:val="Revision"/>
    <w:hidden/>
    <w:uiPriority w:val="99"/>
    <w:semiHidden/>
    <w:rsid w:val="00EE03CC"/>
  </w:style>
  <w:style w:type="paragraph" w:styleId="ListParagraph">
    <w:name w:val="List Paragraph"/>
    <w:basedOn w:val="Normal"/>
    <w:uiPriority w:val="34"/>
    <w:qFormat/>
    <w:rsid w:val="00B97DE0"/>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3827">
      <w:bodyDiv w:val="1"/>
      <w:marLeft w:val="0"/>
      <w:marRight w:val="0"/>
      <w:marTop w:val="0"/>
      <w:marBottom w:val="0"/>
      <w:divBdr>
        <w:top w:val="none" w:sz="0" w:space="0" w:color="auto"/>
        <w:left w:val="none" w:sz="0" w:space="0" w:color="auto"/>
        <w:bottom w:val="none" w:sz="0" w:space="0" w:color="auto"/>
        <w:right w:val="none" w:sz="0" w:space="0" w:color="auto"/>
      </w:divBdr>
    </w:div>
    <w:div w:id="854269094">
      <w:bodyDiv w:val="1"/>
      <w:marLeft w:val="0"/>
      <w:marRight w:val="0"/>
      <w:marTop w:val="0"/>
      <w:marBottom w:val="0"/>
      <w:divBdr>
        <w:top w:val="none" w:sz="0" w:space="0" w:color="auto"/>
        <w:left w:val="none" w:sz="0" w:space="0" w:color="auto"/>
        <w:bottom w:val="none" w:sz="0" w:space="0" w:color="auto"/>
        <w:right w:val="none" w:sz="0" w:space="0" w:color="auto"/>
      </w:divBdr>
    </w:div>
    <w:div w:id="934746277">
      <w:bodyDiv w:val="1"/>
      <w:marLeft w:val="0"/>
      <w:marRight w:val="0"/>
      <w:marTop w:val="0"/>
      <w:marBottom w:val="0"/>
      <w:divBdr>
        <w:top w:val="none" w:sz="0" w:space="0" w:color="auto"/>
        <w:left w:val="none" w:sz="0" w:space="0" w:color="auto"/>
        <w:bottom w:val="none" w:sz="0" w:space="0" w:color="auto"/>
        <w:right w:val="none" w:sz="0" w:space="0" w:color="auto"/>
      </w:divBdr>
    </w:div>
    <w:div w:id="946422103">
      <w:bodyDiv w:val="1"/>
      <w:marLeft w:val="0"/>
      <w:marRight w:val="0"/>
      <w:marTop w:val="0"/>
      <w:marBottom w:val="0"/>
      <w:divBdr>
        <w:top w:val="none" w:sz="0" w:space="0" w:color="auto"/>
        <w:left w:val="none" w:sz="0" w:space="0" w:color="auto"/>
        <w:bottom w:val="none" w:sz="0" w:space="0" w:color="auto"/>
        <w:right w:val="none" w:sz="0" w:space="0" w:color="auto"/>
      </w:divBdr>
    </w:div>
    <w:div w:id="986861282">
      <w:bodyDiv w:val="1"/>
      <w:marLeft w:val="0"/>
      <w:marRight w:val="0"/>
      <w:marTop w:val="0"/>
      <w:marBottom w:val="0"/>
      <w:divBdr>
        <w:top w:val="none" w:sz="0" w:space="0" w:color="auto"/>
        <w:left w:val="none" w:sz="0" w:space="0" w:color="auto"/>
        <w:bottom w:val="none" w:sz="0" w:space="0" w:color="auto"/>
        <w:right w:val="none" w:sz="0" w:space="0" w:color="auto"/>
      </w:divBdr>
    </w:div>
    <w:div w:id="1499735960">
      <w:bodyDiv w:val="1"/>
      <w:marLeft w:val="0"/>
      <w:marRight w:val="0"/>
      <w:marTop w:val="0"/>
      <w:marBottom w:val="0"/>
      <w:divBdr>
        <w:top w:val="none" w:sz="0" w:space="0" w:color="auto"/>
        <w:left w:val="none" w:sz="0" w:space="0" w:color="auto"/>
        <w:bottom w:val="none" w:sz="0" w:space="0" w:color="auto"/>
        <w:right w:val="none" w:sz="0" w:space="0" w:color="auto"/>
      </w:divBdr>
    </w:div>
    <w:div w:id="1710954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vestors@newleafventuresin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leafventuresinc.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ewleafventuresinc.com/new-leaf-ventures-signs-agreement-propelling-entry-into-north-american-cannabis-infused-beverage-sector/" TargetMode="External"/><Relationship Id="rId4" Type="http://schemas.openxmlformats.org/officeDocument/2006/relationships/settings" Target="settings.xml"/><Relationship Id="rId9" Type="http://schemas.openxmlformats.org/officeDocument/2006/relationships/hyperlink" Target="https://newleafventuresinc.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FF90B-B88B-42FA-8B4E-1BB13038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Murray</dc:creator>
  <cp:lastModifiedBy>Ian Murray</cp:lastModifiedBy>
  <cp:revision>108</cp:revision>
  <dcterms:created xsi:type="dcterms:W3CDTF">2021-03-01T22:54:00Z</dcterms:created>
  <dcterms:modified xsi:type="dcterms:W3CDTF">2021-03-02T04:37:00Z</dcterms:modified>
</cp:coreProperties>
</file>