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CB" w:rsidRDefault="006B4132">
      <w:pPr>
        <w:pStyle w:val="Heading"/>
        <w:rPr>
          <w:rFonts w:hint="eastAsia"/>
        </w:rPr>
      </w:pPr>
      <w:r>
        <w:tab/>
      </w:r>
      <w:r>
        <w:tab/>
      </w:r>
      <w:r>
        <w:tab/>
      </w:r>
      <w:r>
        <w:tab/>
      </w:r>
      <w:r>
        <w:tab/>
      </w:r>
      <w:r>
        <w:tab/>
      </w:r>
      <w:r>
        <w:tab/>
        <w:t>CSE: MOTA</w:t>
      </w:r>
      <w:r>
        <w:rPr>
          <w:noProof/>
          <w:lang w:val="en-CA" w:eastAsia="en-CA"/>
        </w:rPr>
        <w:drawing>
          <wp:anchor distT="152400" distB="152400" distL="152400" distR="152400" simplePos="0" relativeHeight="251659264" behindDoc="0" locked="0" layoutInCell="1" allowOverlap="1">
            <wp:simplePos x="0" y="0"/>
            <wp:positionH relativeFrom="margin">
              <wp:posOffset>-234950</wp:posOffset>
            </wp:positionH>
            <wp:positionV relativeFrom="page">
              <wp:posOffset>593951</wp:posOffset>
            </wp:positionV>
            <wp:extent cx="1667761" cy="640897"/>
            <wp:effectExtent l="0" t="0" r="0" b="0"/>
            <wp:wrapThrough wrapText="bothSides" distL="152400" distR="152400">
              <wp:wrapPolygon edited="1">
                <wp:start x="759" y="2745"/>
                <wp:lineTo x="759" y="14162"/>
                <wp:lineTo x="1181" y="14217"/>
                <wp:lineTo x="1709" y="16028"/>
                <wp:lineTo x="2215" y="14162"/>
                <wp:lineTo x="2616" y="14162"/>
                <wp:lineTo x="2616" y="18992"/>
                <wp:lineTo x="2215" y="18992"/>
                <wp:lineTo x="2194" y="15973"/>
                <wp:lineTo x="1666" y="17675"/>
                <wp:lineTo x="1160" y="15863"/>
                <wp:lineTo x="1139" y="18992"/>
                <wp:lineTo x="738" y="18937"/>
                <wp:lineTo x="759" y="14162"/>
                <wp:lineTo x="759" y="2745"/>
                <wp:lineTo x="3544" y="2745"/>
                <wp:lineTo x="3544" y="14052"/>
                <wp:lineTo x="3628" y="14093"/>
                <wp:lineTo x="3628" y="15040"/>
                <wp:lineTo x="3375" y="15205"/>
                <wp:lineTo x="3206" y="15918"/>
                <wp:lineTo x="3227" y="17400"/>
                <wp:lineTo x="3417" y="18004"/>
                <wp:lineTo x="3797" y="18004"/>
                <wp:lineTo x="3987" y="17400"/>
                <wp:lineTo x="3987" y="15699"/>
                <wp:lineTo x="3797" y="15095"/>
                <wp:lineTo x="3628" y="15040"/>
                <wp:lineTo x="3628" y="14093"/>
                <wp:lineTo x="3987" y="14272"/>
                <wp:lineTo x="4303" y="14985"/>
                <wp:lineTo x="4451" y="16083"/>
                <wp:lineTo x="4388" y="17675"/>
                <wp:lineTo x="4134" y="18608"/>
                <wp:lineTo x="3776" y="19047"/>
                <wp:lineTo x="3291" y="18937"/>
                <wp:lineTo x="2974" y="18334"/>
                <wp:lineTo x="2784" y="17291"/>
                <wp:lineTo x="2805" y="15699"/>
                <wp:lineTo x="3038" y="14656"/>
                <wp:lineTo x="3333" y="14162"/>
                <wp:lineTo x="3544" y="14052"/>
                <wp:lineTo x="3544" y="2745"/>
                <wp:lineTo x="4493" y="2745"/>
                <wp:lineTo x="4493" y="14162"/>
                <wp:lineTo x="5885" y="14162"/>
                <wp:lineTo x="5885" y="15150"/>
                <wp:lineTo x="5379" y="15150"/>
                <wp:lineTo x="5379" y="18992"/>
                <wp:lineTo x="4978" y="18937"/>
                <wp:lineTo x="4978" y="15150"/>
                <wp:lineTo x="4493" y="15150"/>
                <wp:lineTo x="4493" y="14162"/>
                <wp:lineTo x="4493" y="2745"/>
                <wp:lineTo x="6307" y="2745"/>
                <wp:lineTo x="6307" y="14162"/>
                <wp:lineTo x="6581" y="14217"/>
                <wp:lineTo x="6581" y="15260"/>
                <wp:lineTo x="6349" y="17236"/>
                <wp:lineTo x="6771" y="17181"/>
                <wp:lineTo x="6581" y="15260"/>
                <wp:lineTo x="6581" y="14217"/>
                <wp:lineTo x="6855" y="14272"/>
                <wp:lineTo x="7404" y="18992"/>
                <wp:lineTo x="6961" y="18937"/>
                <wp:lineTo x="6877" y="18059"/>
                <wp:lineTo x="6223" y="18169"/>
                <wp:lineTo x="6138" y="18992"/>
                <wp:lineTo x="5738" y="18882"/>
                <wp:lineTo x="6307" y="14162"/>
                <wp:lineTo x="6307" y="2745"/>
                <wp:lineTo x="7973" y="2745"/>
                <wp:lineTo x="7973" y="14162"/>
                <wp:lineTo x="8416" y="14162"/>
                <wp:lineTo x="8775" y="17620"/>
                <wp:lineTo x="9155" y="14162"/>
                <wp:lineTo x="9555" y="14162"/>
                <wp:lineTo x="9007" y="18992"/>
                <wp:lineTo x="8501" y="18937"/>
                <wp:lineTo x="7973" y="14162"/>
                <wp:lineTo x="7973" y="2745"/>
                <wp:lineTo x="10821" y="2745"/>
                <wp:lineTo x="10863" y="2855"/>
                <wp:lineTo x="10863" y="5105"/>
                <wp:lineTo x="10673" y="5434"/>
                <wp:lineTo x="9977" y="7246"/>
                <wp:lineTo x="10315" y="8289"/>
                <wp:lineTo x="10842" y="9551"/>
                <wp:lineTo x="11686" y="7300"/>
                <wp:lineTo x="10863" y="5105"/>
                <wp:lineTo x="10863" y="2855"/>
                <wp:lineTo x="12572" y="7355"/>
                <wp:lineTo x="11180" y="10976"/>
                <wp:lineTo x="11180" y="14162"/>
                <wp:lineTo x="11665" y="14272"/>
                <wp:lineTo x="12340" y="17071"/>
                <wp:lineTo x="12340" y="14162"/>
                <wp:lineTo x="12741" y="14162"/>
                <wp:lineTo x="12720" y="18992"/>
                <wp:lineTo x="12319" y="18937"/>
                <wp:lineTo x="11580" y="15863"/>
                <wp:lineTo x="11559" y="18992"/>
                <wp:lineTo x="11180" y="18992"/>
                <wp:lineTo x="11180" y="14162"/>
                <wp:lineTo x="11180" y="10976"/>
                <wp:lineTo x="10821" y="11911"/>
                <wp:lineTo x="9703" y="8931"/>
                <wp:lineTo x="9703" y="14162"/>
                <wp:lineTo x="10884" y="14162"/>
                <wp:lineTo x="10884" y="15095"/>
                <wp:lineTo x="10104" y="15095"/>
                <wp:lineTo x="10104" y="16083"/>
                <wp:lineTo x="10800" y="16083"/>
                <wp:lineTo x="10800" y="16961"/>
                <wp:lineTo x="10104" y="16961"/>
                <wp:lineTo x="10104" y="18004"/>
                <wp:lineTo x="10927" y="18004"/>
                <wp:lineTo x="10927" y="18992"/>
                <wp:lineTo x="9703" y="18992"/>
                <wp:lineTo x="9703" y="14162"/>
                <wp:lineTo x="9703" y="8931"/>
                <wp:lineTo x="9091" y="7300"/>
                <wp:lineTo x="10821" y="2745"/>
                <wp:lineTo x="12930" y="2745"/>
                <wp:lineTo x="12930" y="14162"/>
                <wp:lineTo x="14344" y="14162"/>
                <wp:lineTo x="14323" y="15150"/>
                <wp:lineTo x="13838" y="15150"/>
                <wp:lineTo x="13838" y="18992"/>
                <wp:lineTo x="13437" y="18992"/>
                <wp:lineTo x="13437" y="15150"/>
                <wp:lineTo x="12930" y="15095"/>
                <wp:lineTo x="12930" y="14162"/>
                <wp:lineTo x="12930" y="2745"/>
                <wp:lineTo x="14534" y="2745"/>
                <wp:lineTo x="14534" y="14162"/>
                <wp:lineTo x="14955" y="14217"/>
                <wp:lineTo x="14998" y="17785"/>
                <wp:lineTo x="15187" y="18114"/>
                <wp:lineTo x="15504" y="17949"/>
                <wp:lineTo x="15609" y="17455"/>
                <wp:lineTo x="15609" y="14162"/>
                <wp:lineTo x="16031" y="14217"/>
                <wp:lineTo x="15989" y="17894"/>
                <wp:lineTo x="15799" y="18663"/>
                <wp:lineTo x="15462" y="19047"/>
                <wp:lineTo x="14955" y="18937"/>
                <wp:lineTo x="14681" y="18443"/>
                <wp:lineTo x="14534" y="17455"/>
                <wp:lineTo x="14534" y="14162"/>
                <wp:lineTo x="14534" y="2745"/>
                <wp:lineTo x="16348" y="2745"/>
                <wp:lineTo x="16348" y="14162"/>
                <wp:lineTo x="16748" y="14206"/>
                <wp:lineTo x="17107" y="15150"/>
                <wp:lineTo x="16748" y="15095"/>
                <wp:lineTo x="16748" y="16412"/>
                <wp:lineTo x="17212" y="16303"/>
                <wp:lineTo x="17297" y="16028"/>
                <wp:lineTo x="17255" y="15315"/>
                <wp:lineTo x="17107" y="15150"/>
                <wp:lineTo x="16748" y="14206"/>
                <wp:lineTo x="17339" y="14272"/>
                <wp:lineTo x="17613" y="14766"/>
                <wp:lineTo x="17719" y="15424"/>
                <wp:lineTo x="17655" y="16467"/>
                <wp:lineTo x="17423" y="17071"/>
                <wp:lineTo x="17803" y="18992"/>
                <wp:lineTo x="17318" y="18882"/>
                <wp:lineTo x="16980" y="17181"/>
                <wp:lineTo x="16748" y="17236"/>
                <wp:lineTo x="16727" y="18992"/>
                <wp:lineTo x="16327" y="18937"/>
                <wp:lineTo x="16348" y="14162"/>
                <wp:lineTo x="16348" y="2745"/>
                <wp:lineTo x="18014" y="2745"/>
                <wp:lineTo x="18014" y="14162"/>
                <wp:lineTo x="19216" y="14217"/>
                <wp:lineTo x="19216" y="15095"/>
                <wp:lineTo x="18436" y="15095"/>
                <wp:lineTo x="18436" y="16083"/>
                <wp:lineTo x="19132" y="16083"/>
                <wp:lineTo x="19132" y="16961"/>
                <wp:lineTo x="18436" y="16961"/>
                <wp:lineTo x="18436" y="18004"/>
                <wp:lineTo x="19259" y="18059"/>
                <wp:lineTo x="19237" y="18992"/>
                <wp:lineTo x="18014" y="18937"/>
                <wp:lineTo x="18014" y="14162"/>
                <wp:lineTo x="18014" y="2745"/>
                <wp:lineTo x="20060" y="2745"/>
                <wp:lineTo x="20060" y="14052"/>
                <wp:lineTo x="20609" y="14326"/>
                <wp:lineTo x="20820" y="14656"/>
                <wp:lineTo x="20587" y="15534"/>
                <wp:lineTo x="20271" y="15040"/>
                <wp:lineTo x="19934" y="15150"/>
                <wp:lineTo x="19934" y="15699"/>
                <wp:lineTo x="20693" y="16577"/>
                <wp:lineTo x="20841" y="17181"/>
                <wp:lineTo x="20798" y="18169"/>
                <wp:lineTo x="20524" y="18882"/>
                <wp:lineTo x="19976" y="19047"/>
                <wp:lineTo x="19491" y="18498"/>
                <wp:lineTo x="19427" y="18279"/>
                <wp:lineTo x="19638" y="17565"/>
                <wp:lineTo x="20060" y="18114"/>
                <wp:lineTo x="20398" y="17949"/>
                <wp:lineTo x="20398" y="17345"/>
                <wp:lineTo x="19659" y="16522"/>
                <wp:lineTo x="19491" y="15863"/>
                <wp:lineTo x="19554" y="14821"/>
                <wp:lineTo x="19786" y="14272"/>
                <wp:lineTo x="20060" y="14052"/>
                <wp:lineTo x="20060" y="2745"/>
                <wp:lineTo x="759" y="274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ta.png"/>
                    <pic:cNvPicPr>
                      <a:picLocks noChangeAspect="1"/>
                    </pic:cNvPicPr>
                  </pic:nvPicPr>
                  <pic:blipFill>
                    <a:blip r:embed="rId6"/>
                    <a:stretch>
                      <a:fillRect/>
                    </a:stretch>
                  </pic:blipFill>
                  <pic:spPr>
                    <a:xfrm>
                      <a:off x="0" y="0"/>
                      <a:ext cx="1667761" cy="640897"/>
                    </a:xfrm>
                    <a:prstGeom prst="rect">
                      <a:avLst/>
                    </a:prstGeom>
                    <a:ln w="12700" cap="flat">
                      <a:noFill/>
                      <a:miter lim="400000"/>
                    </a:ln>
                    <a:effectLst/>
                  </pic:spPr>
                </pic:pic>
              </a:graphicData>
            </a:graphic>
          </wp:anchor>
        </w:drawing>
      </w:r>
    </w:p>
    <w:p w:rsidR="007E7CCB" w:rsidRDefault="006B4132">
      <w:pPr>
        <w:pStyle w:val="Heading"/>
        <w:rPr>
          <w:rFonts w:hint="eastAsia"/>
        </w:rPr>
      </w:pPr>
      <w:r>
        <w:tab/>
      </w:r>
      <w:r>
        <w:tab/>
      </w:r>
      <w:r>
        <w:tab/>
      </w:r>
      <w:r>
        <w:tab/>
      </w:r>
      <w:r>
        <w:tab/>
      </w:r>
      <w:r>
        <w:tab/>
      </w:r>
      <w:r>
        <w:tab/>
        <w:t>FSE: 1WZ:GR</w:t>
      </w:r>
    </w:p>
    <w:p w:rsidR="007E7CCB" w:rsidRDefault="006B4132">
      <w:pPr>
        <w:pStyle w:val="Heading"/>
        <w:rPr>
          <w:rFonts w:hint="eastAsia"/>
        </w:rPr>
      </w:pPr>
      <w:r>
        <w:tab/>
      </w:r>
      <w:r>
        <w:tab/>
      </w:r>
      <w:r>
        <w:tab/>
      </w:r>
      <w:r>
        <w:tab/>
      </w:r>
      <w:r>
        <w:tab/>
      </w:r>
      <w:r>
        <w:tab/>
      </w:r>
      <w:r>
        <w:tab/>
      </w:r>
      <w:r>
        <w:tab/>
      </w:r>
      <w:r>
        <w:tab/>
      </w:r>
      <w:r>
        <w:tab/>
        <w:t>OTC: PEMTF</w:t>
      </w:r>
    </w:p>
    <w:p w:rsidR="004C7866" w:rsidRDefault="004C7866" w:rsidP="004C7866">
      <w:pPr>
        <w:pStyle w:val="Body2"/>
        <w:rPr>
          <w:rFonts w:hint="eastAsia"/>
        </w:rPr>
      </w:pPr>
    </w:p>
    <w:p w:rsidR="004C7866" w:rsidRPr="007E06E0" w:rsidRDefault="004C7866" w:rsidP="004C7866">
      <w:pPr>
        <w:pStyle w:val="NormalWeb"/>
        <w:shd w:val="clear" w:color="auto" w:fill="FFFFFF"/>
        <w:jc w:val="center"/>
        <w:rPr>
          <w:rFonts w:ascii="Arial" w:hAnsi="Arial" w:cs="Arial"/>
          <w:b/>
          <w:bCs/>
          <w:sz w:val="22"/>
          <w:szCs w:val="22"/>
        </w:rPr>
      </w:pPr>
      <w:bookmarkStart w:id="0" w:name="DocsID"/>
      <w:bookmarkEnd w:id="0"/>
      <w:r>
        <w:rPr>
          <w:rFonts w:ascii="Arial" w:hAnsi="Arial" w:cs="Arial"/>
          <w:b/>
          <w:color w:val="000000"/>
          <w:sz w:val="22"/>
          <w:szCs w:val="22"/>
        </w:rPr>
        <w:t>MOTA VENTURES COMPLETES ACQUISITION OF</w:t>
      </w:r>
      <w:r>
        <w:rPr>
          <w:rFonts w:ascii="Arial" w:hAnsi="Arial" w:cs="Arial"/>
          <w:b/>
          <w:bCs/>
          <w:sz w:val="22"/>
          <w:szCs w:val="22"/>
        </w:rPr>
        <w:t xml:space="preserve"> COLOMBIAN LICENSED PRODUCER AND BEGINS TRADING ON DECEMBER 4, 2019</w:t>
      </w:r>
    </w:p>
    <w:p w:rsidR="004C7866" w:rsidRDefault="004C7866" w:rsidP="004C7866">
      <w:pPr>
        <w:autoSpaceDE w:val="0"/>
        <w:autoSpaceDN w:val="0"/>
        <w:adjustRightInd w:val="0"/>
        <w:jc w:val="both"/>
        <w:rPr>
          <w:rFonts w:ascii="Arial" w:hAnsi="Arial" w:cs="Arial"/>
          <w:color w:val="000000"/>
          <w:sz w:val="22"/>
          <w:szCs w:val="22"/>
        </w:rPr>
      </w:pPr>
      <w:r w:rsidRPr="001F2BA1">
        <w:rPr>
          <w:rFonts w:ascii="Arial" w:hAnsi="Arial" w:cs="Arial"/>
          <w:sz w:val="22"/>
          <w:szCs w:val="22"/>
        </w:rPr>
        <w:t>VANCOUVER, BC, CANADA (</w:t>
      </w:r>
      <w:r>
        <w:rPr>
          <w:rFonts w:ascii="Arial" w:hAnsi="Arial" w:cs="Arial"/>
          <w:sz w:val="22"/>
          <w:szCs w:val="22"/>
        </w:rPr>
        <w:t xml:space="preserve">December </w:t>
      </w:r>
      <w:r w:rsidR="00522415">
        <w:rPr>
          <w:rFonts w:ascii="Arial" w:hAnsi="Arial" w:cs="Arial"/>
          <w:sz w:val="22"/>
          <w:szCs w:val="22"/>
        </w:rPr>
        <w:t>3</w:t>
      </w:r>
      <w:bookmarkStart w:id="1" w:name="_GoBack"/>
      <w:bookmarkEnd w:id="1"/>
      <w:r w:rsidRPr="001F2BA1">
        <w:rPr>
          <w:rFonts w:ascii="Arial" w:hAnsi="Arial" w:cs="Arial"/>
          <w:sz w:val="22"/>
          <w:szCs w:val="22"/>
        </w:rPr>
        <w:t>, 2019)</w:t>
      </w:r>
      <w:r w:rsidRPr="001F2BA1">
        <w:rPr>
          <w:rFonts w:ascii="Arial" w:hAnsi="Arial" w:cs="Arial"/>
          <w:b/>
          <w:sz w:val="22"/>
          <w:szCs w:val="22"/>
        </w:rPr>
        <w:t xml:space="preserve"> – </w:t>
      </w:r>
      <w:proofErr w:type="spellStart"/>
      <w:r w:rsidRPr="001F2BA1">
        <w:rPr>
          <w:rFonts w:ascii="Arial" w:hAnsi="Arial" w:cs="Arial"/>
          <w:b/>
          <w:sz w:val="22"/>
          <w:szCs w:val="22"/>
        </w:rPr>
        <w:t>Mota</w:t>
      </w:r>
      <w:proofErr w:type="spellEnd"/>
      <w:r w:rsidRPr="001F2BA1">
        <w:rPr>
          <w:rFonts w:ascii="Arial" w:hAnsi="Arial" w:cs="Arial"/>
          <w:b/>
          <w:sz w:val="22"/>
          <w:szCs w:val="22"/>
        </w:rPr>
        <w:t xml:space="preserve"> Ventures Corp. </w:t>
      </w:r>
      <w:r w:rsidRPr="00324BB1">
        <w:rPr>
          <w:rFonts w:ascii="Arial" w:hAnsi="Arial" w:cs="Arial"/>
          <w:b/>
          <w:sz w:val="22"/>
          <w:szCs w:val="22"/>
        </w:rPr>
        <w:t xml:space="preserve">(formerly, </w:t>
      </w:r>
      <w:r w:rsidRPr="007E06E0">
        <w:rPr>
          <w:rFonts w:ascii="Arial" w:hAnsi="Arial" w:cs="Arial"/>
          <w:b/>
          <w:sz w:val="22"/>
          <w:szCs w:val="22"/>
        </w:rPr>
        <w:t>Primary Energy Metals Inc.</w:t>
      </w:r>
      <w:r>
        <w:rPr>
          <w:rFonts w:ascii="Arial" w:hAnsi="Arial" w:cs="Arial"/>
          <w:b/>
          <w:sz w:val="22"/>
          <w:szCs w:val="22"/>
        </w:rPr>
        <w:t>)</w:t>
      </w:r>
      <w:r w:rsidRPr="007E06E0">
        <w:rPr>
          <w:rFonts w:ascii="Arial" w:hAnsi="Arial" w:cs="Arial"/>
          <w:b/>
          <w:sz w:val="22"/>
          <w:szCs w:val="22"/>
        </w:rPr>
        <w:t xml:space="preserve"> (CSE</w:t>
      </w:r>
      <w:r>
        <w:rPr>
          <w:rFonts w:ascii="Arial" w:hAnsi="Arial" w:cs="Arial"/>
          <w:b/>
          <w:sz w:val="22"/>
          <w:szCs w:val="22"/>
        </w:rPr>
        <w:t>: MOTA</w:t>
      </w:r>
      <w:r w:rsidRPr="007E06E0">
        <w:rPr>
          <w:rFonts w:ascii="Arial" w:hAnsi="Arial" w:cs="Arial"/>
          <w:b/>
          <w:sz w:val="22"/>
          <w:szCs w:val="22"/>
        </w:rPr>
        <w:t xml:space="preserve">) </w:t>
      </w:r>
      <w:r w:rsidRPr="007E06E0">
        <w:rPr>
          <w:rFonts w:ascii="Arial" w:hAnsi="Arial" w:cs="Arial"/>
          <w:sz w:val="22"/>
          <w:szCs w:val="22"/>
        </w:rPr>
        <w:t>(</w:t>
      </w:r>
      <w:proofErr w:type="gramStart"/>
      <w:r w:rsidRPr="007E06E0">
        <w:rPr>
          <w:rFonts w:ascii="Arial" w:hAnsi="Arial" w:cs="Arial"/>
          <w:sz w:val="22"/>
          <w:szCs w:val="22"/>
        </w:rPr>
        <w:t>the</w:t>
      </w:r>
      <w:proofErr w:type="gramEnd"/>
      <w:r w:rsidRPr="007E06E0">
        <w:rPr>
          <w:rFonts w:ascii="Arial" w:hAnsi="Arial" w:cs="Arial"/>
          <w:sz w:val="22"/>
          <w:szCs w:val="22"/>
        </w:rPr>
        <w:t xml:space="preserve"> “</w:t>
      </w:r>
      <w:r w:rsidRPr="007E06E0">
        <w:rPr>
          <w:rFonts w:ascii="Arial" w:hAnsi="Arial" w:cs="Arial"/>
          <w:b/>
          <w:sz w:val="22"/>
          <w:szCs w:val="22"/>
        </w:rPr>
        <w:t>Company</w:t>
      </w:r>
      <w:r w:rsidRPr="007E06E0">
        <w:rPr>
          <w:rFonts w:ascii="Arial" w:hAnsi="Arial" w:cs="Arial"/>
          <w:sz w:val="22"/>
          <w:szCs w:val="22"/>
        </w:rPr>
        <w:t>”)</w:t>
      </w:r>
      <w:r w:rsidRPr="007E06E0">
        <w:rPr>
          <w:rStyle w:val="apple-converted-space"/>
          <w:rFonts w:ascii="Arial" w:hAnsi="Arial" w:cs="Arial"/>
          <w:bCs/>
          <w:color w:val="000000"/>
          <w:sz w:val="22"/>
          <w:szCs w:val="22"/>
        </w:rPr>
        <w:t xml:space="preserve"> </w:t>
      </w:r>
      <w:r w:rsidRPr="007E06E0">
        <w:rPr>
          <w:rFonts w:ascii="Arial" w:hAnsi="Arial" w:cs="Arial"/>
          <w:color w:val="000000"/>
          <w:sz w:val="22"/>
          <w:szCs w:val="22"/>
        </w:rPr>
        <w:t xml:space="preserve">is pleased to announce </w:t>
      </w:r>
      <w:r w:rsidRPr="007E06E0">
        <w:rPr>
          <w:rFonts w:ascii="Arial" w:hAnsi="Arial" w:cs="Arial"/>
          <w:sz w:val="22"/>
          <w:szCs w:val="22"/>
        </w:rPr>
        <w:t xml:space="preserve">that </w:t>
      </w:r>
      <w:r>
        <w:rPr>
          <w:rFonts w:ascii="Arial" w:hAnsi="Arial" w:cs="Arial"/>
          <w:color w:val="000000" w:themeColor="text1"/>
          <w:sz w:val="22"/>
          <w:szCs w:val="22"/>
        </w:rPr>
        <w:t>it has completed the acquisition (the “</w:t>
      </w:r>
      <w:r>
        <w:rPr>
          <w:rFonts w:ascii="Arial" w:hAnsi="Arial" w:cs="Arial"/>
          <w:b/>
          <w:color w:val="000000" w:themeColor="text1"/>
          <w:sz w:val="22"/>
          <w:szCs w:val="22"/>
        </w:rPr>
        <w:t>Transaction</w:t>
      </w:r>
      <w:r>
        <w:rPr>
          <w:rFonts w:ascii="Arial" w:hAnsi="Arial" w:cs="Arial"/>
          <w:color w:val="000000" w:themeColor="text1"/>
          <w:sz w:val="22"/>
          <w:szCs w:val="22"/>
        </w:rPr>
        <w:t>”) of NNZ Consulting Corp. (“</w:t>
      </w:r>
      <w:r>
        <w:rPr>
          <w:rFonts w:ascii="Arial" w:hAnsi="Arial" w:cs="Arial"/>
          <w:b/>
          <w:color w:val="000000" w:themeColor="text1"/>
          <w:sz w:val="22"/>
          <w:szCs w:val="22"/>
        </w:rPr>
        <w:t>NNZ</w:t>
      </w:r>
      <w:r>
        <w:rPr>
          <w:rFonts w:ascii="Arial" w:hAnsi="Arial" w:cs="Arial"/>
          <w:color w:val="000000" w:themeColor="text1"/>
          <w:sz w:val="22"/>
          <w:szCs w:val="22"/>
        </w:rPr>
        <w:t>”).</w:t>
      </w:r>
      <w:r w:rsidRPr="00324BB1">
        <w:rPr>
          <w:rFonts w:ascii="Arial" w:hAnsi="Arial" w:cs="Arial"/>
          <w:color w:val="000000"/>
          <w:sz w:val="22"/>
          <w:szCs w:val="22"/>
        </w:rPr>
        <w:t xml:space="preserve"> </w:t>
      </w:r>
      <w:r>
        <w:rPr>
          <w:rFonts w:ascii="Arial" w:hAnsi="Arial" w:cs="Arial"/>
          <w:color w:val="000000"/>
          <w:sz w:val="22"/>
          <w:szCs w:val="22"/>
        </w:rPr>
        <w:t xml:space="preserve"> NNZ is a </w:t>
      </w:r>
      <w:proofErr w:type="gramStart"/>
      <w:r>
        <w:rPr>
          <w:rFonts w:ascii="Arial" w:hAnsi="Arial" w:cs="Arial"/>
          <w:color w:val="000000"/>
          <w:sz w:val="22"/>
          <w:szCs w:val="22"/>
        </w:rPr>
        <w:t>privately-held</w:t>
      </w:r>
      <w:proofErr w:type="gramEnd"/>
      <w:r>
        <w:rPr>
          <w:rFonts w:ascii="Arial" w:hAnsi="Arial" w:cs="Arial"/>
          <w:color w:val="000000"/>
          <w:sz w:val="22"/>
          <w:szCs w:val="22"/>
        </w:rPr>
        <w:t xml:space="preserve"> company which, through its subsidiary </w:t>
      </w:r>
      <w:proofErr w:type="spellStart"/>
      <w:r>
        <w:rPr>
          <w:rFonts w:ascii="Arial" w:hAnsi="Arial" w:cs="Arial"/>
          <w:color w:val="000000"/>
          <w:sz w:val="22"/>
          <w:szCs w:val="22"/>
        </w:rPr>
        <w:t>Ihuana</w:t>
      </w:r>
      <w:proofErr w:type="spellEnd"/>
      <w:r>
        <w:rPr>
          <w:rFonts w:ascii="Arial" w:hAnsi="Arial" w:cs="Arial"/>
          <w:color w:val="000000"/>
          <w:sz w:val="22"/>
          <w:szCs w:val="22"/>
        </w:rPr>
        <w:t xml:space="preserve"> SAS (“</w:t>
      </w:r>
      <w:proofErr w:type="spellStart"/>
      <w:r>
        <w:rPr>
          <w:rFonts w:ascii="Arial" w:hAnsi="Arial" w:cs="Arial"/>
          <w:b/>
          <w:color w:val="000000"/>
          <w:sz w:val="22"/>
          <w:szCs w:val="22"/>
        </w:rPr>
        <w:t>Ihuana</w:t>
      </w:r>
      <w:proofErr w:type="spellEnd"/>
      <w:r>
        <w:rPr>
          <w:rFonts w:ascii="Arial" w:hAnsi="Arial" w:cs="Arial"/>
          <w:color w:val="000000"/>
          <w:sz w:val="22"/>
          <w:szCs w:val="22"/>
        </w:rPr>
        <w:t>”), is</w:t>
      </w:r>
      <w:r w:rsidRPr="003F5AE4">
        <w:rPr>
          <w:rFonts w:ascii="Arial" w:hAnsi="Arial" w:cs="Arial"/>
          <w:color w:val="000000"/>
          <w:sz w:val="22"/>
          <w:szCs w:val="22"/>
        </w:rPr>
        <w:t xml:space="preserve"> licensed to cultivate</w:t>
      </w:r>
      <w:r>
        <w:rPr>
          <w:rFonts w:ascii="Arial" w:hAnsi="Arial" w:cs="Arial"/>
          <w:color w:val="000000"/>
          <w:sz w:val="22"/>
          <w:szCs w:val="22"/>
        </w:rPr>
        <w:t xml:space="preserve"> non-psychoactive cannabis in Colombia for seed production, manufacturing of derivative products such as </w:t>
      </w:r>
      <w:proofErr w:type="spellStart"/>
      <w:r>
        <w:rPr>
          <w:rFonts w:ascii="Arial" w:hAnsi="Arial" w:cs="Arial"/>
          <w:color w:val="000000"/>
          <w:sz w:val="22"/>
          <w:szCs w:val="22"/>
        </w:rPr>
        <w:t>cannabidiol</w:t>
      </w:r>
      <w:proofErr w:type="spellEnd"/>
      <w:r>
        <w:rPr>
          <w:rFonts w:ascii="Arial" w:hAnsi="Arial" w:cs="Arial"/>
          <w:color w:val="000000"/>
          <w:sz w:val="22"/>
          <w:szCs w:val="22"/>
        </w:rPr>
        <w:t xml:space="preserve"> (“</w:t>
      </w:r>
      <w:r w:rsidRPr="00F5588B">
        <w:rPr>
          <w:rFonts w:ascii="Arial" w:hAnsi="Arial" w:cs="Arial"/>
          <w:b/>
          <w:color w:val="000000"/>
          <w:sz w:val="22"/>
          <w:szCs w:val="22"/>
        </w:rPr>
        <w:t>CBD</w:t>
      </w:r>
      <w:r>
        <w:rPr>
          <w:rFonts w:ascii="Arial" w:hAnsi="Arial" w:cs="Arial"/>
          <w:color w:val="000000"/>
          <w:sz w:val="22"/>
          <w:szCs w:val="22"/>
        </w:rPr>
        <w:t>”)</w:t>
      </w:r>
      <w:r w:rsidRPr="003F5AE4">
        <w:rPr>
          <w:rFonts w:ascii="Arial" w:hAnsi="Arial" w:cs="Arial"/>
          <w:color w:val="000000"/>
          <w:sz w:val="22"/>
          <w:szCs w:val="22"/>
        </w:rPr>
        <w:t xml:space="preserve"> </w:t>
      </w:r>
      <w:r>
        <w:rPr>
          <w:rFonts w:ascii="Arial" w:hAnsi="Arial" w:cs="Arial"/>
          <w:color w:val="000000"/>
          <w:sz w:val="22"/>
          <w:szCs w:val="22"/>
        </w:rPr>
        <w:t>and for industrial purposes</w:t>
      </w:r>
      <w:r w:rsidRPr="003F5AE4">
        <w:rPr>
          <w:rFonts w:ascii="Arial" w:hAnsi="Arial" w:cs="Arial"/>
          <w:color w:val="000000"/>
          <w:sz w:val="22"/>
          <w:szCs w:val="22"/>
        </w:rPr>
        <w:t>.</w:t>
      </w:r>
    </w:p>
    <w:p w:rsidR="004C7866" w:rsidRDefault="004C7866" w:rsidP="004C7866">
      <w:pPr>
        <w:autoSpaceDE w:val="0"/>
        <w:autoSpaceDN w:val="0"/>
        <w:adjustRightInd w:val="0"/>
        <w:jc w:val="both"/>
        <w:rPr>
          <w:rFonts w:ascii="Arial" w:hAnsi="Arial" w:cs="Arial"/>
          <w:color w:val="000000" w:themeColor="text1"/>
          <w:sz w:val="22"/>
          <w:szCs w:val="22"/>
        </w:rPr>
      </w:pPr>
    </w:p>
    <w:p w:rsidR="004C7866" w:rsidRPr="00AB1E39" w:rsidRDefault="004C7866" w:rsidP="004C7866">
      <w:pPr>
        <w:autoSpaceDE w:val="0"/>
        <w:autoSpaceDN w:val="0"/>
        <w:adjustRightInd w:val="0"/>
        <w:jc w:val="both"/>
        <w:rPr>
          <w:rFonts w:ascii="Arial" w:hAnsi="Arial" w:cs="Arial"/>
          <w:color w:val="000000" w:themeColor="text1"/>
          <w:sz w:val="22"/>
          <w:szCs w:val="22"/>
        </w:rPr>
      </w:pPr>
      <w:r w:rsidRPr="00AB1E39">
        <w:rPr>
          <w:rFonts w:ascii="Arial" w:hAnsi="Arial" w:cs="Arial"/>
          <w:sz w:val="22"/>
          <w:szCs w:val="22"/>
        </w:rPr>
        <w:t>“</w:t>
      </w:r>
      <w:r>
        <w:rPr>
          <w:rFonts w:ascii="Arial" w:hAnsi="Arial" w:cs="Arial"/>
          <w:sz w:val="22"/>
          <w:szCs w:val="22"/>
        </w:rPr>
        <w:t>The acquisition of NNZ and o</w:t>
      </w:r>
      <w:r w:rsidRPr="00AB1E39">
        <w:rPr>
          <w:rFonts w:ascii="Arial" w:hAnsi="Arial" w:cs="Arial"/>
          <w:sz w:val="22"/>
          <w:szCs w:val="22"/>
        </w:rPr>
        <w:t>ur public listing on the Canadian Securities Exchange is a great accomplishment for the team.  We can now continue to execute on our business plan to become a leading producer of premium quality medicinal cannabis products”, stated Joel Shacker, Chief Executive Officer.  “We have brought together some of the finest Canadian leadership in the cannabis industry, strategic global relationships and a very strong operational team in Columbia that will allow us to become a leader in the international cannabis market.”</w:t>
      </w:r>
    </w:p>
    <w:p w:rsidR="004C7866" w:rsidRDefault="004C7866" w:rsidP="004C7866">
      <w:pPr>
        <w:autoSpaceDE w:val="0"/>
        <w:autoSpaceDN w:val="0"/>
        <w:adjustRightInd w:val="0"/>
        <w:jc w:val="both"/>
        <w:rPr>
          <w:rFonts w:ascii="Arial" w:hAnsi="Arial" w:cs="Arial"/>
          <w:color w:val="000000" w:themeColor="text1"/>
          <w:sz w:val="22"/>
          <w:szCs w:val="22"/>
        </w:rPr>
      </w:pPr>
    </w:p>
    <w:p w:rsidR="004C7866" w:rsidRDefault="004C7866" w:rsidP="004C7866">
      <w:p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Following completion of the Transaction</w:t>
      </w:r>
      <w:r w:rsidRPr="003F5AE4">
        <w:rPr>
          <w:rFonts w:ascii="Arial" w:hAnsi="Arial" w:cs="Arial"/>
          <w:color w:val="000000"/>
          <w:sz w:val="22"/>
          <w:szCs w:val="22"/>
        </w:rPr>
        <w:t xml:space="preserve">, the Company </w:t>
      </w:r>
      <w:r>
        <w:rPr>
          <w:rFonts w:ascii="Arial" w:hAnsi="Arial" w:cs="Arial"/>
          <w:color w:val="000000"/>
          <w:sz w:val="22"/>
          <w:szCs w:val="22"/>
        </w:rPr>
        <w:t xml:space="preserve">intends to </w:t>
      </w:r>
      <w:r w:rsidRPr="003F5AE4">
        <w:rPr>
          <w:rFonts w:ascii="Arial" w:hAnsi="Arial" w:cs="Arial"/>
          <w:color w:val="000000"/>
          <w:sz w:val="22"/>
          <w:szCs w:val="22"/>
        </w:rPr>
        <w:t xml:space="preserve">focus its efforts </w:t>
      </w:r>
      <w:r>
        <w:rPr>
          <w:rFonts w:ascii="Arial" w:hAnsi="Arial" w:cs="Arial"/>
          <w:color w:val="000000"/>
          <w:sz w:val="22"/>
          <w:szCs w:val="22"/>
        </w:rPr>
        <w:t>on developing the</w:t>
      </w:r>
      <w:r w:rsidRPr="003F5AE4">
        <w:rPr>
          <w:rFonts w:ascii="Arial" w:hAnsi="Arial" w:cs="Arial"/>
          <w:color w:val="000000"/>
          <w:sz w:val="22"/>
          <w:szCs w:val="22"/>
        </w:rPr>
        <w:t xml:space="preserve"> business of NNZ, and </w:t>
      </w:r>
      <w:r>
        <w:rPr>
          <w:rFonts w:ascii="Arial" w:hAnsi="Arial" w:cs="Arial"/>
          <w:color w:val="000000"/>
          <w:sz w:val="22"/>
          <w:szCs w:val="22"/>
        </w:rPr>
        <w:t>has changed</w:t>
      </w:r>
      <w:r w:rsidRPr="003F5AE4">
        <w:rPr>
          <w:rFonts w:ascii="Arial" w:hAnsi="Arial" w:cs="Arial"/>
          <w:color w:val="000000"/>
          <w:sz w:val="22"/>
          <w:szCs w:val="22"/>
        </w:rPr>
        <w:t xml:space="preserve"> its name to</w:t>
      </w:r>
      <w:r>
        <w:rPr>
          <w:rFonts w:ascii="Arial" w:hAnsi="Arial" w:cs="Arial"/>
          <w:color w:val="000000"/>
          <w:sz w:val="22"/>
          <w:szCs w:val="22"/>
        </w:rPr>
        <w:t xml:space="preserve"> “</w:t>
      </w:r>
      <w:proofErr w:type="spellStart"/>
      <w:r>
        <w:rPr>
          <w:rFonts w:ascii="Arial" w:hAnsi="Arial" w:cs="Arial"/>
          <w:color w:val="000000"/>
          <w:sz w:val="22"/>
          <w:szCs w:val="22"/>
        </w:rPr>
        <w:t>Mota</w:t>
      </w:r>
      <w:proofErr w:type="spellEnd"/>
      <w:r>
        <w:rPr>
          <w:rFonts w:ascii="Arial" w:hAnsi="Arial" w:cs="Arial"/>
          <w:color w:val="000000"/>
          <w:sz w:val="22"/>
          <w:szCs w:val="22"/>
        </w:rPr>
        <w:t xml:space="preserve"> Ventures Corp.”</w:t>
      </w:r>
      <w:r w:rsidRPr="003F5AE4">
        <w:rPr>
          <w:rFonts w:ascii="Arial" w:hAnsi="Arial" w:cs="Arial"/>
          <w:color w:val="000000"/>
          <w:sz w:val="22"/>
          <w:szCs w:val="22"/>
        </w:rPr>
        <w:t xml:space="preserve"> </w:t>
      </w:r>
      <w:r>
        <w:rPr>
          <w:rFonts w:ascii="Arial" w:hAnsi="Arial" w:cs="Arial"/>
          <w:color w:val="000000"/>
          <w:sz w:val="22"/>
          <w:szCs w:val="22"/>
        </w:rPr>
        <w:t xml:space="preserve">to </w:t>
      </w:r>
      <w:r w:rsidRPr="003F5AE4">
        <w:rPr>
          <w:rFonts w:ascii="Arial" w:hAnsi="Arial" w:cs="Arial"/>
          <w:color w:val="000000"/>
          <w:sz w:val="22"/>
          <w:szCs w:val="22"/>
        </w:rPr>
        <w:t>reflect its activities in the South American cannabis sector.</w:t>
      </w:r>
      <w:proofErr w:type="gramEnd"/>
      <w:r>
        <w:rPr>
          <w:rFonts w:ascii="Arial" w:hAnsi="Arial" w:cs="Arial"/>
          <w:color w:val="000000"/>
          <w:sz w:val="22"/>
          <w:szCs w:val="22"/>
        </w:rPr>
        <w:t xml:space="preserve">  </w:t>
      </w:r>
      <w:r>
        <w:rPr>
          <w:rFonts w:ascii="Arial" w:hAnsi="Arial" w:cs="Arial"/>
          <w:color w:val="000000" w:themeColor="text1"/>
          <w:sz w:val="22"/>
          <w:szCs w:val="22"/>
        </w:rPr>
        <w:t>The Transaction was completed pursuant to the terms of a definitive share purchase agreement (the “</w:t>
      </w:r>
      <w:r>
        <w:rPr>
          <w:rFonts w:ascii="Arial" w:hAnsi="Arial" w:cs="Arial"/>
          <w:b/>
          <w:color w:val="000000" w:themeColor="text1"/>
          <w:sz w:val="22"/>
          <w:szCs w:val="22"/>
        </w:rPr>
        <w:t>Purchase Agreement</w:t>
      </w:r>
      <w:r>
        <w:rPr>
          <w:rFonts w:ascii="Arial" w:hAnsi="Arial" w:cs="Arial"/>
          <w:color w:val="000000" w:themeColor="text1"/>
          <w:sz w:val="22"/>
          <w:szCs w:val="22"/>
        </w:rPr>
        <w:t xml:space="preserve">”), dated November 4, 2019, </w:t>
      </w:r>
      <w:proofErr w:type="gramStart"/>
      <w:r>
        <w:rPr>
          <w:rFonts w:ascii="Arial" w:hAnsi="Arial" w:cs="Arial"/>
          <w:color w:val="000000" w:themeColor="text1"/>
          <w:sz w:val="22"/>
          <w:szCs w:val="22"/>
        </w:rPr>
        <w:t>entered</w:t>
      </w:r>
      <w:proofErr w:type="gramEnd"/>
      <w:r>
        <w:rPr>
          <w:rFonts w:ascii="Arial" w:hAnsi="Arial" w:cs="Arial"/>
          <w:color w:val="000000" w:themeColor="text1"/>
          <w:sz w:val="22"/>
          <w:szCs w:val="22"/>
        </w:rPr>
        <w:t xml:space="preserve"> into with NNZ and each of its shareholders. </w:t>
      </w:r>
      <w:r w:rsidRPr="003F5AE4">
        <w:rPr>
          <w:rFonts w:ascii="Arial" w:hAnsi="Arial" w:cs="Arial"/>
          <w:color w:val="000000"/>
          <w:sz w:val="22"/>
          <w:szCs w:val="22"/>
        </w:rPr>
        <w:t xml:space="preserve">In consideration for the acquisition of NNZ, the Company </w:t>
      </w:r>
      <w:r>
        <w:rPr>
          <w:rFonts w:ascii="Arial" w:hAnsi="Arial" w:cs="Arial"/>
          <w:color w:val="000000"/>
          <w:sz w:val="22"/>
          <w:szCs w:val="22"/>
        </w:rPr>
        <w:t>has</w:t>
      </w:r>
      <w:r w:rsidRPr="003F5AE4">
        <w:rPr>
          <w:rFonts w:ascii="Arial" w:hAnsi="Arial" w:cs="Arial"/>
          <w:color w:val="000000"/>
          <w:sz w:val="22"/>
          <w:szCs w:val="22"/>
        </w:rPr>
        <w:t xml:space="preserve"> issue</w:t>
      </w:r>
      <w:r>
        <w:rPr>
          <w:rFonts w:ascii="Arial" w:hAnsi="Arial" w:cs="Arial"/>
          <w:color w:val="000000"/>
          <w:sz w:val="22"/>
          <w:szCs w:val="22"/>
        </w:rPr>
        <w:t>d</w:t>
      </w:r>
      <w:r w:rsidRPr="003F5AE4">
        <w:rPr>
          <w:rFonts w:ascii="Arial" w:hAnsi="Arial" w:cs="Arial"/>
          <w:color w:val="000000"/>
          <w:sz w:val="22"/>
          <w:szCs w:val="22"/>
        </w:rPr>
        <w:t xml:space="preserve"> </w:t>
      </w:r>
      <w:r>
        <w:rPr>
          <w:rFonts w:ascii="Arial" w:hAnsi="Arial" w:cs="Arial"/>
          <w:color w:val="000000"/>
          <w:sz w:val="22"/>
          <w:szCs w:val="22"/>
        </w:rPr>
        <w:t>39,997,500</w:t>
      </w:r>
      <w:r w:rsidRPr="003F5AE4">
        <w:rPr>
          <w:rFonts w:ascii="Arial" w:hAnsi="Arial" w:cs="Arial"/>
          <w:color w:val="000000"/>
          <w:sz w:val="22"/>
          <w:szCs w:val="22"/>
        </w:rPr>
        <w:t xml:space="preserve"> common shares (the “</w:t>
      </w:r>
      <w:r w:rsidRPr="003F5AE4">
        <w:rPr>
          <w:rFonts w:ascii="Arial" w:hAnsi="Arial" w:cs="Arial"/>
          <w:b/>
          <w:color w:val="000000"/>
          <w:sz w:val="22"/>
          <w:szCs w:val="22"/>
        </w:rPr>
        <w:t>Consideration Shares</w:t>
      </w:r>
      <w:r w:rsidRPr="003F5AE4">
        <w:rPr>
          <w:rFonts w:ascii="Arial" w:hAnsi="Arial" w:cs="Arial"/>
          <w:color w:val="000000"/>
          <w:sz w:val="22"/>
          <w:szCs w:val="22"/>
        </w:rPr>
        <w:t>”) to the existing shareholders of NNZ.</w:t>
      </w:r>
    </w:p>
    <w:p w:rsidR="004C7866" w:rsidRDefault="004C7866" w:rsidP="004C7866">
      <w:pPr>
        <w:autoSpaceDE w:val="0"/>
        <w:autoSpaceDN w:val="0"/>
        <w:adjustRightInd w:val="0"/>
        <w:jc w:val="both"/>
        <w:rPr>
          <w:rFonts w:ascii="Arial" w:hAnsi="Arial" w:cs="Arial"/>
          <w:color w:val="000000"/>
          <w:sz w:val="22"/>
          <w:szCs w:val="22"/>
        </w:rPr>
      </w:pPr>
    </w:p>
    <w:p w:rsidR="004C7866" w:rsidRPr="00324BB1" w:rsidRDefault="004C7866" w:rsidP="004C7866">
      <w:pPr>
        <w:autoSpaceDE w:val="0"/>
        <w:autoSpaceDN w:val="0"/>
        <w:adjustRightInd w:val="0"/>
        <w:jc w:val="both"/>
        <w:rPr>
          <w:rFonts w:ascii="Arial" w:hAnsi="Arial" w:cs="Arial"/>
          <w:color w:val="000000"/>
          <w:sz w:val="22"/>
          <w:szCs w:val="22"/>
        </w:rPr>
      </w:pPr>
      <w:r>
        <w:rPr>
          <w:rFonts w:ascii="Arial" w:hAnsi="Arial" w:cs="Arial"/>
          <w:color w:val="000000"/>
          <w:sz w:val="22"/>
          <w:szCs w:val="22"/>
        </w:rPr>
        <w:t>In connection with completion of the Transaction, the Company has completed the conversion of the subscription receipts (the “</w:t>
      </w:r>
      <w:r>
        <w:rPr>
          <w:rFonts w:ascii="Arial" w:hAnsi="Arial" w:cs="Arial"/>
          <w:b/>
          <w:color w:val="000000"/>
          <w:sz w:val="22"/>
          <w:szCs w:val="22"/>
        </w:rPr>
        <w:t>Receipts</w:t>
      </w:r>
      <w:r>
        <w:rPr>
          <w:rFonts w:ascii="Arial" w:hAnsi="Arial" w:cs="Arial"/>
          <w:color w:val="000000"/>
          <w:sz w:val="22"/>
          <w:szCs w:val="22"/>
        </w:rPr>
        <w:t>”) previously issued by the Company in the private placement (the “</w:t>
      </w:r>
      <w:r>
        <w:rPr>
          <w:rFonts w:ascii="Arial" w:hAnsi="Arial" w:cs="Arial"/>
          <w:b/>
          <w:color w:val="000000"/>
          <w:sz w:val="22"/>
          <w:szCs w:val="22"/>
        </w:rPr>
        <w:t>Financing</w:t>
      </w:r>
      <w:r>
        <w:rPr>
          <w:rFonts w:ascii="Arial" w:hAnsi="Arial" w:cs="Arial"/>
          <w:color w:val="000000"/>
          <w:sz w:val="22"/>
          <w:szCs w:val="22"/>
        </w:rPr>
        <w:t>”), and the gross proceeds of the Financing have been released to the Company.  In connection with the conversion of the Receipts, the Company issued 12,196,249 units (each, a “</w:t>
      </w:r>
      <w:r>
        <w:rPr>
          <w:rFonts w:ascii="Arial" w:hAnsi="Arial" w:cs="Arial"/>
          <w:b/>
          <w:color w:val="000000"/>
          <w:sz w:val="22"/>
          <w:szCs w:val="22"/>
        </w:rPr>
        <w:t>Conversion Unit</w:t>
      </w:r>
      <w:r>
        <w:rPr>
          <w:rFonts w:ascii="Arial" w:hAnsi="Arial" w:cs="Arial"/>
          <w:color w:val="000000"/>
          <w:sz w:val="22"/>
          <w:szCs w:val="22"/>
        </w:rPr>
        <w:t>”).  Each Conversion Unit consists of one common share of the Company, and one common share purchase warrant (each, a “</w:t>
      </w:r>
      <w:r>
        <w:rPr>
          <w:rFonts w:ascii="Arial" w:hAnsi="Arial" w:cs="Arial"/>
          <w:b/>
          <w:color w:val="000000"/>
          <w:sz w:val="22"/>
          <w:szCs w:val="22"/>
        </w:rPr>
        <w:t>Conversion Warrant</w:t>
      </w:r>
      <w:r>
        <w:rPr>
          <w:rFonts w:ascii="Arial" w:hAnsi="Arial" w:cs="Arial"/>
          <w:color w:val="000000"/>
          <w:sz w:val="22"/>
          <w:szCs w:val="22"/>
        </w:rPr>
        <w:t xml:space="preserve">”) entitling the holder to acquire an additional common share of the Company at a price of $0.50 until November </w:t>
      </w:r>
      <w:r>
        <w:rPr>
          <w:rFonts w:ascii="Arial" w:hAnsi="Arial" w:cs="Arial"/>
          <w:sz w:val="22"/>
          <w:szCs w:val="22"/>
        </w:rPr>
        <w:t>28</w:t>
      </w:r>
      <w:r>
        <w:rPr>
          <w:rFonts w:ascii="Arial" w:hAnsi="Arial" w:cs="Arial"/>
          <w:color w:val="000000"/>
          <w:sz w:val="22"/>
          <w:szCs w:val="22"/>
        </w:rPr>
        <w:t>, 2021.  The Company has also paid finders’ fees of $96,835 and issued 322,786 Conversion Warrants, to certain parties who assisted the Company in introducing subscribers to the Financing.</w:t>
      </w:r>
    </w:p>
    <w:p w:rsidR="004C7866" w:rsidRDefault="004C7866" w:rsidP="004C7866">
      <w:pPr>
        <w:autoSpaceDE w:val="0"/>
        <w:autoSpaceDN w:val="0"/>
        <w:adjustRightInd w:val="0"/>
        <w:jc w:val="both"/>
        <w:rPr>
          <w:rFonts w:ascii="Arial" w:hAnsi="Arial" w:cs="Arial"/>
          <w:color w:val="000000"/>
          <w:sz w:val="22"/>
          <w:szCs w:val="22"/>
        </w:rPr>
      </w:pPr>
    </w:p>
    <w:p w:rsidR="004C7866" w:rsidRDefault="004C7866" w:rsidP="004C7866">
      <w:pPr>
        <w:autoSpaceDE w:val="0"/>
        <w:autoSpaceDN w:val="0"/>
        <w:adjustRightInd w:val="0"/>
        <w:jc w:val="both"/>
        <w:rPr>
          <w:rFonts w:ascii="Arial" w:hAnsi="Arial" w:cs="Arial"/>
          <w:color w:val="000000"/>
          <w:sz w:val="22"/>
          <w:szCs w:val="22"/>
        </w:rPr>
      </w:pPr>
      <w:proofErr w:type="gramStart"/>
      <w:r w:rsidRPr="003F5AE4">
        <w:rPr>
          <w:rFonts w:ascii="Arial" w:hAnsi="Arial" w:cs="Arial"/>
          <w:color w:val="000000"/>
          <w:sz w:val="22"/>
          <w:szCs w:val="22"/>
        </w:rPr>
        <w:t xml:space="preserve">The Company </w:t>
      </w:r>
      <w:r>
        <w:rPr>
          <w:rFonts w:ascii="Arial" w:hAnsi="Arial" w:cs="Arial"/>
          <w:color w:val="000000"/>
          <w:sz w:val="22"/>
          <w:szCs w:val="22"/>
        </w:rPr>
        <w:t>has also issued 4,000,000 common shares (the “</w:t>
      </w:r>
      <w:r>
        <w:rPr>
          <w:rFonts w:ascii="Arial" w:hAnsi="Arial" w:cs="Arial"/>
          <w:b/>
          <w:color w:val="000000"/>
          <w:sz w:val="22"/>
          <w:szCs w:val="22"/>
        </w:rPr>
        <w:t>Finders’ Fee Shares</w:t>
      </w:r>
      <w:r>
        <w:rPr>
          <w:rFonts w:ascii="Arial" w:hAnsi="Arial" w:cs="Arial"/>
          <w:color w:val="000000"/>
          <w:sz w:val="22"/>
          <w:szCs w:val="22"/>
        </w:rPr>
        <w:t>”) to certain arms’-length third-parties who assisted in introducing the Transaction to the Company, 800,000 common shares (the “</w:t>
      </w:r>
      <w:r>
        <w:rPr>
          <w:rFonts w:ascii="Arial" w:hAnsi="Arial" w:cs="Arial"/>
          <w:b/>
          <w:color w:val="000000"/>
          <w:sz w:val="22"/>
          <w:szCs w:val="22"/>
        </w:rPr>
        <w:t>Advisory Fee Shares</w:t>
      </w:r>
      <w:r>
        <w:rPr>
          <w:rFonts w:ascii="Arial" w:hAnsi="Arial" w:cs="Arial"/>
          <w:color w:val="000000"/>
          <w:sz w:val="22"/>
          <w:szCs w:val="22"/>
        </w:rPr>
        <w:t>”) to a contractor, as consideration for certain corporate finance advisory services provided to the Company, and 416,667 Conversion Units (the “</w:t>
      </w:r>
      <w:r>
        <w:rPr>
          <w:rFonts w:ascii="Arial" w:hAnsi="Arial" w:cs="Arial"/>
          <w:b/>
          <w:color w:val="000000"/>
          <w:sz w:val="22"/>
          <w:szCs w:val="22"/>
        </w:rPr>
        <w:t>Marketing Fee Units</w:t>
      </w:r>
      <w:r>
        <w:rPr>
          <w:rFonts w:ascii="Arial" w:hAnsi="Arial" w:cs="Arial"/>
          <w:color w:val="000000"/>
          <w:sz w:val="22"/>
          <w:szCs w:val="22"/>
        </w:rPr>
        <w:t>”) to a contractor, as consideration for certain marketing services provided to the Company.</w:t>
      </w:r>
      <w:proofErr w:type="gramEnd"/>
    </w:p>
    <w:p w:rsidR="004C7866" w:rsidRDefault="004C7866" w:rsidP="004C7866">
      <w:pPr>
        <w:autoSpaceDE w:val="0"/>
        <w:autoSpaceDN w:val="0"/>
        <w:adjustRightInd w:val="0"/>
        <w:jc w:val="both"/>
        <w:rPr>
          <w:rFonts w:ascii="Arial" w:hAnsi="Arial" w:cs="Arial"/>
          <w:color w:val="000000"/>
          <w:sz w:val="22"/>
          <w:szCs w:val="22"/>
        </w:rPr>
      </w:pPr>
    </w:p>
    <w:p w:rsidR="004C7866" w:rsidRPr="003F5AE4" w:rsidRDefault="004C7866" w:rsidP="004C7866">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Following completion of the Transaction, the Company has 80,732,902 common shares outstanding.  I</w:t>
      </w:r>
      <w:r w:rsidRPr="003F5AE4">
        <w:rPr>
          <w:rFonts w:ascii="Arial" w:hAnsi="Arial" w:cs="Arial"/>
          <w:color w:val="000000"/>
          <w:sz w:val="22"/>
          <w:szCs w:val="22"/>
        </w:rPr>
        <w:t>n accordance with the policies of the Canadian Securities Exchange (the “</w:t>
      </w:r>
      <w:r w:rsidRPr="003F5AE4">
        <w:rPr>
          <w:rFonts w:ascii="Arial" w:hAnsi="Arial" w:cs="Arial"/>
          <w:b/>
          <w:color w:val="000000"/>
          <w:sz w:val="22"/>
          <w:szCs w:val="22"/>
        </w:rPr>
        <w:t>Exchange</w:t>
      </w:r>
      <w:r>
        <w:rPr>
          <w:rFonts w:ascii="Arial" w:hAnsi="Arial" w:cs="Arial"/>
          <w:color w:val="000000"/>
          <w:sz w:val="22"/>
          <w:szCs w:val="22"/>
        </w:rPr>
        <w:t>”), and pursuant to the terms of the Purchase Agreement, a total of 17,611,149 common shares are</w:t>
      </w:r>
      <w:r w:rsidRPr="003F5AE4">
        <w:rPr>
          <w:rFonts w:ascii="Arial" w:hAnsi="Arial" w:cs="Arial"/>
          <w:color w:val="000000"/>
          <w:sz w:val="22"/>
          <w:szCs w:val="22"/>
        </w:rPr>
        <w:t xml:space="preserve"> subject to an escrow arrangement</w:t>
      </w:r>
      <w:r>
        <w:rPr>
          <w:rFonts w:ascii="Arial" w:hAnsi="Arial" w:cs="Arial"/>
          <w:color w:val="000000"/>
          <w:sz w:val="22"/>
          <w:szCs w:val="22"/>
        </w:rPr>
        <w:t>, from which they will be released in tranches over a thirty-six month period.</w:t>
      </w:r>
      <w:r w:rsidRPr="003F5AE4">
        <w:rPr>
          <w:rFonts w:ascii="Arial" w:hAnsi="Arial" w:cs="Arial"/>
          <w:color w:val="000000"/>
          <w:sz w:val="22"/>
          <w:szCs w:val="22"/>
        </w:rPr>
        <w:t xml:space="preserve">  </w:t>
      </w:r>
      <w:r>
        <w:rPr>
          <w:rFonts w:ascii="Arial" w:hAnsi="Arial" w:cs="Arial"/>
          <w:color w:val="000000"/>
          <w:sz w:val="22"/>
          <w:szCs w:val="22"/>
        </w:rPr>
        <w:t xml:space="preserve">The Conversion Units, Finders’ Fee Shares, the Advisory Fee Shares and the Marketing Fee Units, are subject to a four-month-and-one-day statutory hold period in accordance with applicable securities laws. </w:t>
      </w:r>
    </w:p>
    <w:p w:rsidR="004C7866" w:rsidRPr="003F5AE4" w:rsidRDefault="004C7866" w:rsidP="004C7866">
      <w:pPr>
        <w:autoSpaceDE w:val="0"/>
        <w:autoSpaceDN w:val="0"/>
        <w:adjustRightInd w:val="0"/>
        <w:jc w:val="both"/>
        <w:rPr>
          <w:rFonts w:ascii="Arial" w:hAnsi="Arial" w:cs="Arial"/>
          <w:color w:val="000000"/>
          <w:sz w:val="22"/>
          <w:szCs w:val="22"/>
        </w:rPr>
      </w:pPr>
    </w:p>
    <w:p w:rsidR="004C7866" w:rsidRPr="003F5AE4" w:rsidRDefault="004C7866" w:rsidP="004C7866">
      <w:pPr>
        <w:keepNext/>
        <w:keepLines/>
        <w:spacing w:after="180"/>
        <w:jc w:val="both"/>
        <w:rPr>
          <w:rFonts w:ascii="Arial" w:hAnsi="Arial" w:cs="Arial"/>
          <w:sz w:val="22"/>
          <w:szCs w:val="22"/>
        </w:rPr>
      </w:pPr>
      <w:r>
        <w:rPr>
          <w:rFonts w:ascii="Arial" w:hAnsi="Arial" w:cs="Arial"/>
          <w:sz w:val="22"/>
          <w:szCs w:val="22"/>
        </w:rPr>
        <w:t>There have been no changes to the board of directors, or management, of the Company in connection with completion of the Transaction.  T</w:t>
      </w:r>
      <w:r w:rsidRPr="003F5AE4">
        <w:rPr>
          <w:rFonts w:ascii="Arial" w:hAnsi="Arial" w:cs="Arial"/>
          <w:sz w:val="22"/>
          <w:szCs w:val="22"/>
        </w:rPr>
        <w:t xml:space="preserve">rading </w:t>
      </w:r>
      <w:r>
        <w:rPr>
          <w:rFonts w:ascii="Arial" w:hAnsi="Arial" w:cs="Arial"/>
          <w:sz w:val="22"/>
          <w:szCs w:val="22"/>
        </w:rPr>
        <w:t xml:space="preserve">in the Company’s common shares </w:t>
      </w:r>
      <w:proofErr w:type="gramStart"/>
      <w:r>
        <w:rPr>
          <w:rFonts w:ascii="Arial" w:hAnsi="Arial" w:cs="Arial"/>
          <w:sz w:val="22"/>
          <w:szCs w:val="22"/>
        </w:rPr>
        <w:t>is currently</w:t>
      </w:r>
      <w:r w:rsidRPr="003F5AE4">
        <w:rPr>
          <w:rFonts w:ascii="Arial" w:hAnsi="Arial" w:cs="Arial"/>
          <w:sz w:val="22"/>
          <w:szCs w:val="22"/>
        </w:rPr>
        <w:t xml:space="preserve"> halted</w:t>
      </w:r>
      <w:proofErr w:type="gramEnd"/>
      <w:r>
        <w:rPr>
          <w:rFonts w:ascii="Arial" w:hAnsi="Arial" w:cs="Arial"/>
          <w:sz w:val="22"/>
          <w:szCs w:val="22"/>
        </w:rPr>
        <w:t>, pending completion of customary filings with the Exchange</w:t>
      </w:r>
      <w:r w:rsidRPr="003F5AE4">
        <w:rPr>
          <w:rFonts w:ascii="Arial" w:hAnsi="Arial" w:cs="Arial"/>
          <w:sz w:val="22"/>
          <w:szCs w:val="22"/>
        </w:rPr>
        <w:t xml:space="preserve">. </w:t>
      </w:r>
      <w:r>
        <w:rPr>
          <w:rFonts w:ascii="Arial" w:hAnsi="Arial" w:cs="Arial"/>
          <w:sz w:val="22"/>
          <w:szCs w:val="22"/>
        </w:rPr>
        <w:t xml:space="preserve"> It </w:t>
      </w:r>
      <w:proofErr w:type="gramStart"/>
      <w:r>
        <w:rPr>
          <w:rFonts w:ascii="Arial" w:hAnsi="Arial" w:cs="Arial"/>
          <w:sz w:val="22"/>
          <w:szCs w:val="22"/>
        </w:rPr>
        <w:t>is anticipated</w:t>
      </w:r>
      <w:proofErr w:type="gramEnd"/>
      <w:r>
        <w:rPr>
          <w:rFonts w:ascii="Arial" w:hAnsi="Arial" w:cs="Arial"/>
          <w:sz w:val="22"/>
          <w:szCs w:val="22"/>
        </w:rPr>
        <w:t xml:space="preserve"> that trading will resume at the open of markets, on December 4, 2019, under the new name “</w:t>
      </w:r>
      <w:proofErr w:type="spellStart"/>
      <w:r>
        <w:rPr>
          <w:rFonts w:ascii="Arial" w:hAnsi="Arial" w:cs="Arial"/>
          <w:sz w:val="22"/>
          <w:szCs w:val="22"/>
        </w:rPr>
        <w:t>Mota</w:t>
      </w:r>
      <w:proofErr w:type="spellEnd"/>
      <w:r>
        <w:rPr>
          <w:rFonts w:ascii="Arial" w:hAnsi="Arial" w:cs="Arial"/>
          <w:sz w:val="22"/>
          <w:szCs w:val="22"/>
        </w:rPr>
        <w:t xml:space="preserve"> Ventures Corp.” and ticker symbol “MOTA”.</w:t>
      </w:r>
    </w:p>
    <w:p w:rsidR="004C7866" w:rsidRDefault="004C7866" w:rsidP="004C7866">
      <w:pPr>
        <w:autoSpaceDE w:val="0"/>
        <w:autoSpaceDN w:val="0"/>
        <w:adjustRightInd w:val="0"/>
        <w:jc w:val="both"/>
        <w:rPr>
          <w:rFonts w:ascii="Arial" w:hAnsi="Arial" w:cs="Arial"/>
          <w:sz w:val="22"/>
          <w:szCs w:val="22"/>
        </w:rPr>
      </w:pPr>
      <w:r w:rsidRPr="003F5AE4">
        <w:rPr>
          <w:rFonts w:ascii="Arial" w:hAnsi="Arial" w:cs="Arial"/>
          <w:sz w:val="22"/>
          <w:szCs w:val="22"/>
        </w:rPr>
        <w:t>F</w:t>
      </w:r>
      <w:r>
        <w:rPr>
          <w:rFonts w:ascii="Arial" w:hAnsi="Arial" w:cs="Arial"/>
          <w:sz w:val="22"/>
          <w:szCs w:val="22"/>
        </w:rPr>
        <w:t>or f</w:t>
      </w:r>
      <w:r w:rsidRPr="003F5AE4">
        <w:rPr>
          <w:rFonts w:ascii="Arial" w:hAnsi="Arial" w:cs="Arial"/>
          <w:sz w:val="22"/>
          <w:szCs w:val="22"/>
        </w:rPr>
        <w:t>urther information concerning the Transaction</w:t>
      </w:r>
      <w:r>
        <w:rPr>
          <w:rFonts w:ascii="Arial" w:hAnsi="Arial" w:cs="Arial"/>
          <w:sz w:val="22"/>
          <w:szCs w:val="22"/>
        </w:rPr>
        <w:t xml:space="preserve">, including financial information for NNZ and </w:t>
      </w:r>
      <w:proofErr w:type="spellStart"/>
      <w:r>
        <w:rPr>
          <w:rFonts w:ascii="Arial" w:hAnsi="Arial" w:cs="Arial"/>
          <w:sz w:val="22"/>
          <w:szCs w:val="22"/>
        </w:rPr>
        <w:t>Ihuana</w:t>
      </w:r>
      <w:proofErr w:type="spellEnd"/>
      <w:r>
        <w:rPr>
          <w:rFonts w:ascii="Arial" w:hAnsi="Arial" w:cs="Arial"/>
          <w:sz w:val="22"/>
          <w:szCs w:val="22"/>
        </w:rPr>
        <w:t>,</w:t>
      </w:r>
      <w:r w:rsidRPr="003F5AE4">
        <w:rPr>
          <w:rFonts w:ascii="Arial" w:hAnsi="Arial" w:cs="Arial"/>
          <w:sz w:val="22"/>
          <w:szCs w:val="22"/>
        </w:rPr>
        <w:t xml:space="preserve"> </w:t>
      </w:r>
      <w:r>
        <w:rPr>
          <w:rFonts w:ascii="Arial" w:hAnsi="Arial" w:cs="Arial"/>
          <w:sz w:val="22"/>
          <w:szCs w:val="22"/>
        </w:rPr>
        <w:t xml:space="preserve">readers are encouraged to review </w:t>
      </w:r>
      <w:r w:rsidRPr="003F5AE4">
        <w:rPr>
          <w:rFonts w:ascii="Arial" w:hAnsi="Arial" w:cs="Arial"/>
          <w:sz w:val="22"/>
          <w:szCs w:val="22"/>
        </w:rPr>
        <w:t xml:space="preserve">the listing statement prepared by the Company </w:t>
      </w:r>
      <w:r>
        <w:rPr>
          <w:rFonts w:ascii="Arial" w:hAnsi="Arial" w:cs="Arial"/>
          <w:sz w:val="22"/>
          <w:szCs w:val="22"/>
        </w:rPr>
        <w:t>in connection with the Transaction.</w:t>
      </w:r>
      <w:r w:rsidRPr="003F5AE4">
        <w:rPr>
          <w:rFonts w:ascii="Arial" w:hAnsi="Arial" w:cs="Arial"/>
          <w:sz w:val="22"/>
          <w:szCs w:val="22"/>
        </w:rPr>
        <w:t xml:space="preserve"> </w:t>
      </w:r>
      <w:r>
        <w:rPr>
          <w:rFonts w:ascii="Arial" w:hAnsi="Arial" w:cs="Arial"/>
          <w:sz w:val="22"/>
          <w:szCs w:val="22"/>
        </w:rPr>
        <w:t xml:space="preserve"> A copy of the listing statement, and the Purchase Agreement, </w:t>
      </w:r>
      <w:r w:rsidRPr="00AB1E39">
        <w:rPr>
          <w:rFonts w:ascii="Arial" w:hAnsi="Arial" w:cs="Arial"/>
          <w:sz w:val="22"/>
          <w:szCs w:val="22"/>
        </w:rPr>
        <w:t>are available for review under the Company’s profile on SEDAR (</w:t>
      </w:r>
      <w:hyperlink r:id="rId7">
        <w:r w:rsidRPr="00AB1E39">
          <w:rPr>
            <w:rFonts w:ascii="Arial" w:hAnsi="Arial" w:cs="Arial"/>
            <w:sz w:val="22"/>
            <w:szCs w:val="22"/>
            <w:u w:val="single"/>
          </w:rPr>
          <w:t>www.sedar.com</w:t>
        </w:r>
      </w:hyperlink>
      <w:r w:rsidRPr="00AB1E39">
        <w:rPr>
          <w:rFonts w:ascii="Arial" w:hAnsi="Arial" w:cs="Arial"/>
          <w:sz w:val="22"/>
          <w:szCs w:val="22"/>
        </w:rPr>
        <w:t>).</w:t>
      </w:r>
    </w:p>
    <w:p w:rsidR="004C7866" w:rsidRDefault="004C7866" w:rsidP="004C7866">
      <w:pPr>
        <w:autoSpaceDE w:val="0"/>
        <w:autoSpaceDN w:val="0"/>
        <w:adjustRightInd w:val="0"/>
        <w:jc w:val="both"/>
        <w:rPr>
          <w:rFonts w:ascii="Arial" w:hAnsi="Arial" w:cs="Arial"/>
          <w:sz w:val="22"/>
          <w:szCs w:val="22"/>
        </w:rPr>
      </w:pPr>
    </w:p>
    <w:p w:rsidR="004C7866" w:rsidRPr="00AB1E39" w:rsidRDefault="004C7866" w:rsidP="004C7866">
      <w:pPr>
        <w:autoSpaceDE w:val="0"/>
        <w:autoSpaceDN w:val="0"/>
        <w:adjustRightInd w:val="0"/>
        <w:jc w:val="both"/>
        <w:rPr>
          <w:rFonts w:ascii="Arial" w:hAnsi="Arial" w:cs="Arial"/>
          <w:sz w:val="22"/>
          <w:szCs w:val="22"/>
        </w:rPr>
      </w:pPr>
      <w:r>
        <w:rPr>
          <w:rFonts w:ascii="Arial" w:hAnsi="Arial" w:cs="Arial"/>
          <w:sz w:val="22"/>
          <w:szCs w:val="22"/>
        </w:rPr>
        <w:t xml:space="preserve">The Company also announces that it has granted 4,670,000 incentive stock options to certain directors, officers, consultants and employees.  The options </w:t>
      </w:r>
      <w:proofErr w:type="gramStart"/>
      <w:r>
        <w:rPr>
          <w:rFonts w:ascii="Arial" w:hAnsi="Arial" w:cs="Arial"/>
          <w:sz w:val="22"/>
          <w:szCs w:val="22"/>
        </w:rPr>
        <w:t>have been granted</w:t>
      </w:r>
      <w:proofErr w:type="gramEnd"/>
      <w:r>
        <w:rPr>
          <w:rFonts w:ascii="Arial" w:hAnsi="Arial" w:cs="Arial"/>
          <w:sz w:val="22"/>
          <w:szCs w:val="22"/>
        </w:rPr>
        <w:t xml:space="preserve"> in accordance with the Company’s incentive stock option plan, and are exercisable at a price of $0.30 per option for a period of sixty-months.</w:t>
      </w:r>
    </w:p>
    <w:p w:rsidR="004C7866" w:rsidRPr="00AB1E39" w:rsidRDefault="004C7866" w:rsidP="004C7866">
      <w:pPr>
        <w:autoSpaceDE w:val="0"/>
        <w:autoSpaceDN w:val="0"/>
        <w:adjustRightInd w:val="0"/>
        <w:jc w:val="both"/>
        <w:rPr>
          <w:rFonts w:ascii="Arial" w:hAnsi="Arial" w:cs="Arial"/>
          <w:color w:val="000000"/>
          <w:sz w:val="22"/>
          <w:szCs w:val="22"/>
        </w:rPr>
      </w:pPr>
    </w:p>
    <w:p w:rsidR="004C7866" w:rsidRPr="00AB1E39" w:rsidRDefault="004C7866" w:rsidP="004C7866">
      <w:pPr>
        <w:pStyle w:val="Body"/>
        <w:jc w:val="both"/>
        <w:rPr>
          <w:rFonts w:ascii="Arial" w:eastAsia="Arial" w:hAnsi="Arial" w:cs="Arial"/>
          <w:b/>
          <w:u w:color="000000"/>
          <w:shd w:val="clear" w:color="auto" w:fill="FFFFFF"/>
        </w:rPr>
      </w:pPr>
      <w:r w:rsidRPr="00AB1E39">
        <w:rPr>
          <w:rFonts w:ascii="Arial" w:hAnsi="Arial" w:cs="Arial"/>
          <w:b/>
          <w:u w:color="000000"/>
          <w:shd w:val="clear" w:color="auto" w:fill="FFFFFF"/>
        </w:rPr>
        <w:t xml:space="preserve">About </w:t>
      </w:r>
      <w:proofErr w:type="spellStart"/>
      <w:r w:rsidRPr="00AB1E39">
        <w:rPr>
          <w:rFonts w:ascii="Arial" w:hAnsi="Arial" w:cs="Arial"/>
          <w:b/>
          <w:u w:color="000000"/>
          <w:shd w:val="clear" w:color="auto" w:fill="FFFFFF"/>
        </w:rPr>
        <w:t>Mota</w:t>
      </w:r>
      <w:proofErr w:type="spellEnd"/>
      <w:r w:rsidRPr="00AB1E39">
        <w:rPr>
          <w:rFonts w:ascii="Arial" w:hAnsi="Arial" w:cs="Arial"/>
          <w:b/>
          <w:u w:color="000000"/>
          <w:shd w:val="clear" w:color="auto" w:fill="FFFFFF"/>
        </w:rPr>
        <w:t xml:space="preserve"> Ventures Corp.</w:t>
      </w:r>
    </w:p>
    <w:p w:rsidR="004C7866" w:rsidRPr="00AB1E39" w:rsidRDefault="004C7866" w:rsidP="004C7866">
      <w:pPr>
        <w:pStyle w:val="Body"/>
        <w:rPr>
          <w:rFonts w:ascii="Arial" w:eastAsia="Arial" w:hAnsi="Arial" w:cs="Arial"/>
          <w:u w:color="000000"/>
          <w:shd w:val="clear" w:color="auto" w:fill="FFFFFF"/>
        </w:rPr>
      </w:pPr>
    </w:p>
    <w:p w:rsidR="004C7866" w:rsidRPr="00AB1E39" w:rsidRDefault="004C7866" w:rsidP="004C7866">
      <w:pPr>
        <w:autoSpaceDE w:val="0"/>
        <w:autoSpaceDN w:val="0"/>
        <w:adjustRightInd w:val="0"/>
        <w:jc w:val="both"/>
        <w:rPr>
          <w:rFonts w:ascii="Arial" w:hAnsi="Arial" w:cs="Arial"/>
          <w:color w:val="000000"/>
          <w:sz w:val="22"/>
          <w:szCs w:val="22"/>
        </w:rPr>
      </w:pPr>
      <w:bookmarkStart w:id="2" w:name="_Hlk24545877"/>
      <w:proofErr w:type="spellStart"/>
      <w:r w:rsidRPr="00AB1E39">
        <w:rPr>
          <w:rFonts w:ascii="Arial" w:hAnsi="Arial" w:cs="Arial"/>
          <w:sz w:val="22"/>
          <w:szCs w:val="22"/>
          <w:u w:color="000000"/>
          <w:shd w:val="clear" w:color="auto" w:fill="FFFFFF"/>
        </w:rPr>
        <w:t>Mota</w:t>
      </w:r>
      <w:proofErr w:type="spellEnd"/>
      <w:r w:rsidRPr="00AB1E39">
        <w:rPr>
          <w:rFonts w:ascii="Arial" w:hAnsi="Arial" w:cs="Arial"/>
          <w:sz w:val="22"/>
          <w:szCs w:val="22"/>
          <w:u w:color="000000"/>
          <w:shd w:val="clear" w:color="auto" w:fill="FFFFFF"/>
        </w:rPr>
        <w:t xml:space="preserve"> Ventures is seeking to become a large-scale vertically integrated low-cost producer and exporter of the highest quality CBD products worldwide. The </w:t>
      </w:r>
      <w:proofErr w:type="gramStart"/>
      <w:r w:rsidRPr="00AB1E39">
        <w:rPr>
          <w:rFonts w:ascii="Arial" w:hAnsi="Arial" w:cs="Arial"/>
          <w:sz w:val="22"/>
          <w:szCs w:val="22"/>
          <w:u w:color="000000"/>
          <w:shd w:val="clear" w:color="auto" w:fill="FFFFFF"/>
        </w:rPr>
        <w:t>2.5 hectare</w:t>
      </w:r>
      <w:proofErr w:type="gramEnd"/>
      <w:r w:rsidRPr="00AB1E39">
        <w:rPr>
          <w:rFonts w:ascii="Arial" w:hAnsi="Arial" w:cs="Arial"/>
          <w:sz w:val="22"/>
          <w:szCs w:val="22"/>
          <w:u w:color="000000"/>
          <w:shd w:val="clear" w:color="auto" w:fill="FFFFFF"/>
        </w:rPr>
        <w:t xml:space="preserve"> site located in Colombia has optimal year round growing conditions and access to all necessary infrastructure. The site is located approximately 2 hours outside of Bogota 20 minutes away from the free trade zone and 30 minutes away from the international airport.  Phase one will consist of a state of the art 60,000 square foot greenhouse with the capacity to produce more than 14,000,000 grams per year along with build out of the Company’s extraction facilities.  The Company will focus on CBD extraction to produce pure raw CBD, with the goal to make value added CBD products and create its own brand to </w:t>
      </w:r>
      <w:proofErr w:type="gramStart"/>
      <w:r w:rsidRPr="00AB1E39">
        <w:rPr>
          <w:rFonts w:ascii="Arial" w:hAnsi="Arial" w:cs="Arial"/>
          <w:sz w:val="22"/>
          <w:szCs w:val="22"/>
          <w:u w:color="000000"/>
          <w:shd w:val="clear" w:color="auto" w:fill="FFFFFF"/>
        </w:rPr>
        <w:t>be sold</w:t>
      </w:r>
      <w:proofErr w:type="gramEnd"/>
      <w:r w:rsidRPr="00AB1E39">
        <w:rPr>
          <w:rFonts w:ascii="Arial" w:hAnsi="Arial" w:cs="Arial"/>
          <w:sz w:val="22"/>
          <w:szCs w:val="22"/>
          <w:u w:color="000000"/>
          <w:shd w:val="clear" w:color="auto" w:fill="FFFFFF"/>
        </w:rPr>
        <w:t xml:space="preserve"> internationally.</w:t>
      </w:r>
      <w:bookmarkEnd w:id="2"/>
    </w:p>
    <w:p w:rsidR="004C7866" w:rsidRPr="00AB1E39" w:rsidRDefault="004C7866" w:rsidP="004C7866">
      <w:pPr>
        <w:shd w:val="clear" w:color="auto" w:fill="FFFFFF"/>
        <w:textAlignment w:val="top"/>
        <w:rPr>
          <w:rFonts w:ascii="Arial" w:hAnsi="Arial" w:cs="Arial"/>
          <w:b/>
          <w:bCs/>
          <w:color w:val="000000" w:themeColor="text1"/>
          <w:sz w:val="22"/>
          <w:szCs w:val="22"/>
          <w:lang w:eastAsia="en-CA"/>
        </w:rPr>
      </w:pPr>
    </w:p>
    <w:p w:rsidR="004C7866" w:rsidRPr="00AB1E39" w:rsidRDefault="004C7866" w:rsidP="004C7866">
      <w:pPr>
        <w:shd w:val="clear" w:color="auto" w:fill="FFFFFF"/>
        <w:textAlignment w:val="top"/>
        <w:rPr>
          <w:rFonts w:ascii="Arial" w:hAnsi="Arial" w:cs="Arial"/>
          <w:sz w:val="22"/>
          <w:szCs w:val="22"/>
          <w:lang w:eastAsia="en-CA"/>
        </w:rPr>
      </w:pPr>
      <w:r w:rsidRPr="00AB1E39">
        <w:rPr>
          <w:rFonts w:ascii="Arial" w:hAnsi="Arial" w:cs="Arial"/>
          <w:b/>
          <w:bCs/>
          <w:color w:val="000000" w:themeColor="text1"/>
          <w:sz w:val="22"/>
          <w:szCs w:val="22"/>
          <w:lang w:eastAsia="en-CA"/>
        </w:rPr>
        <w:t xml:space="preserve">ON BEHALF OF THE </w:t>
      </w:r>
      <w:r w:rsidRPr="00AB1E39">
        <w:rPr>
          <w:rFonts w:ascii="Arial" w:hAnsi="Arial" w:cs="Arial"/>
          <w:b/>
          <w:bCs/>
          <w:sz w:val="22"/>
          <w:szCs w:val="22"/>
          <w:lang w:eastAsia="en-CA"/>
        </w:rPr>
        <w:t>BOARD OF DIRECTORS</w:t>
      </w:r>
      <w:r w:rsidRPr="00AB1E39">
        <w:rPr>
          <w:rFonts w:ascii="Arial" w:hAnsi="Arial" w:cs="Arial"/>
          <w:sz w:val="22"/>
          <w:szCs w:val="22"/>
          <w:lang w:eastAsia="en-CA"/>
        </w:rPr>
        <w:br/>
      </w:r>
    </w:p>
    <w:p w:rsidR="004C7866" w:rsidRPr="00AB1E39" w:rsidRDefault="004C7866" w:rsidP="004C7866">
      <w:pPr>
        <w:shd w:val="clear" w:color="auto" w:fill="FFFFFF"/>
        <w:textAlignment w:val="top"/>
        <w:rPr>
          <w:rFonts w:ascii="Arial" w:hAnsi="Arial" w:cs="Arial"/>
          <w:sz w:val="22"/>
          <w:szCs w:val="22"/>
          <w:lang w:eastAsia="en-CA"/>
        </w:rPr>
      </w:pPr>
      <w:r w:rsidRPr="00AB1E39">
        <w:rPr>
          <w:rFonts w:ascii="Arial" w:hAnsi="Arial" w:cs="Arial"/>
          <w:b/>
          <w:sz w:val="22"/>
          <w:szCs w:val="22"/>
          <w:lang w:eastAsia="en-CA"/>
        </w:rPr>
        <w:t>MOTA VENTURES CORP</w:t>
      </w:r>
      <w:proofErr w:type="gramStart"/>
      <w:r w:rsidRPr="00AB1E39">
        <w:rPr>
          <w:rFonts w:ascii="Arial" w:hAnsi="Arial" w:cs="Arial"/>
          <w:b/>
          <w:sz w:val="22"/>
          <w:szCs w:val="22"/>
          <w:lang w:eastAsia="en-CA"/>
        </w:rPr>
        <w:t>.</w:t>
      </w:r>
      <w:proofErr w:type="gramEnd"/>
      <w:r w:rsidRPr="00AB1E39">
        <w:rPr>
          <w:rFonts w:ascii="Arial" w:hAnsi="Arial" w:cs="Arial"/>
          <w:sz w:val="22"/>
          <w:szCs w:val="22"/>
          <w:lang w:eastAsia="en-CA"/>
        </w:rPr>
        <w:br/>
        <w:t>Joel Shacker</w:t>
      </w:r>
    </w:p>
    <w:p w:rsidR="004C7866" w:rsidRPr="00AB1E39" w:rsidRDefault="004C7866" w:rsidP="004C7866">
      <w:pPr>
        <w:contextualSpacing/>
        <w:rPr>
          <w:rFonts w:ascii="Arial" w:hAnsi="Arial" w:cs="Arial"/>
          <w:sz w:val="22"/>
          <w:szCs w:val="22"/>
          <w:lang w:eastAsia="en-CA"/>
        </w:rPr>
      </w:pPr>
      <w:r w:rsidRPr="00AB1E39">
        <w:rPr>
          <w:rFonts w:ascii="Arial" w:hAnsi="Arial" w:cs="Arial"/>
          <w:color w:val="000000" w:themeColor="text1"/>
          <w:sz w:val="22"/>
          <w:szCs w:val="22"/>
        </w:rPr>
        <w:t>Chief Executive Officer</w:t>
      </w:r>
    </w:p>
    <w:p w:rsidR="004C7866" w:rsidRDefault="004C7866" w:rsidP="004C7866">
      <w:pPr>
        <w:contextualSpacing/>
        <w:jc w:val="both"/>
        <w:rPr>
          <w:rFonts w:ascii="Arial" w:hAnsi="Arial" w:cs="Arial"/>
          <w:sz w:val="22"/>
          <w:szCs w:val="22"/>
          <w:lang w:eastAsia="en-CA"/>
        </w:rPr>
      </w:pPr>
      <w:r w:rsidRPr="00AB1E39">
        <w:rPr>
          <w:rFonts w:ascii="Arial" w:hAnsi="Arial" w:cs="Arial"/>
          <w:sz w:val="22"/>
          <w:szCs w:val="22"/>
        </w:rPr>
        <w:br/>
      </w:r>
      <w:r w:rsidRPr="00AB1E39">
        <w:rPr>
          <w:rFonts w:ascii="Arial" w:hAnsi="Arial" w:cs="Arial"/>
          <w:sz w:val="22"/>
          <w:szCs w:val="22"/>
          <w:u w:color="000000"/>
          <w:shd w:val="clear" w:color="auto" w:fill="FFFFFF"/>
        </w:rPr>
        <w:t xml:space="preserve">For further information, readers are encouraged to contact Joel Shacker, Chief Executive Officer at +1.236.521.2177 or by email at </w:t>
      </w:r>
      <w:hyperlink r:id="rId8" w:history="1">
        <w:r w:rsidRPr="00AB1E39">
          <w:rPr>
            <w:rStyle w:val="Hyperlink0"/>
            <w:sz w:val="22"/>
            <w:szCs w:val="22"/>
            <w:shd w:val="clear" w:color="auto" w:fill="FFFFFF"/>
          </w:rPr>
          <w:t>IR@motaventuresco.com</w:t>
        </w:r>
      </w:hyperlink>
      <w:r w:rsidRPr="00AB1E39">
        <w:rPr>
          <w:rFonts w:ascii="Arial" w:hAnsi="Arial" w:cs="Arial"/>
          <w:sz w:val="22"/>
          <w:szCs w:val="22"/>
          <w:u w:color="000000"/>
          <w:shd w:val="clear" w:color="auto" w:fill="FFFFFF"/>
        </w:rPr>
        <w:t xml:space="preserve"> or </w:t>
      </w:r>
      <w:hyperlink r:id="rId9" w:history="1">
        <w:r w:rsidRPr="00AB1E39">
          <w:rPr>
            <w:rStyle w:val="Hyperlink0"/>
            <w:sz w:val="22"/>
            <w:szCs w:val="22"/>
            <w:shd w:val="clear" w:color="auto" w:fill="FFFFFF"/>
          </w:rPr>
          <w:t>www.motaventuresco.com</w:t>
        </w:r>
      </w:hyperlink>
    </w:p>
    <w:p w:rsidR="004C7866" w:rsidRPr="00AA2A0F" w:rsidRDefault="004C7866" w:rsidP="004C7866">
      <w:pPr>
        <w:contextualSpacing/>
        <w:jc w:val="both"/>
        <w:rPr>
          <w:rFonts w:ascii="Arial" w:hAnsi="Arial" w:cs="Arial"/>
          <w:sz w:val="22"/>
          <w:szCs w:val="22"/>
          <w:lang w:eastAsia="en-CA"/>
        </w:rPr>
      </w:pPr>
    </w:p>
    <w:p w:rsidR="004C7866" w:rsidRPr="003F5AE4" w:rsidRDefault="004C7866" w:rsidP="004C7866">
      <w:pPr>
        <w:spacing w:after="180"/>
        <w:jc w:val="both"/>
        <w:rPr>
          <w:rFonts w:ascii="Arial" w:hAnsi="Arial" w:cs="Arial"/>
          <w:sz w:val="18"/>
          <w:szCs w:val="18"/>
        </w:rPr>
      </w:pPr>
      <w:r w:rsidRPr="003F5AE4">
        <w:rPr>
          <w:rFonts w:ascii="Arial" w:hAnsi="Arial" w:cs="Arial"/>
          <w:i/>
          <w:sz w:val="18"/>
          <w:szCs w:val="18"/>
        </w:rPr>
        <w:t>The Canadian Securities Exchange has in no way passed upon the merits of the proposed Transaction and has neither approved nor disapproved the contents of this press release.</w:t>
      </w:r>
    </w:p>
    <w:p w:rsidR="004C7866" w:rsidRPr="007E06E0" w:rsidRDefault="004C7866" w:rsidP="004C7866">
      <w:pPr>
        <w:keepNext/>
        <w:keepLines/>
        <w:jc w:val="both"/>
        <w:rPr>
          <w:rFonts w:ascii="Arial" w:hAnsi="Arial" w:cs="Arial"/>
          <w:sz w:val="16"/>
          <w:szCs w:val="16"/>
        </w:rPr>
      </w:pPr>
      <w:r w:rsidRPr="005644DD">
        <w:rPr>
          <w:rFonts w:ascii="Arial" w:hAnsi="Arial" w:cs="Arial"/>
          <w:bCs/>
          <w:i/>
          <w:iCs/>
          <w:sz w:val="18"/>
          <w:szCs w:val="18"/>
        </w:rPr>
        <w:lastRenderedPageBreak/>
        <w:t>This news release may contain certain “Forward-Looking Statements” within the meaning of the United States Private Securities Litigation Reform Act of 1995 and applicable Canadian securities laws.</w:t>
      </w:r>
      <w:r>
        <w:rPr>
          <w:rFonts w:ascii="Arial" w:hAnsi="Arial" w:cs="Arial"/>
          <w:bCs/>
          <w:i/>
          <w:iCs/>
          <w:sz w:val="18"/>
          <w:szCs w:val="18"/>
        </w:rPr>
        <w:t xml:space="preserve"> </w:t>
      </w:r>
      <w:r w:rsidRPr="005644DD">
        <w:rPr>
          <w:rFonts w:ascii="Arial" w:hAnsi="Arial" w:cs="Arial"/>
          <w:bCs/>
          <w:i/>
          <w:iCs/>
          <w:sz w:val="18"/>
          <w:szCs w:val="18"/>
        </w:rPr>
        <w:t xml:space="preserve"> When or if used in this news release, the words “anticipate”, “believe”, “estimate”, “expect”, “target, “plan”, “forecast”, “may”, “schedule” and similar words or expressions identify forward-looking statements or information.</w:t>
      </w:r>
      <w:r>
        <w:rPr>
          <w:rFonts w:ascii="Arial" w:hAnsi="Arial" w:cs="Arial"/>
          <w:bCs/>
          <w:i/>
          <w:iCs/>
          <w:sz w:val="18"/>
          <w:szCs w:val="18"/>
        </w:rPr>
        <w:t xml:space="preserve">  </w:t>
      </w:r>
      <w:r w:rsidRPr="005644DD">
        <w:rPr>
          <w:rFonts w:ascii="Arial" w:hAnsi="Arial" w:cs="Arial"/>
          <w:bCs/>
          <w:i/>
          <w:iCs/>
          <w:sz w:val="18"/>
          <w:szCs w:val="18"/>
        </w:rPr>
        <w:t xml:space="preserve">These forward-looking statements or information may relate to the Transaction, the anticipated business activities of NNZ and </w:t>
      </w:r>
      <w:proofErr w:type="spellStart"/>
      <w:r w:rsidRPr="005644DD">
        <w:rPr>
          <w:rFonts w:ascii="Arial" w:hAnsi="Arial" w:cs="Arial"/>
          <w:bCs/>
          <w:i/>
          <w:iCs/>
          <w:sz w:val="18"/>
          <w:szCs w:val="18"/>
        </w:rPr>
        <w:t>Ihuana</w:t>
      </w:r>
      <w:proofErr w:type="spellEnd"/>
      <w:r>
        <w:rPr>
          <w:rFonts w:ascii="Arial" w:hAnsi="Arial" w:cs="Arial"/>
          <w:bCs/>
          <w:i/>
          <w:iCs/>
          <w:sz w:val="18"/>
          <w:szCs w:val="18"/>
        </w:rPr>
        <w:t xml:space="preserve"> and</w:t>
      </w:r>
      <w:r w:rsidRPr="005644DD">
        <w:rPr>
          <w:rFonts w:ascii="Arial" w:hAnsi="Arial" w:cs="Arial"/>
          <w:bCs/>
          <w:i/>
          <w:iCs/>
          <w:sz w:val="18"/>
          <w:szCs w:val="18"/>
        </w:rPr>
        <w:t xml:space="preserve"> the reliability of third party information and other factors or information.</w:t>
      </w:r>
      <w:r>
        <w:rPr>
          <w:rFonts w:ascii="Arial" w:hAnsi="Arial" w:cs="Arial"/>
          <w:bCs/>
          <w:i/>
          <w:iCs/>
          <w:sz w:val="18"/>
          <w:szCs w:val="18"/>
        </w:rPr>
        <w:t xml:space="preserve">  </w:t>
      </w:r>
      <w:r w:rsidRPr="005644DD">
        <w:rPr>
          <w:rFonts w:ascii="Arial" w:hAnsi="Arial" w:cs="Arial"/>
          <w:bCs/>
          <w:i/>
          <w:iCs/>
          <w:sz w:val="18"/>
          <w:szCs w:val="18"/>
        </w:rPr>
        <w:t xml:space="preserve">Such statements represent the Company’s current views with respect to future events and </w:t>
      </w:r>
      <w:proofErr w:type="gramStart"/>
      <w:r w:rsidRPr="005644DD">
        <w:rPr>
          <w:rFonts w:ascii="Arial" w:hAnsi="Arial" w:cs="Arial"/>
          <w:bCs/>
          <w:i/>
          <w:iCs/>
          <w:sz w:val="18"/>
          <w:szCs w:val="18"/>
        </w:rPr>
        <w:t>are necessarily based</w:t>
      </w:r>
      <w:proofErr w:type="gramEnd"/>
      <w:r w:rsidRPr="005644DD">
        <w:rPr>
          <w:rFonts w:ascii="Arial" w:hAnsi="Arial" w:cs="Arial"/>
          <w:bCs/>
          <w:i/>
          <w:iCs/>
          <w:sz w:val="18"/>
          <w:szCs w:val="18"/>
        </w:rPr>
        <w:t xml:space="preserve"> upon a number of assumptions and estimates that, while considered reasonable by the Company, are inherently subject to significant business, economic, competitive, political and social risks, contingencies and uncertainties.</w:t>
      </w:r>
      <w:r>
        <w:rPr>
          <w:rFonts w:ascii="Arial" w:hAnsi="Arial" w:cs="Arial"/>
          <w:bCs/>
          <w:i/>
          <w:iCs/>
          <w:sz w:val="18"/>
          <w:szCs w:val="18"/>
        </w:rPr>
        <w:t xml:space="preserve">  </w:t>
      </w:r>
      <w:r w:rsidRPr="005644DD">
        <w:rPr>
          <w:rFonts w:ascii="Arial" w:hAnsi="Arial" w:cs="Arial"/>
          <w:bCs/>
          <w:i/>
          <w:iCs/>
          <w:sz w:val="18"/>
          <w:szCs w:val="18"/>
        </w:rPr>
        <w:t xml:space="preserve">For the purposes of such statements, the Company has assumed the regulatory regime in place in Colombia will continue to permit </w:t>
      </w:r>
      <w:proofErr w:type="spellStart"/>
      <w:r w:rsidRPr="005644DD">
        <w:rPr>
          <w:rFonts w:ascii="Arial" w:hAnsi="Arial" w:cs="Arial"/>
          <w:bCs/>
          <w:i/>
          <w:iCs/>
          <w:sz w:val="18"/>
          <w:szCs w:val="18"/>
        </w:rPr>
        <w:t>Ihuana</w:t>
      </w:r>
      <w:proofErr w:type="spellEnd"/>
      <w:r w:rsidRPr="005644DD">
        <w:rPr>
          <w:rFonts w:ascii="Arial" w:hAnsi="Arial" w:cs="Arial"/>
          <w:bCs/>
          <w:i/>
          <w:iCs/>
          <w:sz w:val="18"/>
          <w:szCs w:val="18"/>
        </w:rPr>
        <w:t xml:space="preserve"> to cultivate </w:t>
      </w:r>
      <w:r>
        <w:rPr>
          <w:rFonts w:ascii="Arial" w:hAnsi="Arial" w:cs="Arial"/>
          <w:bCs/>
          <w:i/>
          <w:iCs/>
          <w:sz w:val="18"/>
          <w:szCs w:val="18"/>
        </w:rPr>
        <w:t xml:space="preserve">non-psychoactive cannabis </w:t>
      </w:r>
      <w:r w:rsidRPr="005644DD">
        <w:rPr>
          <w:rFonts w:ascii="Arial" w:hAnsi="Arial" w:cs="Arial"/>
          <w:bCs/>
          <w:i/>
          <w:iCs/>
          <w:sz w:val="18"/>
          <w:szCs w:val="18"/>
        </w:rPr>
        <w:t xml:space="preserve">and </w:t>
      </w:r>
      <w:r>
        <w:rPr>
          <w:rFonts w:ascii="Arial" w:hAnsi="Arial" w:cs="Arial"/>
          <w:bCs/>
          <w:i/>
          <w:iCs/>
          <w:sz w:val="18"/>
          <w:szCs w:val="18"/>
        </w:rPr>
        <w:t xml:space="preserve">produce </w:t>
      </w:r>
      <w:r w:rsidRPr="005644DD">
        <w:rPr>
          <w:rFonts w:ascii="Arial" w:hAnsi="Arial" w:cs="Arial"/>
          <w:bCs/>
          <w:i/>
          <w:iCs/>
          <w:sz w:val="18"/>
          <w:szCs w:val="18"/>
        </w:rPr>
        <w:t>CBD.</w:t>
      </w:r>
      <w:r>
        <w:rPr>
          <w:rFonts w:ascii="Arial" w:hAnsi="Arial" w:cs="Arial"/>
          <w:bCs/>
          <w:i/>
          <w:iCs/>
          <w:sz w:val="18"/>
          <w:szCs w:val="18"/>
        </w:rPr>
        <w:t xml:space="preserve">  </w:t>
      </w:r>
      <w:r w:rsidRPr="005644DD">
        <w:rPr>
          <w:rFonts w:ascii="Arial" w:hAnsi="Arial" w:cs="Arial"/>
          <w:bCs/>
          <w:i/>
          <w:iCs/>
          <w:sz w:val="18"/>
          <w:szCs w:val="18"/>
        </w:rPr>
        <w:t xml:space="preserve">Many factors, both known and </w:t>
      </w:r>
      <w:proofErr w:type="gramStart"/>
      <w:r w:rsidRPr="005644DD">
        <w:rPr>
          <w:rFonts w:ascii="Arial" w:hAnsi="Arial" w:cs="Arial"/>
          <w:bCs/>
          <w:i/>
          <w:iCs/>
          <w:sz w:val="18"/>
          <w:szCs w:val="18"/>
        </w:rPr>
        <w:t>unknown,</w:t>
      </w:r>
      <w:proofErr w:type="gramEnd"/>
      <w:r w:rsidRPr="005644DD">
        <w:rPr>
          <w:rFonts w:ascii="Arial" w:hAnsi="Arial" w:cs="Arial"/>
          <w:bCs/>
          <w:i/>
          <w:iCs/>
          <w:sz w:val="18"/>
          <w:szCs w:val="18"/>
        </w:rPr>
        <w:t xml:space="preserve"> could cause results, performance or achievements to be materially different from the results, performance or achievements that are or may be expressed or implied by such forward-looking statements. Such factors include changes to the regulatory regime in Colombian with respect to the cultivation </w:t>
      </w:r>
      <w:r>
        <w:rPr>
          <w:rFonts w:ascii="Arial" w:hAnsi="Arial" w:cs="Arial"/>
          <w:bCs/>
          <w:i/>
          <w:iCs/>
          <w:sz w:val="18"/>
          <w:szCs w:val="18"/>
        </w:rPr>
        <w:t xml:space="preserve">of non-psychoactive cannabis </w:t>
      </w:r>
      <w:r w:rsidRPr="005644DD">
        <w:rPr>
          <w:rFonts w:ascii="Arial" w:hAnsi="Arial" w:cs="Arial"/>
          <w:bCs/>
          <w:i/>
          <w:iCs/>
          <w:sz w:val="18"/>
          <w:szCs w:val="18"/>
        </w:rPr>
        <w:t xml:space="preserve">and </w:t>
      </w:r>
      <w:r>
        <w:rPr>
          <w:rFonts w:ascii="Arial" w:hAnsi="Arial" w:cs="Arial"/>
          <w:bCs/>
          <w:i/>
          <w:iCs/>
          <w:sz w:val="18"/>
          <w:szCs w:val="18"/>
        </w:rPr>
        <w:t xml:space="preserve">production </w:t>
      </w:r>
      <w:r w:rsidRPr="005644DD">
        <w:rPr>
          <w:rFonts w:ascii="Arial" w:hAnsi="Arial" w:cs="Arial"/>
          <w:bCs/>
          <w:i/>
          <w:iCs/>
          <w:sz w:val="18"/>
          <w:szCs w:val="18"/>
        </w:rPr>
        <w:t>of CBD.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r w:rsidRPr="007E06E0">
        <w:rPr>
          <w:rFonts w:ascii="Arial" w:hAnsi="Arial" w:cs="Arial"/>
          <w:sz w:val="16"/>
          <w:szCs w:val="16"/>
        </w:rPr>
        <w:t xml:space="preserve"> </w:t>
      </w:r>
    </w:p>
    <w:p w:rsidR="004C7866" w:rsidRPr="004C7866" w:rsidRDefault="004C7866" w:rsidP="004C7866">
      <w:pPr>
        <w:pStyle w:val="Body2"/>
        <w:rPr>
          <w:rFonts w:hint="eastAsia"/>
        </w:rPr>
      </w:pPr>
    </w:p>
    <w:sectPr w:rsidR="004C7866" w:rsidRPr="004C786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32" w:rsidRDefault="006B4132">
      <w:r>
        <w:separator/>
      </w:r>
    </w:p>
  </w:endnote>
  <w:endnote w:type="continuationSeparator" w:id="0">
    <w:p w:rsidR="006B4132" w:rsidRDefault="006B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Old Face"/>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askerville SemiBold">
    <w:altName w:val="Baskerville Old Fac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CB" w:rsidRDefault="007E7C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32" w:rsidRDefault="006B4132">
      <w:r>
        <w:separator/>
      </w:r>
    </w:p>
  </w:footnote>
  <w:footnote w:type="continuationSeparator" w:id="0">
    <w:p w:rsidR="006B4132" w:rsidRDefault="006B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CB" w:rsidRDefault="007E7C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CB"/>
    <w:rsid w:val="004C7866"/>
    <w:rsid w:val="00522415"/>
    <w:rsid w:val="00690EE3"/>
    <w:rsid w:val="006B4132"/>
    <w:rsid w:val="007C7187"/>
    <w:rsid w:val="007E7CCB"/>
    <w:rsid w:val="00FD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F0F7"/>
  <w15:docId w15:val="{925595CC-569B-40A3-BE14-6EBB877E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2"/>
    <w:pPr>
      <w:spacing w:line="312" w:lineRule="auto"/>
      <w:outlineLvl w:val="0"/>
    </w:pPr>
    <w:rPr>
      <w:rFonts w:ascii="Baskerville" w:hAnsi="Baskerville" w:cs="Arial Unicode MS"/>
      <w:color w:val="000000"/>
      <w:sz w:val="26"/>
      <w:szCs w:val="26"/>
    </w:rPr>
  </w:style>
  <w:style w:type="paragraph" w:customStyle="1" w:styleId="Body2">
    <w:name w:val="Body 2"/>
    <w:pPr>
      <w:spacing w:after="80" w:line="288" w:lineRule="auto"/>
    </w:pPr>
    <w:rPr>
      <w:rFonts w:ascii="Baskerville" w:hAnsi="Baskerville" w:cs="Arial Unicode MS"/>
      <w:color w:val="434343"/>
      <w:sz w:val="24"/>
      <w:szCs w:val="24"/>
    </w:rPr>
  </w:style>
  <w:style w:type="paragraph" w:styleId="NormalWeb">
    <w:name w:val="Normal (Web)"/>
    <w:basedOn w:val="Normal"/>
    <w:uiPriority w:val="99"/>
    <w:unhideWhenUsed/>
    <w:rsid w:val="00690E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apple-converted-space">
    <w:name w:val="apple-converted-space"/>
    <w:basedOn w:val="DefaultParagraphFont"/>
    <w:rsid w:val="00690EE3"/>
  </w:style>
  <w:style w:type="paragraph" w:customStyle="1" w:styleId="Body">
    <w:name w:val="Body"/>
    <w:rsid w:val="00690EE3"/>
    <w:rPr>
      <w:rFonts w:ascii="Helvetica Neue" w:hAnsi="Helvetica Neue" w:cs="Arial Unicode MS"/>
      <w:color w:val="000000"/>
      <w:sz w:val="22"/>
      <w:szCs w:val="22"/>
      <w:lang w:eastAsia="en-CA"/>
    </w:rPr>
  </w:style>
  <w:style w:type="character" w:customStyle="1" w:styleId="Hyperlink0">
    <w:name w:val="Hyperlink.0"/>
    <w:basedOn w:val="DefaultParagraphFont"/>
    <w:rsid w:val="00690EE3"/>
    <w:rPr>
      <w:rFonts w:ascii="Arial" w:eastAsia="Arial" w:hAnsi="Arial" w:cs="Arial"/>
      <w:color w:val="0563C1"/>
      <w:u w:val="single" w:color="0563C1"/>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motaventuresc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taventuresco.com" TargetMode="Externa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Tally Barmash</cp:lastModifiedBy>
  <cp:revision>4</cp:revision>
  <dcterms:created xsi:type="dcterms:W3CDTF">2019-11-29T17:41:00Z</dcterms:created>
  <dcterms:modified xsi:type="dcterms:W3CDTF">2019-12-02T20:10:00Z</dcterms:modified>
</cp:coreProperties>
</file>