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EF5E" w14:textId="77777777" w:rsidR="00A95A22" w:rsidRPr="00D72319" w:rsidRDefault="00A95A22" w:rsidP="00A95A22">
      <w:pPr>
        <w:pStyle w:val="Title"/>
        <w:spacing w:before="0" w:after="0"/>
        <w:rPr>
          <w:color w:val="000000"/>
          <w:sz w:val="20"/>
          <w:u w:val="single"/>
        </w:rPr>
      </w:pPr>
      <w:bookmarkStart w:id="0" w:name="_Toc370788688"/>
      <w:bookmarkStart w:id="1" w:name="_Toc398005544"/>
      <w:bookmarkStart w:id="2" w:name="_Toc412279961"/>
      <w:bookmarkStart w:id="3" w:name="_Toc419096464"/>
      <w:r w:rsidRPr="00D72319">
        <w:rPr>
          <w:color w:val="000000"/>
          <w:sz w:val="20"/>
        </w:rPr>
        <w:t>FORM 7</w:t>
      </w:r>
      <w:r w:rsidRPr="00D72319">
        <w:rPr>
          <w:color w:val="000000"/>
          <w:sz w:val="20"/>
        </w:rPr>
        <w:br/>
      </w:r>
      <w:r w:rsidRPr="00D72319">
        <w:rPr>
          <w:color w:val="000000"/>
          <w:sz w:val="20"/>
        </w:rPr>
        <w:br/>
      </w:r>
      <w:r w:rsidRPr="00D72319">
        <w:rPr>
          <w:color w:val="000000"/>
          <w:sz w:val="20"/>
          <w:u w:val="single"/>
        </w:rPr>
        <w:t>MONTHLY PROGRESS REPORT</w:t>
      </w:r>
      <w:bookmarkEnd w:id="0"/>
      <w:bookmarkEnd w:id="1"/>
      <w:bookmarkEnd w:id="2"/>
      <w:bookmarkEnd w:id="3"/>
    </w:p>
    <w:p w14:paraId="7097A6F6" w14:textId="2B37BE8E" w:rsidR="00A95A22" w:rsidRPr="00D72319" w:rsidRDefault="00A95A22" w:rsidP="00A95A22">
      <w:pPr>
        <w:pStyle w:val="BodyText"/>
        <w:tabs>
          <w:tab w:val="left" w:pos="0"/>
        </w:tabs>
        <w:rPr>
          <w:color w:val="000000"/>
          <w:sz w:val="20"/>
        </w:rPr>
      </w:pPr>
      <w:r w:rsidRPr="00D72319">
        <w:rPr>
          <w:color w:val="000000"/>
          <w:sz w:val="20"/>
        </w:rPr>
        <w:t xml:space="preserve">Name of Listed Issuer: </w:t>
      </w:r>
      <w:r w:rsidRPr="00D72319">
        <w:rPr>
          <w:color w:val="000000"/>
          <w:sz w:val="20"/>
          <w:u w:val="single"/>
        </w:rPr>
        <w:tab/>
        <w:t>SLANG Worldwide Inc.</w:t>
      </w:r>
      <w:r w:rsidRPr="00D72319">
        <w:rPr>
          <w:color w:val="000000"/>
          <w:sz w:val="20"/>
          <w:u w:val="single"/>
        </w:rPr>
        <w:tab/>
        <w:t xml:space="preserve">   </w:t>
      </w:r>
      <w:r w:rsidRPr="00D72319">
        <w:rPr>
          <w:color w:val="000000"/>
          <w:sz w:val="20"/>
          <w:u w:val="single"/>
        </w:rPr>
        <w:tab/>
      </w:r>
      <w:r w:rsidRPr="00D72319">
        <w:rPr>
          <w:color w:val="000000"/>
          <w:sz w:val="20"/>
          <w:u w:val="single"/>
        </w:rPr>
        <w:tab/>
      </w:r>
      <w:r w:rsidRPr="00D72319">
        <w:rPr>
          <w:color w:val="000000"/>
          <w:sz w:val="20"/>
        </w:rPr>
        <w:t xml:space="preserve">(the </w:t>
      </w:r>
      <w:r w:rsidR="001314FA">
        <w:rPr>
          <w:color w:val="000000"/>
          <w:sz w:val="20"/>
        </w:rPr>
        <w:t>“</w:t>
      </w:r>
      <w:r w:rsidRPr="00507D99">
        <w:rPr>
          <w:b/>
          <w:color w:val="000000"/>
          <w:sz w:val="20"/>
        </w:rPr>
        <w:t>Issuer</w:t>
      </w:r>
      <w:r w:rsidR="001314FA">
        <w:rPr>
          <w:color w:val="000000"/>
          <w:sz w:val="20"/>
        </w:rPr>
        <w:t>”</w:t>
      </w:r>
      <w:r w:rsidRPr="00D72319">
        <w:rPr>
          <w:color w:val="000000"/>
          <w:sz w:val="20"/>
        </w:rPr>
        <w:t>).</w:t>
      </w:r>
    </w:p>
    <w:p w14:paraId="04ED25F4" w14:textId="77777777" w:rsidR="00A95A22" w:rsidRPr="00D72319" w:rsidRDefault="00A95A22" w:rsidP="00A95A22">
      <w:pPr>
        <w:pStyle w:val="BodyText"/>
        <w:tabs>
          <w:tab w:val="left" w:pos="7920"/>
          <w:tab w:val="left" w:pos="9180"/>
        </w:tabs>
        <w:rPr>
          <w:color w:val="000000"/>
          <w:sz w:val="20"/>
        </w:rPr>
      </w:pPr>
      <w:r w:rsidRPr="00D72319">
        <w:rPr>
          <w:color w:val="000000"/>
          <w:sz w:val="20"/>
        </w:rPr>
        <w:t xml:space="preserve">Trading Symbol: </w:t>
      </w:r>
      <w:r w:rsidRPr="00D72319">
        <w:rPr>
          <w:color w:val="000000"/>
          <w:sz w:val="20"/>
          <w:u w:val="single"/>
        </w:rPr>
        <w:t>SLNG</w:t>
      </w:r>
      <w:r w:rsidRPr="00D72319">
        <w:rPr>
          <w:color w:val="000000"/>
          <w:sz w:val="20"/>
          <w:u w:val="single"/>
        </w:rPr>
        <w:tab/>
      </w:r>
    </w:p>
    <w:p w14:paraId="18D5BB6A" w14:textId="319EC683" w:rsidR="00A95A22" w:rsidRPr="00D72319" w:rsidRDefault="00A95A22" w:rsidP="00A95A22">
      <w:pPr>
        <w:pStyle w:val="BodyText"/>
        <w:tabs>
          <w:tab w:val="left" w:pos="7920"/>
          <w:tab w:val="left" w:pos="9180"/>
        </w:tabs>
        <w:rPr>
          <w:color w:val="000000"/>
          <w:sz w:val="20"/>
        </w:rPr>
      </w:pPr>
      <w:r w:rsidRPr="00D72319">
        <w:rPr>
          <w:color w:val="000000"/>
          <w:sz w:val="20"/>
        </w:rPr>
        <w:t xml:space="preserve">Number of Outstanding Listed Securities: </w:t>
      </w:r>
      <w:r w:rsidRPr="00D72319">
        <w:rPr>
          <w:color w:val="000000"/>
          <w:sz w:val="20"/>
          <w:u w:val="single"/>
        </w:rPr>
        <w:t>2</w:t>
      </w:r>
      <w:r>
        <w:rPr>
          <w:color w:val="000000"/>
          <w:sz w:val="20"/>
          <w:u w:val="single"/>
        </w:rPr>
        <w:t>11,693,602</w:t>
      </w:r>
      <w:r w:rsidRPr="00D72319">
        <w:rPr>
          <w:color w:val="000000"/>
          <w:sz w:val="20"/>
          <w:u w:val="single"/>
        </w:rPr>
        <w:tab/>
      </w:r>
      <w:r w:rsidRPr="00D72319">
        <w:rPr>
          <w:color w:val="000000"/>
          <w:sz w:val="20"/>
          <w:u w:val="single"/>
        </w:rPr>
        <w:tab/>
      </w:r>
    </w:p>
    <w:p w14:paraId="5A8386B5" w14:textId="2084B77E" w:rsidR="00A95A22" w:rsidRPr="00D72319" w:rsidRDefault="00A95A22" w:rsidP="00A95A22">
      <w:pPr>
        <w:pStyle w:val="BodyText"/>
        <w:tabs>
          <w:tab w:val="left" w:pos="7920"/>
          <w:tab w:val="left" w:pos="9180"/>
        </w:tabs>
        <w:rPr>
          <w:color w:val="000000"/>
          <w:sz w:val="20"/>
        </w:rPr>
      </w:pPr>
      <w:r w:rsidRPr="00D72319">
        <w:rPr>
          <w:color w:val="000000"/>
          <w:sz w:val="20"/>
        </w:rPr>
        <w:t xml:space="preserve">Date:  </w:t>
      </w:r>
      <w:r>
        <w:rPr>
          <w:color w:val="000000"/>
          <w:sz w:val="20"/>
          <w:u w:val="single"/>
        </w:rPr>
        <w:t xml:space="preserve">April </w:t>
      </w:r>
      <w:r w:rsidR="00136CF7">
        <w:rPr>
          <w:color w:val="000000"/>
          <w:sz w:val="20"/>
          <w:u w:val="single"/>
        </w:rPr>
        <w:t>5</w:t>
      </w:r>
      <w:r w:rsidRPr="00D72319">
        <w:rPr>
          <w:color w:val="000000"/>
          <w:sz w:val="20"/>
          <w:u w:val="single"/>
        </w:rPr>
        <w:t>, 2019</w:t>
      </w:r>
      <w:r w:rsidRPr="00D72319">
        <w:rPr>
          <w:color w:val="000000"/>
          <w:sz w:val="20"/>
          <w:u w:val="single"/>
        </w:rPr>
        <w:tab/>
      </w:r>
      <w:r w:rsidRPr="00D72319">
        <w:rPr>
          <w:color w:val="000000"/>
          <w:sz w:val="20"/>
          <w:u w:val="single"/>
        </w:rPr>
        <w:tab/>
      </w:r>
    </w:p>
    <w:p w14:paraId="02D3A640" w14:textId="22C26422" w:rsidR="00A95A22" w:rsidRPr="00D72319" w:rsidRDefault="00A95A22" w:rsidP="00A95A22">
      <w:pPr>
        <w:pStyle w:val="BodyText"/>
        <w:tabs>
          <w:tab w:val="left" w:pos="7920"/>
          <w:tab w:val="left" w:pos="9180"/>
        </w:tabs>
        <w:rPr>
          <w:color w:val="000000"/>
          <w:sz w:val="20"/>
        </w:rPr>
      </w:pPr>
      <w:r w:rsidRPr="00D72319">
        <w:rPr>
          <w:color w:val="000000"/>
          <w:sz w:val="20"/>
        </w:rPr>
        <w:t xml:space="preserve">This Monthly Progress Report must be posted before the opening of trading on the fifth trading day </w:t>
      </w:r>
      <w:bookmarkStart w:id="4" w:name="_GoBack"/>
      <w:bookmarkEnd w:id="4"/>
      <w:r w:rsidRPr="00D72319">
        <w:rPr>
          <w:color w:val="000000"/>
          <w:sz w:val="20"/>
        </w:rPr>
        <w:t>of each month.  This report is not intended to replace the Issuer</w:t>
      </w:r>
      <w:r w:rsidR="001314FA">
        <w:rPr>
          <w:color w:val="000000"/>
          <w:sz w:val="20"/>
        </w:rPr>
        <w:t>’</w:t>
      </w:r>
      <w:r w:rsidRPr="00D72319">
        <w:rPr>
          <w:color w:val="000000"/>
          <w:sz w:val="20"/>
        </w:rPr>
        <w:t>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C9D8639" w14:textId="00452DAA" w:rsidR="00A95A22" w:rsidRPr="00D72319" w:rsidRDefault="00A95A22" w:rsidP="00A95A22">
      <w:pPr>
        <w:pStyle w:val="BodyText"/>
        <w:tabs>
          <w:tab w:val="left" w:pos="7920"/>
          <w:tab w:val="left" w:pos="9180"/>
        </w:tabs>
        <w:rPr>
          <w:color w:val="000000"/>
          <w:sz w:val="20"/>
        </w:rPr>
      </w:pPr>
      <w:r w:rsidRPr="00D72319">
        <w:rPr>
          <w:color w:val="000000"/>
          <w:sz w:val="20"/>
        </w:rPr>
        <w:t>This report is intended to keep investors and the market informed of the Issuer</w:t>
      </w:r>
      <w:r w:rsidR="001314FA">
        <w:rPr>
          <w:color w:val="000000"/>
          <w:sz w:val="20"/>
        </w:rPr>
        <w:t>’</w:t>
      </w:r>
      <w:r w:rsidRPr="00D72319">
        <w:rPr>
          <w:color w:val="000000"/>
          <w:sz w:val="20"/>
        </w:rPr>
        <w:t xml:space="preserve">s ongoing business and management activities that occurred during the preceding month.  Do not discuss goals or future plans unless they have crystallized to the point that they are </w:t>
      </w:r>
      <w:r w:rsidR="001314FA">
        <w:rPr>
          <w:color w:val="000000"/>
          <w:sz w:val="20"/>
        </w:rPr>
        <w:t>“</w:t>
      </w:r>
      <w:r w:rsidRPr="00D72319">
        <w:rPr>
          <w:color w:val="000000"/>
          <w:sz w:val="20"/>
        </w:rPr>
        <w:t>material information</w:t>
      </w:r>
      <w:r w:rsidR="001314FA">
        <w:rPr>
          <w:color w:val="000000"/>
          <w:sz w:val="20"/>
        </w:rPr>
        <w:t>”</w:t>
      </w:r>
      <w:r w:rsidRPr="00D72319">
        <w:rPr>
          <w:color w:val="000000"/>
          <w:sz w:val="20"/>
        </w:rPr>
        <w:t xml:space="preserve"> as defined in the Policies. The discussion in this report must be factual, balanced and non-promotional.</w:t>
      </w:r>
    </w:p>
    <w:p w14:paraId="1232E931" w14:textId="77777777" w:rsidR="00A95A22" w:rsidRPr="00D72319" w:rsidRDefault="00A95A22" w:rsidP="00A95A22">
      <w:pPr>
        <w:pStyle w:val="BodyText"/>
        <w:tabs>
          <w:tab w:val="left" w:pos="7920"/>
          <w:tab w:val="left" w:pos="9180"/>
        </w:tabs>
        <w:rPr>
          <w:color w:val="000000"/>
          <w:sz w:val="20"/>
        </w:rPr>
      </w:pPr>
      <w:r w:rsidRPr="00D72319">
        <w:rPr>
          <w:b/>
          <w:color w:val="000000"/>
          <w:sz w:val="20"/>
        </w:rPr>
        <w:t>General Instructions</w:t>
      </w:r>
    </w:p>
    <w:p w14:paraId="4628B4EA" w14:textId="77777777" w:rsidR="00A95A22" w:rsidRPr="00D72319" w:rsidRDefault="00A95A22" w:rsidP="00A95A22">
      <w:pPr>
        <w:pStyle w:val="BodyText"/>
        <w:numPr>
          <w:ilvl w:val="0"/>
          <w:numId w:val="1"/>
        </w:numPr>
        <w:tabs>
          <w:tab w:val="left" w:pos="1440"/>
          <w:tab w:val="left" w:pos="7920"/>
          <w:tab w:val="left" w:pos="9180"/>
        </w:tabs>
        <w:rPr>
          <w:color w:val="000000"/>
          <w:sz w:val="20"/>
        </w:rPr>
      </w:pPr>
      <w:r w:rsidRPr="00D72319">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2B14179" w14:textId="5DA01BEC" w:rsidR="00A95A22" w:rsidRPr="00D72319" w:rsidRDefault="00A95A22" w:rsidP="00A95A22">
      <w:pPr>
        <w:pStyle w:val="BodyText"/>
        <w:numPr>
          <w:ilvl w:val="0"/>
          <w:numId w:val="1"/>
        </w:numPr>
        <w:tabs>
          <w:tab w:val="left" w:pos="1440"/>
          <w:tab w:val="left" w:pos="7920"/>
          <w:tab w:val="left" w:pos="9180"/>
        </w:tabs>
        <w:rPr>
          <w:color w:val="000000"/>
          <w:sz w:val="20"/>
        </w:rPr>
      </w:pPr>
      <w:r w:rsidRPr="00D72319">
        <w:rPr>
          <w:color w:val="000000"/>
          <w:sz w:val="20"/>
        </w:rPr>
        <w:t xml:space="preserve">The term </w:t>
      </w:r>
      <w:r w:rsidR="001314FA">
        <w:rPr>
          <w:color w:val="000000"/>
          <w:sz w:val="20"/>
        </w:rPr>
        <w:t>“</w:t>
      </w:r>
      <w:r w:rsidRPr="00D72319">
        <w:rPr>
          <w:color w:val="000000"/>
          <w:sz w:val="20"/>
        </w:rPr>
        <w:t>Issuer</w:t>
      </w:r>
      <w:r w:rsidR="001314FA">
        <w:rPr>
          <w:color w:val="000000"/>
          <w:sz w:val="20"/>
        </w:rPr>
        <w:t>”</w:t>
      </w:r>
      <w:r w:rsidRPr="00D72319">
        <w:rPr>
          <w:color w:val="000000"/>
          <w:sz w:val="20"/>
        </w:rPr>
        <w:t xml:space="preserve"> includes the Issuer and any of its subsidiaries.</w:t>
      </w:r>
    </w:p>
    <w:p w14:paraId="052993A1" w14:textId="77777777" w:rsidR="00A95A22" w:rsidRPr="00D72319" w:rsidRDefault="00A95A22" w:rsidP="00A95A22">
      <w:pPr>
        <w:pStyle w:val="BodyText"/>
        <w:numPr>
          <w:ilvl w:val="0"/>
          <w:numId w:val="1"/>
        </w:numPr>
        <w:tabs>
          <w:tab w:val="left" w:pos="1440"/>
          <w:tab w:val="left" w:pos="7920"/>
          <w:tab w:val="left" w:pos="9180"/>
        </w:tabs>
        <w:rPr>
          <w:color w:val="000000"/>
          <w:sz w:val="20"/>
        </w:rPr>
      </w:pPr>
      <w:r w:rsidRPr="00D72319">
        <w:rPr>
          <w:color w:val="000000"/>
          <w:sz w:val="20"/>
        </w:rPr>
        <w:t>Terms used and not defined in this form are defined or interpreted in Policy 1 – Interpretation and General Provisions.</w:t>
      </w:r>
    </w:p>
    <w:p w14:paraId="271144B5" w14:textId="77777777" w:rsidR="00A95A22" w:rsidRPr="00D72319" w:rsidRDefault="00A95A22" w:rsidP="00A95A22">
      <w:pPr>
        <w:pStyle w:val="List"/>
        <w:keepLines/>
        <w:spacing w:before="120"/>
        <w:ind w:left="0" w:firstLine="0"/>
        <w:rPr>
          <w:b/>
          <w:sz w:val="20"/>
        </w:rPr>
      </w:pPr>
      <w:r w:rsidRPr="00D72319">
        <w:rPr>
          <w:b/>
          <w:sz w:val="20"/>
        </w:rPr>
        <w:t>Report on Business</w:t>
      </w:r>
    </w:p>
    <w:p w14:paraId="5C859697" w14:textId="7E289D99" w:rsidR="00A95A22" w:rsidRDefault="00A95A22" w:rsidP="00A95A22">
      <w:pPr>
        <w:pStyle w:val="List"/>
        <w:numPr>
          <w:ilvl w:val="0"/>
          <w:numId w:val="2"/>
        </w:numPr>
        <w:spacing w:before="120"/>
        <w:rPr>
          <w:b/>
          <w:sz w:val="20"/>
        </w:rPr>
      </w:pPr>
      <w:r w:rsidRPr="00D72319">
        <w:rPr>
          <w:b/>
          <w:sz w:val="20"/>
        </w:rPr>
        <w:t>Provide a general overview and discussion of the development of the Issuer</w:t>
      </w:r>
      <w:r w:rsidR="001314FA">
        <w:rPr>
          <w:b/>
          <w:sz w:val="20"/>
        </w:rPr>
        <w:t>’</w:t>
      </w:r>
      <w:r w:rsidRPr="00D72319">
        <w:rPr>
          <w:b/>
          <w:sz w:val="20"/>
        </w:rPr>
        <w:t>s business and operations over the previous month.  Where the Issuer was inactive disclose this fact.</w:t>
      </w:r>
    </w:p>
    <w:p w14:paraId="0BEEF999" w14:textId="77777777" w:rsidR="00A95A22" w:rsidRPr="00AC71CB" w:rsidRDefault="00A95A22" w:rsidP="00A95A22">
      <w:pPr>
        <w:pStyle w:val="ListParagraph"/>
        <w:rPr>
          <w:rFonts w:ascii="Arial" w:hAnsi="Arial" w:cs="Arial"/>
        </w:rPr>
      </w:pPr>
    </w:p>
    <w:p w14:paraId="69EA14C8" w14:textId="032003F6" w:rsidR="00A95A22" w:rsidRPr="0067162B" w:rsidRDefault="00A95A22" w:rsidP="00136CF7">
      <w:pPr>
        <w:pStyle w:val="ListParagraph"/>
        <w:jc w:val="both"/>
        <w:rPr>
          <w:rFonts w:ascii="Arial" w:hAnsi="Arial" w:cs="Arial"/>
          <w:sz w:val="20"/>
          <w:szCs w:val="20"/>
        </w:rPr>
      </w:pPr>
      <w:r w:rsidRPr="0067162B">
        <w:rPr>
          <w:rFonts w:ascii="Arial" w:hAnsi="Arial" w:cs="Arial"/>
          <w:sz w:val="20"/>
          <w:szCs w:val="20"/>
        </w:rPr>
        <w:t xml:space="preserve">The Company announced a strategic partnership with </w:t>
      </w:r>
      <w:r w:rsidR="00D47628">
        <w:rPr>
          <w:rFonts w:ascii="Arial" w:hAnsi="Arial" w:cs="Arial"/>
          <w:sz w:val="20"/>
          <w:szCs w:val="20"/>
        </w:rPr>
        <w:t>Southern Development Holdings (</w:t>
      </w:r>
      <w:r w:rsidR="001314FA">
        <w:rPr>
          <w:rFonts w:ascii="Arial" w:hAnsi="Arial" w:cs="Arial"/>
          <w:sz w:val="20"/>
          <w:szCs w:val="20"/>
        </w:rPr>
        <w:t>“</w:t>
      </w:r>
      <w:r w:rsidRPr="00D47628">
        <w:rPr>
          <w:rFonts w:ascii="Arial" w:hAnsi="Arial" w:cs="Arial"/>
          <w:b/>
          <w:sz w:val="20"/>
          <w:szCs w:val="20"/>
        </w:rPr>
        <w:t>SDH</w:t>
      </w:r>
      <w:r w:rsidR="001314FA">
        <w:rPr>
          <w:rFonts w:ascii="Arial" w:hAnsi="Arial" w:cs="Arial"/>
          <w:sz w:val="20"/>
          <w:szCs w:val="20"/>
        </w:rPr>
        <w:t>”</w:t>
      </w:r>
      <w:r w:rsidRPr="0067162B">
        <w:rPr>
          <w:rFonts w:ascii="Arial" w:hAnsi="Arial" w:cs="Arial"/>
          <w:sz w:val="20"/>
          <w:szCs w:val="20"/>
        </w:rPr>
        <w:t xml:space="preserve">) to offer its branded cannabis products to patients across Puerto Rico. Pursuant to the partnership, SDH has been granted an exclusive license in Puerto Rico to the SLANG product suite, including its category-leading products </w:t>
      </w:r>
      <w:proofErr w:type="spellStart"/>
      <w:proofErr w:type="gramStart"/>
      <w:r w:rsidRPr="0067162B">
        <w:rPr>
          <w:rFonts w:ascii="Arial" w:hAnsi="Arial" w:cs="Arial"/>
          <w:sz w:val="20"/>
          <w:szCs w:val="20"/>
        </w:rPr>
        <w:t>O.penVAPE</w:t>
      </w:r>
      <w:proofErr w:type="spellEnd"/>
      <w:proofErr w:type="gramEnd"/>
      <w:r w:rsidRPr="0067162B">
        <w:rPr>
          <w:rFonts w:ascii="Arial" w:hAnsi="Arial" w:cs="Arial"/>
          <w:sz w:val="20"/>
          <w:szCs w:val="20"/>
        </w:rPr>
        <w:t xml:space="preserve">, </w:t>
      </w:r>
      <w:r w:rsidRPr="00987008">
        <w:rPr>
          <w:rFonts w:ascii="Arial" w:hAnsi="Arial" w:cs="Arial"/>
          <w:sz w:val="20"/>
          <w:szCs w:val="20"/>
        </w:rPr>
        <w:t>:Pressies</w:t>
      </w:r>
      <w:r w:rsidRPr="0067162B">
        <w:rPr>
          <w:rFonts w:ascii="Arial" w:hAnsi="Arial" w:cs="Arial"/>
          <w:sz w:val="20"/>
          <w:szCs w:val="20"/>
        </w:rPr>
        <w:t xml:space="preserve">, District Edibles, </w:t>
      </w:r>
      <w:proofErr w:type="spellStart"/>
      <w:r w:rsidRPr="0067162B">
        <w:rPr>
          <w:rFonts w:ascii="Arial" w:hAnsi="Arial" w:cs="Arial"/>
          <w:sz w:val="20"/>
          <w:szCs w:val="20"/>
        </w:rPr>
        <w:t>Bakked</w:t>
      </w:r>
      <w:proofErr w:type="spellEnd"/>
      <w:r w:rsidRPr="0067162B">
        <w:rPr>
          <w:rFonts w:ascii="Arial" w:hAnsi="Arial" w:cs="Arial"/>
          <w:sz w:val="20"/>
          <w:szCs w:val="20"/>
        </w:rPr>
        <w:t xml:space="preserve">, and Magic Buzz. A news release describing the foregoing change was disseminated on March 6, 2019 through newswire services and filed on SEDAR.  </w:t>
      </w:r>
    </w:p>
    <w:p w14:paraId="542C3152" w14:textId="77777777" w:rsidR="00A95A22" w:rsidRPr="0067162B" w:rsidRDefault="00A95A22" w:rsidP="00136CF7">
      <w:pPr>
        <w:jc w:val="both"/>
        <w:rPr>
          <w:sz w:val="20"/>
          <w:szCs w:val="20"/>
        </w:rPr>
      </w:pPr>
    </w:p>
    <w:p w14:paraId="3E6CE983" w14:textId="762A31AE" w:rsidR="00A95A22" w:rsidRPr="0067162B" w:rsidRDefault="00A95A22" w:rsidP="00136CF7">
      <w:pPr>
        <w:pStyle w:val="ListParagraph"/>
        <w:jc w:val="both"/>
        <w:rPr>
          <w:rFonts w:ascii="Arial" w:hAnsi="Arial" w:cs="Arial"/>
          <w:sz w:val="20"/>
          <w:szCs w:val="20"/>
        </w:rPr>
      </w:pPr>
      <w:r w:rsidRPr="0067162B">
        <w:rPr>
          <w:rFonts w:ascii="Arial" w:hAnsi="Arial" w:cs="Arial"/>
          <w:sz w:val="20"/>
          <w:szCs w:val="20"/>
        </w:rPr>
        <w:t xml:space="preserve">The Company announced the launch of its RESERVE product line in the California market. RESERVE further extends the </w:t>
      </w:r>
      <w:proofErr w:type="spellStart"/>
      <w:proofErr w:type="gramStart"/>
      <w:r w:rsidRPr="0067162B">
        <w:rPr>
          <w:rFonts w:ascii="Arial" w:hAnsi="Arial" w:cs="Arial"/>
          <w:sz w:val="20"/>
          <w:szCs w:val="20"/>
        </w:rPr>
        <w:t>O.penVAPE</w:t>
      </w:r>
      <w:proofErr w:type="spellEnd"/>
      <w:proofErr w:type="gramEnd"/>
      <w:r w:rsidRPr="0067162B">
        <w:rPr>
          <w:rFonts w:ascii="Arial" w:hAnsi="Arial" w:cs="Arial"/>
          <w:sz w:val="20"/>
          <w:szCs w:val="20"/>
        </w:rPr>
        <w:t xml:space="preserve"> brand and complements SLANG</w:t>
      </w:r>
      <w:r w:rsidR="001314FA">
        <w:rPr>
          <w:rFonts w:ascii="Arial" w:hAnsi="Arial" w:cs="Arial"/>
          <w:sz w:val="20"/>
          <w:szCs w:val="20"/>
        </w:rPr>
        <w:t>’</w:t>
      </w:r>
      <w:r w:rsidRPr="0067162B">
        <w:rPr>
          <w:rFonts w:ascii="Arial" w:hAnsi="Arial" w:cs="Arial"/>
          <w:sz w:val="20"/>
          <w:szCs w:val="20"/>
        </w:rPr>
        <w:t xml:space="preserve">s existing product line. A news release describing the foregoing change was disseminated on March 11, 2019 through newswire services and filed on SEDAR.  </w:t>
      </w:r>
    </w:p>
    <w:p w14:paraId="73470E71" w14:textId="77777777" w:rsidR="00A95A22" w:rsidRPr="0067162B" w:rsidRDefault="00A95A22" w:rsidP="00136CF7">
      <w:pPr>
        <w:pStyle w:val="ListParagraph"/>
        <w:jc w:val="both"/>
        <w:rPr>
          <w:rFonts w:ascii="Arial" w:hAnsi="Arial" w:cs="Arial"/>
          <w:sz w:val="20"/>
          <w:szCs w:val="20"/>
        </w:rPr>
      </w:pPr>
    </w:p>
    <w:p w14:paraId="08020CAD" w14:textId="4270C89E" w:rsidR="00A95A22" w:rsidRPr="0067162B" w:rsidRDefault="00A95A22" w:rsidP="00136CF7">
      <w:pPr>
        <w:ind w:left="720"/>
        <w:jc w:val="both"/>
        <w:rPr>
          <w:rFonts w:ascii="Arial" w:hAnsi="Arial" w:cs="Arial"/>
          <w:sz w:val="20"/>
          <w:szCs w:val="20"/>
        </w:rPr>
      </w:pPr>
      <w:r w:rsidRPr="0067162B">
        <w:rPr>
          <w:rFonts w:ascii="Arial" w:hAnsi="Arial" w:cs="Arial"/>
          <w:sz w:val="20"/>
          <w:szCs w:val="20"/>
        </w:rPr>
        <w:t>The Company announce</w:t>
      </w:r>
      <w:r w:rsidR="0067162B" w:rsidRPr="0067162B">
        <w:rPr>
          <w:rFonts w:ascii="Arial" w:hAnsi="Arial" w:cs="Arial"/>
          <w:sz w:val="20"/>
          <w:szCs w:val="20"/>
        </w:rPr>
        <w:t>s</w:t>
      </w:r>
      <w:r w:rsidRPr="0067162B">
        <w:rPr>
          <w:rFonts w:ascii="Arial" w:hAnsi="Arial" w:cs="Arial"/>
          <w:sz w:val="20"/>
          <w:szCs w:val="20"/>
        </w:rPr>
        <w:t xml:space="preserve"> its plans to continue to broaden its shareholder base and further increase it</w:t>
      </w:r>
      <w:r w:rsidR="001314FA">
        <w:rPr>
          <w:rFonts w:ascii="Arial" w:hAnsi="Arial" w:cs="Arial"/>
          <w:sz w:val="20"/>
          <w:szCs w:val="20"/>
        </w:rPr>
        <w:t>’</w:t>
      </w:r>
      <w:r w:rsidRPr="0067162B">
        <w:rPr>
          <w:rFonts w:ascii="Arial" w:hAnsi="Arial" w:cs="Arial"/>
          <w:sz w:val="20"/>
          <w:szCs w:val="20"/>
        </w:rPr>
        <w:t xml:space="preserve">s now trading on the Frankfurt Stock Exchange under the trading symbol </w:t>
      </w:r>
      <w:r w:rsidR="001314FA">
        <w:rPr>
          <w:rFonts w:ascii="Arial" w:hAnsi="Arial" w:cs="Arial"/>
          <w:sz w:val="20"/>
          <w:szCs w:val="20"/>
        </w:rPr>
        <w:t>“</w:t>
      </w:r>
      <w:r w:rsidRPr="0067162B">
        <w:rPr>
          <w:rFonts w:ascii="Arial" w:hAnsi="Arial" w:cs="Arial"/>
          <w:sz w:val="20"/>
          <w:szCs w:val="20"/>
        </w:rPr>
        <w:t>84S</w:t>
      </w:r>
      <w:r w:rsidR="001314FA">
        <w:rPr>
          <w:rFonts w:ascii="Arial" w:hAnsi="Arial" w:cs="Arial"/>
          <w:sz w:val="20"/>
          <w:szCs w:val="20"/>
        </w:rPr>
        <w:t>”</w:t>
      </w:r>
      <w:r w:rsidRPr="0067162B">
        <w:rPr>
          <w:rFonts w:ascii="Arial" w:hAnsi="Arial" w:cs="Arial"/>
          <w:sz w:val="20"/>
          <w:szCs w:val="20"/>
        </w:rPr>
        <w:t xml:space="preserve">, and the Company has retained Vincic Advisors to provide comprehensive investor relations and strategic </w:t>
      </w:r>
      <w:r w:rsidRPr="0067162B">
        <w:rPr>
          <w:rFonts w:ascii="Arial" w:hAnsi="Arial" w:cs="Arial"/>
          <w:sz w:val="20"/>
          <w:szCs w:val="20"/>
        </w:rPr>
        <w:lastRenderedPageBreak/>
        <w:t xml:space="preserve">communications services. A news release describing the foregoing change was disseminated on March 25, 2019 through newswire services and filed on SEDAR.  </w:t>
      </w:r>
    </w:p>
    <w:p w14:paraId="51ACF3A2" w14:textId="77777777" w:rsidR="00A95A22" w:rsidRPr="00AC71CB" w:rsidRDefault="00A95A22" w:rsidP="00A95A22">
      <w:pPr>
        <w:rPr>
          <w:rFonts w:ascii="Arial" w:hAnsi="Arial" w:cs="Arial"/>
        </w:rPr>
      </w:pPr>
    </w:p>
    <w:p w14:paraId="15F4F5BA" w14:textId="77777777" w:rsidR="00A95A22" w:rsidRPr="00D72319" w:rsidRDefault="00A95A22" w:rsidP="00A95A22">
      <w:pPr>
        <w:pStyle w:val="BodyText"/>
        <w:numPr>
          <w:ilvl w:val="0"/>
          <w:numId w:val="2"/>
        </w:numPr>
        <w:rPr>
          <w:b/>
          <w:sz w:val="20"/>
        </w:rPr>
      </w:pPr>
      <w:r w:rsidRPr="00D72319">
        <w:rPr>
          <w:b/>
          <w:sz w:val="20"/>
        </w:rPr>
        <w:t>Provide a general overview and discussion of the activities of management.</w:t>
      </w:r>
    </w:p>
    <w:p w14:paraId="7183A9C6" w14:textId="77777777" w:rsidR="00A95A22" w:rsidRPr="00D72319" w:rsidRDefault="00A95A22" w:rsidP="00A95A22">
      <w:pPr>
        <w:pStyle w:val="BodyText"/>
        <w:rPr>
          <w:rFonts w:cs="Arial"/>
          <w:sz w:val="20"/>
        </w:rPr>
      </w:pPr>
      <w:r w:rsidRPr="00D72319">
        <w:rPr>
          <w:rFonts w:cs="Arial"/>
          <w:sz w:val="20"/>
        </w:rPr>
        <w:t xml:space="preserve">Management </w:t>
      </w:r>
      <w:r>
        <w:rPr>
          <w:rFonts w:cs="Arial"/>
          <w:sz w:val="20"/>
        </w:rPr>
        <w:t xml:space="preserve">of the Issuer </w:t>
      </w:r>
      <w:r w:rsidRPr="00D72319">
        <w:rPr>
          <w:rFonts w:cs="Arial"/>
          <w:sz w:val="20"/>
        </w:rPr>
        <w:t xml:space="preserve">continues to explore new markets where it is able to capitalize on the opportunities presented as a result of the changing regulatory environment governing the cannabis industry. </w:t>
      </w:r>
    </w:p>
    <w:p w14:paraId="6314FC86" w14:textId="77777777" w:rsidR="00A95A22" w:rsidRPr="00D72319" w:rsidRDefault="00A95A22" w:rsidP="00A95A22">
      <w:pPr>
        <w:pStyle w:val="List"/>
        <w:numPr>
          <w:ilvl w:val="0"/>
          <w:numId w:val="2"/>
        </w:numPr>
        <w:spacing w:before="120"/>
        <w:rPr>
          <w:b/>
          <w:sz w:val="20"/>
        </w:rPr>
      </w:pPr>
      <w:r w:rsidRPr="00D72319">
        <w:rPr>
          <w:b/>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7289A97" w14:textId="77777777" w:rsidR="00A95A22" w:rsidRDefault="00A95A22" w:rsidP="00A95A22">
      <w:pPr>
        <w:pStyle w:val="ListParagraph"/>
      </w:pPr>
    </w:p>
    <w:p w14:paraId="4EE1EFCF" w14:textId="1D2E32BA" w:rsidR="008A55CB" w:rsidRDefault="00A95A22" w:rsidP="00136CF7">
      <w:pPr>
        <w:pStyle w:val="ListParagraph"/>
        <w:jc w:val="both"/>
        <w:rPr>
          <w:rFonts w:ascii="Arial" w:hAnsi="Arial" w:cs="Arial"/>
          <w:sz w:val="20"/>
          <w:szCs w:val="20"/>
        </w:rPr>
      </w:pPr>
      <w:r w:rsidRPr="00987008">
        <w:rPr>
          <w:rFonts w:ascii="Arial" w:hAnsi="Arial" w:cs="Arial"/>
          <w:sz w:val="20"/>
          <w:szCs w:val="20"/>
        </w:rPr>
        <w:t xml:space="preserve">As described above, the Company announced the launch of its RESERVE product line in the California market. RESERVE further extends the </w:t>
      </w:r>
      <w:proofErr w:type="spellStart"/>
      <w:proofErr w:type="gramStart"/>
      <w:r w:rsidRPr="00987008">
        <w:rPr>
          <w:rFonts w:ascii="Arial" w:hAnsi="Arial" w:cs="Arial"/>
          <w:sz w:val="20"/>
          <w:szCs w:val="20"/>
        </w:rPr>
        <w:t>O.penVAPE</w:t>
      </w:r>
      <w:proofErr w:type="spellEnd"/>
      <w:proofErr w:type="gramEnd"/>
      <w:r w:rsidRPr="00987008">
        <w:rPr>
          <w:rFonts w:ascii="Arial" w:hAnsi="Arial" w:cs="Arial"/>
          <w:sz w:val="20"/>
          <w:szCs w:val="20"/>
        </w:rPr>
        <w:t xml:space="preserve"> brand and complements SLANG</w:t>
      </w:r>
      <w:r w:rsidR="001314FA">
        <w:rPr>
          <w:rFonts w:ascii="Arial" w:hAnsi="Arial" w:cs="Arial"/>
          <w:sz w:val="20"/>
          <w:szCs w:val="20"/>
        </w:rPr>
        <w:t>’</w:t>
      </w:r>
      <w:r w:rsidRPr="00987008">
        <w:rPr>
          <w:rFonts w:ascii="Arial" w:hAnsi="Arial" w:cs="Arial"/>
          <w:sz w:val="20"/>
          <w:szCs w:val="20"/>
        </w:rPr>
        <w:t xml:space="preserve">s existing product line. The new product offering was created in direct response to demand in the market for a curated selection of top strains. Innovative formulations and market-leading prices are at the core of RESERVE, adding to an already robust product catalog. This catalog has made </w:t>
      </w:r>
      <w:proofErr w:type="spellStart"/>
      <w:proofErr w:type="gramStart"/>
      <w:r w:rsidRPr="00987008">
        <w:rPr>
          <w:rFonts w:ascii="Arial" w:hAnsi="Arial" w:cs="Arial"/>
          <w:sz w:val="20"/>
          <w:szCs w:val="20"/>
        </w:rPr>
        <w:t>O.penVAPE</w:t>
      </w:r>
      <w:proofErr w:type="spellEnd"/>
      <w:proofErr w:type="gramEnd"/>
      <w:r w:rsidRPr="00987008">
        <w:rPr>
          <w:rFonts w:ascii="Arial" w:hAnsi="Arial" w:cs="Arial"/>
          <w:sz w:val="20"/>
          <w:szCs w:val="20"/>
        </w:rPr>
        <w:t xml:space="preserve"> the #2 best-selling cannabis brand in the United States since 2014, as reported by BDS Analytics. SLANG is introducing its RESERVE line of vaporizer cartridges to the California market, extending its top-selling </w:t>
      </w:r>
      <w:proofErr w:type="spellStart"/>
      <w:proofErr w:type="gramStart"/>
      <w:r w:rsidRPr="00987008">
        <w:rPr>
          <w:rFonts w:ascii="Arial" w:hAnsi="Arial" w:cs="Arial"/>
          <w:sz w:val="20"/>
          <w:szCs w:val="20"/>
        </w:rPr>
        <w:t>O.penVAPE</w:t>
      </w:r>
      <w:proofErr w:type="spellEnd"/>
      <w:proofErr w:type="gramEnd"/>
      <w:r w:rsidRPr="00987008">
        <w:rPr>
          <w:rFonts w:ascii="Arial" w:hAnsi="Arial" w:cs="Arial"/>
          <w:sz w:val="20"/>
          <w:szCs w:val="20"/>
        </w:rPr>
        <w:t xml:space="preserve"> brand with a curated selection of top strains at competitive prices</w:t>
      </w:r>
      <w:r w:rsidR="00987008">
        <w:rPr>
          <w:rFonts w:ascii="Arial" w:hAnsi="Arial" w:cs="Arial"/>
          <w:sz w:val="20"/>
          <w:szCs w:val="20"/>
        </w:rPr>
        <w:t>.</w:t>
      </w:r>
    </w:p>
    <w:p w14:paraId="6704F980" w14:textId="4CB9A4B3" w:rsidR="00A95A22" w:rsidRDefault="00A95A22" w:rsidP="00136CF7">
      <w:pPr>
        <w:pStyle w:val="ListParagraph"/>
        <w:jc w:val="both"/>
        <w:rPr>
          <w:b/>
          <w:sz w:val="20"/>
        </w:rPr>
      </w:pPr>
    </w:p>
    <w:p w14:paraId="44E49EFB" w14:textId="77777777" w:rsidR="00A95A22" w:rsidRPr="00D72319" w:rsidRDefault="00A95A22" w:rsidP="00A95A22">
      <w:pPr>
        <w:pStyle w:val="List"/>
        <w:numPr>
          <w:ilvl w:val="0"/>
          <w:numId w:val="2"/>
        </w:numPr>
        <w:spacing w:before="120"/>
        <w:rPr>
          <w:b/>
          <w:sz w:val="20"/>
        </w:rPr>
      </w:pPr>
      <w:r w:rsidRPr="00D72319">
        <w:rPr>
          <w:b/>
          <w:sz w:val="20"/>
        </w:rPr>
        <w:t>Describe and provide details of any products or services that were discontinued. For resource companies, provide details of any drilling, exploration or production programs that have been amended or abandoned.</w:t>
      </w:r>
    </w:p>
    <w:p w14:paraId="11B3EA37" w14:textId="77777777" w:rsidR="00A95A22" w:rsidRPr="00D72319" w:rsidRDefault="00A95A22" w:rsidP="00A95A22">
      <w:pPr>
        <w:pStyle w:val="BodyText"/>
        <w:rPr>
          <w:sz w:val="20"/>
        </w:rPr>
      </w:pPr>
      <w:r w:rsidRPr="00D72319">
        <w:rPr>
          <w:sz w:val="20"/>
        </w:rPr>
        <w:t>None.</w:t>
      </w:r>
    </w:p>
    <w:p w14:paraId="3E2CEA17" w14:textId="2AE76B45" w:rsidR="00A95A22" w:rsidRPr="00D72319" w:rsidRDefault="00A95A22" w:rsidP="00A95A22">
      <w:pPr>
        <w:pStyle w:val="List"/>
        <w:numPr>
          <w:ilvl w:val="0"/>
          <w:numId w:val="2"/>
        </w:numPr>
        <w:spacing w:before="120"/>
        <w:rPr>
          <w:b/>
          <w:sz w:val="20"/>
        </w:rPr>
      </w:pPr>
      <w:r w:rsidRPr="00D72319">
        <w:rPr>
          <w:b/>
          <w:sz w:val="20"/>
        </w:rPr>
        <w:t>Describe any new business relationships entered into between the Issuer, the Issuer</w:t>
      </w:r>
      <w:r w:rsidR="001314FA">
        <w:rPr>
          <w:b/>
          <w:sz w:val="20"/>
        </w:rPr>
        <w:t>’</w:t>
      </w:r>
      <w:r w:rsidRPr="00D72319">
        <w:rPr>
          <w:b/>
          <w:sz w:val="20"/>
        </w:rPr>
        <w:t>s affiliates or third parties including contracts to supply products or services, joint venture agreements and licensing agreements etc. State whether the relationship is with a Related Person of the Issuer and provide details of the relationship.</w:t>
      </w:r>
    </w:p>
    <w:p w14:paraId="5C1D5157" w14:textId="77777777" w:rsidR="00A95A22" w:rsidRDefault="00A95A22" w:rsidP="00A95A22">
      <w:pPr>
        <w:pStyle w:val="ListParagraph"/>
      </w:pPr>
    </w:p>
    <w:p w14:paraId="6BC66067" w14:textId="282C8BA6" w:rsidR="00A95A22" w:rsidRPr="00B274A7" w:rsidRDefault="00A95A22" w:rsidP="00136CF7">
      <w:pPr>
        <w:pStyle w:val="ListParagraph"/>
        <w:jc w:val="both"/>
        <w:rPr>
          <w:rFonts w:ascii="Arial" w:hAnsi="Arial" w:cs="Arial"/>
          <w:sz w:val="20"/>
          <w:szCs w:val="20"/>
        </w:rPr>
      </w:pPr>
      <w:r w:rsidRPr="00B274A7">
        <w:rPr>
          <w:rFonts w:ascii="Arial" w:hAnsi="Arial" w:cs="Arial"/>
          <w:sz w:val="20"/>
          <w:szCs w:val="20"/>
        </w:rPr>
        <w:t xml:space="preserve">As described above, the Company announced a new strategic partnership with </w:t>
      </w:r>
      <w:r w:rsidR="00987008">
        <w:rPr>
          <w:rFonts w:ascii="Arial" w:hAnsi="Arial" w:cs="Arial"/>
          <w:sz w:val="20"/>
          <w:szCs w:val="20"/>
        </w:rPr>
        <w:t>Southern Development Holdings (</w:t>
      </w:r>
      <w:r w:rsidR="001314FA">
        <w:rPr>
          <w:rFonts w:ascii="Arial" w:hAnsi="Arial" w:cs="Arial"/>
          <w:sz w:val="20"/>
          <w:szCs w:val="20"/>
        </w:rPr>
        <w:t>“</w:t>
      </w:r>
      <w:r w:rsidRPr="00987008">
        <w:rPr>
          <w:rFonts w:ascii="Arial" w:hAnsi="Arial" w:cs="Arial"/>
          <w:b/>
          <w:sz w:val="20"/>
          <w:szCs w:val="20"/>
        </w:rPr>
        <w:t>SDH</w:t>
      </w:r>
      <w:r w:rsidR="001314FA">
        <w:rPr>
          <w:rFonts w:ascii="Arial" w:hAnsi="Arial" w:cs="Arial"/>
          <w:sz w:val="20"/>
          <w:szCs w:val="20"/>
        </w:rPr>
        <w:t>”</w:t>
      </w:r>
      <w:r w:rsidRPr="00B274A7">
        <w:rPr>
          <w:rFonts w:ascii="Arial" w:hAnsi="Arial" w:cs="Arial"/>
          <w:sz w:val="20"/>
          <w:szCs w:val="20"/>
        </w:rPr>
        <w:t xml:space="preserve">) to offer its branded cannabis products to patients across Puerto Rico. Pursuant to the partnership, SDH has been granted an exclusive license in Puerto Rico to the SLANG product suite, including its category-leading products </w:t>
      </w:r>
      <w:proofErr w:type="spellStart"/>
      <w:proofErr w:type="gramStart"/>
      <w:r w:rsidRPr="00B274A7">
        <w:rPr>
          <w:rFonts w:ascii="Arial" w:hAnsi="Arial" w:cs="Arial"/>
          <w:sz w:val="20"/>
          <w:szCs w:val="20"/>
        </w:rPr>
        <w:t>O.penVAPE</w:t>
      </w:r>
      <w:proofErr w:type="spellEnd"/>
      <w:proofErr w:type="gramEnd"/>
      <w:r w:rsidRPr="00B274A7">
        <w:rPr>
          <w:rFonts w:ascii="Arial" w:hAnsi="Arial" w:cs="Arial"/>
          <w:sz w:val="20"/>
          <w:szCs w:val="20"/>
        </w:rPr>
        <w:t xml:space="preserve">, :Pressies, District Edibles, </w:t>
      </w:r>
      <w:proofErr w:type="spellStart"/>
      <w:r w:rsidRPr="00B274A7">
        <w:rPr>
          <w:rFonts w:ascii="Arial" w:hAnsi="Arial" w:cs="Arial"/>
          <w:sz w:val="20"/>
          <w:szCs w:val="20"/>
        </w:rPr>
        <w:t>Bakked</w:t>
      </w:r>
      <w:proofErr w:type="spellEnd"/>
      <w:r w:rsidRPr="00B274A7">
        <w:rPr>
          <w:rFonts w:ascii="Arial" w:hAnsi="Arial" w:cs="Arial"/>
          <w:sz w:val="20"/>
          <w:szCs w:val="20"/>
        </w:rPr>
        <w:t>, and Magic Buzz. SLANG</w:t>
      </w:r>
      <w:r w:rsidR="001314FA">
        <w:rPr>
          <w:rFonts w:ascii="Arial" w:hAnsi="Arial" w:cs="Arial"/>
          <w:sz w:val="20"/>
          <w:szCs w:val="20"/>
        </w:rPr>
        <w:t>’</w:t>
      </w:r>
      <w:r w:rsidRPr="00B274A7">
        <w:rPr>
          <w:rFonts w:ascii="Arial" w:hAnsi="Arial" w:cs="Arial"/>
          <w:sz w:val="20"/>
          <w:szCs w:val="20"/>
        </w:rPr>
        <w:t>s products will be produced in SDH</w:t>
      </w:r>
      <w:r w:rsidR="001314FA">
        <w:rPr>
          <w:rFonts w:ascii="Arial" w:hAnsi="Arial" w:cs="Arial"/>
          <w:sz w:val="20"/>
          <w:szCs w:val="20"/>
        </w:rPr>
        <w:t>’</w:t>
      </w:r>
      <w:r w:rsidRPr="00B274A7">
        <w:rPr>
          <w:rFonts w:ascii="Arial" w:hAnsi="Arial" w:cs="Arial"/>
          <w:sz w:val="20"/>
          <w:szCs w:val="20"/>
        </w:rPr>
        <w:t>s state-of-the-art GMP facility and distributed and sold broadly in medical cannabis dispensaries throughout Puerto Rico. SLANG will receive royalty payments for each SLANG branded product sold in Puerto Rico, with sales expected to begin in Q2 2019. The Company</w:t>
      </w:r>
      <w:r w:rsidR="001314FA">
        <w:rPr>
          <w:rFonts w:ascii="Arial" w:hAnsi="Arial" w:cs="Arial"/>
          <w:sz w:val="20"/>
          <w:szCs w:val="20"/>
        </w:rPr>
        <w:t>’</w:t>
      </w:r>
      <w:r w:rsidRPr="00B274A7">
        <w:rPr>
          <w:rFonts w:ascii="Arial" w:hAnsi="Arial" w:cs="Arial"/>
          <w:sz w:val="20"/>
          <w:szCs w:val="20"/>
        </w:rPr>
        <w:t xml:space="preserve">s entrance into Puerto Rico represents its second major market expansion initiative in Q1 2019, following its previously announced partnership with Florida-based </w:t>
      </w:r>
      <w:proofErr w:type="spellStart"/>
      <w:r w:rsidRPr="00B274A7">
        <w:rPr>
          <w:rFonts w:ascii="Arial" w:hAnsi="Arial" w:cs="Arial"/>
          <w:sz w:val="20"/>
          <w:szCs w:val="20"/>
        </w:rPr>
        <w:t>Trulieve</w:t>
      </w:r>
      <w:proofErr w:type="spellEnd"/>
      <w:r w:rsidRPr="00B274A7">
        <w:rPr>
          <w:rFonts w:ascii="Arial" w:hAnsi="Arial" w:cs="Arial"/>
          <w:sz w:val="20"/>
          <w:szCs w:val="20"/>
        </w:rPr>
        <w:t>. Today, consumers can purchase SLANG</w:t>
      </w:r>
      <w:r w:rsidR="001314FA">
        <w:rPr>
          <w:rFonts w:ascii="Arial" w:hAnsi="Arial" w:cs="Arial"/>
          <w:sz w:val="20"/>
          <w:szCs w:val="20"/>
        </w:rPr>
        <w:t>’</w:t>
      </w:r>
      <w:r w:rsidRPr="00B274A7">
        <w:rPr>
          <w:rFonts w:ascii="Arial" w:hAnsi="Arial" w:cs="Arial"/>
          <w:sz w:val="20"/>
          <w:szCs w:val="20"/>
        </w:rPr>
        <w:t>s branded products in more than 2,600 retail stores across 11 US states.</w:t>
      </w:r>
      <w:r>
        <w:rPr>
          <w:rFonts w:ascii="Arial" w:hAnsi="Arial" w:cs="Arial"/>
          <w:sz w:val="20"/>
          <w:szCs w:val="20"/>
        </w:rPr>
        <w:t xml:space="preserve"> </w:t>
      </w:r>
      <w:r w:rsidRPr="00B274A7">
        <w:rPr>
          <w:rFonts w:ascii="Arial" w:hAnsi="Arial" w:cs="Arial"/>
          <w:sz w:val="20"/>
          <w:szCs w:val="20"/>
        </w:rPr>
        <w:t>S</w:t>
      </w:r>
      <w:r w:rsidR="003A47B6">
        <w:rPr>
          <w:rFonts w:ascii="Arial" w:hAnsi="Arial" w:cs="Arial"/>
          <w:sz w:val="20"/>
          <w:szCs w:val="20"/>
        </w:rPr>
        <w:t xml:space="preserve">DH </w:t>
      </w:r>
      <w:r>
        <w:rPr>
          <w:rFonts w:ascii="Arial" w:hAnsi="Arial" w:cs="Arial"/>
          <w:sz w:val="20"/>
          <w:szCs w:val="20"/>
        </w:rPr>
        <w:t xml:space="preserve">is not a </w:t>
      </w:r>
      <w:proofErr w:type="gramStart"/>
      <w:r>
        <w:rPr>
          <w:rFonts w:ascii="Arial" w:hAnsi="Arial" w:cs="Arial"/>
          <w:sz w:val="20"/>
          <w:szCs w:val="20"/>
        </w:rPr>
        <w:t>related persons of the Company</w:t>
      </w:r>
      <w:proofErr w:type="gramEnd"/>
      <w:r>
        <w:rPr>
          <w:rFonts w:ascii="Arial" w:hAnsi="Arial" w:cs="Arial"/>
          <w:sz w:val="20"/>
          <w:szCs w:val="20"/>
        </w:rPr>
        <w:t>.</w:t>
      </w:r>
    </w:p>
    <w:p w14:paraId="346D3B8A" w14:textId="77777777" w:rsidR="00A95A22" w:rsidRPr="00D72319" w:rsidRDefault="00A95A22" w:rsidP="00A95A22">
      <w:pPr>
        <w:pStyle w:val="List"/>
        <w:spacing w:before="120"/>
        <w:ind w:left="720" w:firstLine="0"/>
        <w:rPr>
          <w:b/>
          <w:sz w:val="20"/>
        </w:rPr>
      </w:pPr>
    </w:p>
    <w:p w14:paraId="5D91FB2B" w14:textId="326B8417" w:rsidR="00A95A22" w:rsidRPr="00D72319" w:rsidRDefault="00A95A22" w:rsidP="00A95A22">
      <w:pPr>
        <w:pStyle w:val="List"/>
        <w:numPr>
          <w:ilvl w:val="0"/>
          <w:numId w:val="2"/>
        </w:numPr>
        <w:spacing w:before="120"/>
        <w:rPr>
          <w:b/>
          <w:sz w:val="20"/>
        </w:rPr>
      </w:pPr>
      <w:r w:rsidRPr="00D72319">
        <w:rPr>
          <w:b/>
          <w:sz w:val="20"/>
        </w:rPr>
        <w:t>Describe the expiry or termination of any contracts or agreements between the Issuer, the Issuer</w:t>
      </w:r>
      <w:r w:rsidR="001314FA">
        <w:rPr>
          <w:b/>
          <w:sz w:val="20"/>
        </w:rPr>
        <w:t>’</w:t>
      </w:r>
      <w:r w:rsidRPr="00D72319">
        <w:rPr>
          <w:b/>
          <w:sz w:val="20"/>
        </w:rPr>
        <w:t>s affiliates or third parties or cancellation of any financing arrangements that have been previously announced.</w:t>
      </w:r>
    </w:p>
    <w:p w14:paraId="445D78E3" w14:textId="77777777" w:rsidR="00A95A22" w:rsidRPr="00D72319" w:rsidRDefault="00A95A22" w:rsidP="00A95A22">
      <w:pPr>
        <w:pStyle w:val="BodyText"/>
        <w:rPr>
          <w:sz w:val="20"/>
        </w:rPr>
      </w:pPr>
      <w:r w:rsidRPr="00D72319">
        <w:rPr>
          <w:sz w:val="20"/>
        </w:rPr>
        <w:t>None</w:t>
      </w:r>
    </w:p>
    <w:p w14:paraId="50F37541" w14:textId="77777777" w:rsidR="00A95A22" w:rsidRPr="00D72319" w:rsidRDefault="00A95A22" w:rsidP="00A95A22">
      <w:pPr>
        <w:pStyle w:val="ListParagraph"/>
        <w:rPr>
          <w:rFonts w:ascii="Arial" w:hAnsi="Arial"/>
        </w:rPr>
      </w:pPr>
    </w:p>
    <w:p w14:paraId="26E621D2" w14:textId="4DB0B523" w:rsidR="00A95A22" w:rsidRPr="00D72319" w:rsidRDefault="00A95A22" w:rsidP="00A95A22">
      <w:pPr>
        <w:pStyle w:val="List"/>
        <w:numPr>
          <w:ilvl w:val="0"/>
          <w:numId w:val="2"/>
        </w:numPr>
        <w:spacing w:before="120"/>
        <w:rPr>
          <w:b/>
          <w:sz w:val="20"/>
        </w:rPr>
      </w:pPr>
      <w:r w:rsidRPr="00D72319">
        <w:rPr>
          <w:b/>
          <w:sz w:val="20"/>
        </w:rPr>
        <w:t>Describe any acquisitions by the Issuer or dispositions of the Issuer</w:t>
      </w:r>
      <w:r w:rsidR="001314FA">
        <w:rPr>
          <w:b/>
          <w:sz w:val="20"/>
        </w:rPr>
        <w:t>’</w:t>
      </w:r>
      <w:r w:rsidRPr="00D72319">
        <w:rPr>
          <w:b/>
          <w:sz w:val="20"/>
        </w:rPr>
        <w:t>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5AC3BA5" w14:textId="77777777" w:rsidR="00A95A22" w:rsidRPr="00D72319" w:rsidRDefault="00A95A22" w:rsidP="00A95A22">
      <w:pPr>
        <w:pStyle w:val="List"/>
        <w:spacing w:before="120"/>
        <w:ind w:left="720" w:firstLine="0"/>
        <w:rPr>
          <w:b/>
          <w:sz w:val="20"/>
          <w:highlight w:val="yellow"/>
        </w:rPr>
      </w:pPr>
    </w:p>
    <w:p w14:paraId="1B79184A" w14:textId="77777777" w:rsidR="00A95A22" w:rsidRPr="00060125" w:rsidRDefault="00A95A22" w:rsidP="00A95A22">
      <w:pPr>
        <w:pStyle w:val="TextJustified"/>
        <w:ind w:left="720"/>
        <w:rPr>
          <w:sz w:val="20"/>
          <w:szCs w:val="20"/>
          <w:lang w:val="en-US"/>
        </w:rPr>
      </w:pPr>
      <w:r w:rsidRPr="00060125">
        <w:rPr>
          <w:rFonts w:cs="Arial"/>
          <w:sz w:val="20"/>
          <w:szCs w:val="20"/>
        </w:rPr>
        <w:t>None.</w:t>
      </w:r>
    </w:p>
    <w:p w14:paraId="0FA57F37" w14:textId="77777777" w:rsidR="00A95A22" w:rsidRPr="00D72319" w:rsidRDefault="00A95A22" w:rsidP="00A95A22">
      <w:pPr>
        <w:pStyle w:val="List"/>
        <w:numPr>
          <w:ilvl w:val="0"/>
          <w:numId w:val="2"/>
        </w:numPr>
        <w:spacing w:before="120"/>
        <w:rPr>
          <w:b/>
          <w:sz w:val="20"/>
        </w:rPr>
      </w:pPr>
      <w:r w:rsidRPr="00D72319">
        <w:rPr>
          <w:b/>
          <w:sz w:val="20"/>
        </w:rPr>
        <w:t>Describe the acquisition of new customers or loss of customers.</w:t>
      </w:r>
    </w:p>
    <w:p w14:paraId="5B0E1A86" w14:textId="77777777" w:rsidR="00A95A22" w:rsidRPr="00D72319" w:rsidRDefault="00A95A22" w:rsidP="00A95A22">
      <w:pPr>
        <w:pStyle w:val="BodyText"/>
        <w:rPr>
          <w:sz w:val="20"/>
        </w:rPr>
      </w:pPr>
      <w:r w:rsidRPr="00D72319">
        <w:rPr>
          <w:sz w:val="20"/>
        </w:rPr>
        <w:t>None.</w:t>
      </w:r>
    </w:p>
    <w:p w14:paraId="471C73B3" w14:textId="77777777" w:rsidR="00A95A22" w:rsidRPr="00D72319" w:rsidRDefault="00A95A22" w:rsidP="00A95A22">
      <w:pPr>
        <w:pStyle w:val="List"/>
        <w:numPr>
          <w:ilvl w:val="0"/>
          <w:numId w:val="2"/>
        </w:numPr>
        <w:spacing w:before="120"/>
        <w:rPr>
          <w:b/>
          <w:sz w:val="20"/>
        </w:rPr>
      </w:pPr>
      <w:r w:rsidRPr="00D72319">
        <w:rPr>
          <w:b/>
          <w:sz w:val="20"/>
        </w:rPr>
        <w:t>Describe any new developments or effects on intangible products such as brand names, circulation lists, copyrights, franchises, licenses, patents, software, subscription lists and trade-marks.</w:t>
      </w:r>
    </w:p>
    <w:p w14:paraId="298F7EE2" w14:textId="77777777" w:rsidR="00A95A22" w:rsidRPr="00D72319" w:rsidRDefault="00A95A22" w:rsidP="00A95A22">
      <w:pPr>
        <w:pStyle w:val="BodyText"/>
        <w:rPr>
          <w:sz w:val="20"/>
        </w:rPr>
      </w:pPr>
      <w:r w:rsidRPr="00D72319">
        <w:rPr>
          <w:sz w:val="20"/>
        </w:rPr>
        <w:t>None.</w:t>
      </w:r>
    </w:p>
    <w:p w14:paraId="01036A50" w14:textId="77777777" w:rsidR="00A95A22" w:rsidRPr="00D72319" w:rsidRDefault="00A95A22" w:rsidP="00A95A22">
      <w:pPr>
        <w:pStyle w:val="List"/>
        <w:numPr>
          <w:ilvl w:val="0"/>
          <w:numId w:val="2"/>
        </w:numPr>
        <w:spacing w:before="120"/>
        <w:rPr>
          <w:b/>
          <w:sz w:val="20"/>
        </w:rPr>
      </w:pPr>
      <w:r w:rsidRPr="00D72319">
        <w:rPr>
          <w:b/>
          <w:sz w:val="20"/>
        </w:rPr>
        <w:t xml:space="preserve">Report on any employee </w:t>
      </w:r>
      <w:proofErr w:type="spellStart"/>
      <w:r w:rsidRPr="00D72319">
        <w:rPr>
          <w:b/>
          <w:sz w:val="20"/>
        </w:rPr>
        <w:t>hirings</w:t>
      </w:r>
      <w:proofErr w:type="spellEnd"/>
      <w:r w:rsidRPr="00D72319">
        <w:rPr>
          <w:b/>
          <w:sz w:val="20"/>
        </w:rPr>
        <w:t>, terminations or lay-offs with details of anticipated length of lay-offs.</w:t>
      </w:r>
    </w:p>
    <w:p w14:paraId="7B123A1A" w14:textId="77777777" w:rsidR="00A95A22" w:rsidRPr="00DC5D7B" w:rsidRDefault="00A95A22" w:rsidP="00A95A22">
      <w:pPr>
        <w:pStyle w:val="BodyText"/>
        <w:ind w:left="0" w:firstLine="720"/>
        <w:rPr>
          <w:sz w:val="20"/>
          <w:szCs w:val="20"/>
        </w:rPr>
      </w:pPr>
      <w:r w:rsidRPr="00DC5D7B">
        <w:rPr>
          <w:sz w:val="20"/>
          <w:szCs w:val="20"/>
        </w:rPr>
        <w:t>None.</w:t>
      </w:r>
    </w:p>
    <w:p w14:paraId="054BFCBF" w14:textId="77777777" w:rsidR="00A95A22" w:rsidRPr="00D72319" w:rsidRDefault="00A95A22" w:rsidP="00A95A22">
      <w:pPr>
        <w:pStyle w:val="List"/>
        <w:numPr>
          <w:ilvl w:val="0"/>
          <w:numId w:val="2"/>
        </w:numPr>
        <w:spacing w:before="120"/>
        <w:rPr>
          <w:b/>
          <w:sz w:val="20"/>
        </w:rPr>
      </w:pPr>
      <w:r w:rsidRPr="00D72319">
        <w:rPr>
          <w:b/>
          <w:sz w:val="20"/>
        </w:rPr>
        <w:t>Report on any labour disputes and resolutions of those disputes if applicable.</w:t>
      </w:r>
    </w:p>
    <w:p w14:paraId="4F2BEFCC" w14:textId="77777777" w:rsidR="00A95A22" w:rsidRPr="00D72319" w:rsidRDefault="00A95A22" w:rsidP="00A95A22">
      <w:pPr>
        <w:pStyle w:val="BodyText"/>
        <w:rPr>
          <w:sz w:val="20"/>
        </w:rPr>
      </w:pPr>
      <w:r w:rsidRPr="00D72319">
        <w:rPr>
          <w:sz w:val="20"/>
        </w:rPr>
        <w:t>None.</w:t>
      </w:r>
    </w:p>
    <w:p w14:paraId="639B38BA" w14:textId="77777777" w:rsidR="00A95A22" w:rsidRPr="00D72319" w:rsidRDefault="00A95A22" w:rsidP="00A95A22">
      <w:pPr>
        <w:pStyle w:val="List"/>
        <w:numPr>
          <w:ilvl w:val="0"/>
          <w:numId w:val="2"/>
        </w:numPr>
        <w:spacing w:before="120"/>
        <w:rPr>
          <w:b/>
          <w:sz w:val="20"/>
        </w:rPr>
      </w:pPr>
      <w:r w:rsidRPr="00D72319">
        <w:rPr>
          <w:b/>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4DC2CAF" w14:textId="77777777" w:rsidR="00A95A22" w:rsidRPr="00D72319" w:rsidRDefault="00A95A22" w:rsidP="00A95A22">
      <w:pPr>
        <w:pStyle w:val="BodyText"/>
        <w:rPr>
          <w:sz w:val="20"/>
        </w:rPr>
      </w:pPr>
      <w:r w:rsidRPr="00D72319">
        <w:rPr>
          <w:sz w:val="20"/>
        </w:rPr>
        <w:t>None.</w:t>
      </w:r>
    </w:p>
    <w:p w14:paraId="1DAB0BBF" w14:textId="77777777" w:rsidR="00A95A22" w:rsidRPr="00D72319" w:rsidRDefault="00A95A22" w:rsidP="00A95A22">
      <w:pPr>
        <w:pStyle w:val="ListParagraph"/>
        <w:rPr>
          <w:rFonts w:ascii="Arial" w:hAnsi="Arial"/>
        </w:rPr>
      </w:pPr>
    </w:p>
    <w:p w14:paraId="45EE4D84" w14:textId="77777777" w:rsidR="00A95A22" w:rsidRPr="00D72319" w:rsidRDefault="00A95A22" w:rsidP="00A95A22">
      <w:pPr>
        <w:pStyle w:val="List"/>
        <w:numPr>
          <w:ilvl w:val="0"/>
          <w:numId w:val="2"/>
        </w:numPr>
        <w:spacing w:before="120"/>
        <w:rPr>
          <w:b/>
          <w:sz w:val="20"/>
        </w:rPr>
      </w:pPr>
      <w:r w:rsidRPr="00D72319">
        <w:rPr>
          <w:b/>
          <w:sz w:val="20"/>
        </w:rPr>
        <w:t>Provide details of any indebtedness incurred or repaid by the Issuer together with the terms of such indebtedness.</w:t>
      </w:r>
    </w:p>
    <w:p w14:paraId="6220A475" w14:textId="77777777" w:rsidR="00A95A22" w:rsidRPr="00D72319" w:rsidRDefault="00A95A22" w:rsidP="00A95A22">
      <w:pPr>
        <w:pStyle w:val="BodyText"/>
        <w:rPr>
          <w:sz w:val="20"/>
        </w:rPr>
      </w:pPr>
      <w:r w:rsidRPr="00D72319">
        <w:rPr>
          <w:sz w:val="20"/>
        </w:rPr>
        <w:t>None.</w:t>
      </w:r>
    </w:p>
    <w:p w14:paraId="1951FEBD" w14:textId="77777777" w:rsidR="00A95A22" w:rsidRPr="00D72319" w:rsidRDefault="00A95A22" w:rsidP="00A95A22">
      <w:pPr>
        <w:pStyle w:val="BodyText"/>
        <w:rPr>
          <w:sz w:val="20"/>
        </w:rPr>
      </w:pPr>
    </w:p>
    <w:p w14:paraId="79A65127" w14:textId="2A6E1AE9" w:rsidR="00A95A22" w:rsidRDefault="00A95A22" w:rsidP="00A95A22">
      <w:pPr>
        <w:pStyle w:val="List"/>
        <w:numPr>
          <w:ilvl w:val="0"/>
          <w:numId w:val="2"/>
        </w:numPr>
        <w:spacing w:before="120"/>
        <w:rPr>
          <w:b/>
          <w:sz w:val="20"/>
        </w:rPr>
      </w:pPr>
      <w:r w:rsidRPr="00D72319">
        <w:rPr>
          <w:b/>
          <w:sz w:val="20"/>
        </w:rPr>
        <w:t>Provide details of any securities issued and options or warrants granted.</w:t>
      </w:r>
      <w:r w:rsidR="00987008">
        <w:rPr>
          <w:b/>
          <w:sz w:val="20"/>
        </w:rPr>
        <w:br/>
      </w:r>
    </w:p>
    <w:p w14:paraId="6402166C" w14:textId="77777777" w:rsidR="004D3486" w:rsidRDefault="004D3486" w:rsidP="004D3486">
      <w:pPr>
        <w:pStyle w:val="List"/>
        <w:spacing w:before="120"/>
        <w:ind w:left="720" w:firstLine="0"/>
        <w:rPr>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3510"/>
        <w:gridCol w:w="1278"/>
      </w:tblGrid>
      <w:tr w:rsidR="004D3486" w:rsidRPr="00D72319" w14:paraId="64D32933" w14:textId="77777777" w:rsidTr="00987008">
        <w:trPr>
          <w:cantSplit/>
          <w:tblHeader/>
        </w:trPr>
        <w:tc>
          <w:tcPr>
            <w:tcW w:w="2394" w:type="dxa"/>
          </w:tcPr>
          <w:p w14:paraId="67F8A48F" w14:textId="77777777" w:rsidR="004D3486" w:rsidRPr="00D72319" w:rsidRDefault="004D3486" w:rsidP="00642FDB">
            <w:pPr>
              <w:pStyle w:val="List"/>
              <w:tabs>
                <w:tab w:val="left" w:pos="360"/>
              </w:tabs>
              <w:spacing w:before="0" w:line="280" w:lineRule="exact"/>
              <w:ind w:left="0" w:firstLine="0"/>
              <w:jc w:val="center"/>
              <w:rPr>
                <w:b/>
                <w:sz w:val="20"/>
              </w:rPr>
            </w:pPr>
            <w:r w:rsidRPr="00D72319">
              <w:rPr>
                <w:b/>
                <w:sz w:val="20"/>
              </w:rPr>
              <w:t>Security</w:t>
            </w:r>
          </w:p>
        </w:tc>
        <w:tc>
          <w:tcPr>
            <w:tcW w:w="2394" w:type="dxa"/>
          </w:tcPr>
          <w:p w14:paraId="48CDE2AE" w14:textId="77777777" w:rsidR="004D3486" w:rsidRPr="00D72319" w:rsidRDefault="004D3486" w:rsidP="00642FDB">
            <w:pPr>
              <w:pStyle w:val="List"/>
              <w:tabs>
                <w:tab w:val="left" w:pos="360"/>
              </w:tabs>
              <w:spacing w:before="0" w:line="280" w:lineRule="exact"/>
              <w:ind w:left="0" w:firstLine="0"/>
              <w:jc w:val="center"/>
              <w:rPr>
                <w:b/>
                <w:sz w:val="20"/>
              </w:rPr>
            </w:pPr>
            <w:r w:rsidRPr="00D72319">
              <w:rPr>
                <w:b/>
                <w:sz w:val="20"/>
              </w:rPr>
              <w:t>Number Issued</w:t>
            </w:r>
          </w:p>
        </w:tc>
        <w:tc>
          <w:tcPr>
            <w:tcW w:w="3510" w:type="dxa"/>
          </w:tcPr>
          <w:p w14:paraId="1D7E1A29" w14:textId="77777777" w:rsidR="004D3486" w:rsidRPr="00D72319" w:rsidRDefault="004D3486" w:rsidP="00642FDB">
            <w:pPr>
              <w:pStyle w:val="List"/>
              <w:tabs>
                <w:tab w:val="left" w:pos="360"/>
              </w:tabs>
              <w:spacing w:before="0" w:line="280" w:lineRule="exact"/>
              <w:ind w:left="0" w:firstLine="0"/>
              <w:jc w:val="center"/>
              <w:rPr>
                <w:b/>
                <w:sz w:val="20"/>
              </w:rPr>
            </w:pPr>
            <w:r w:rsidRPr="00D72319">
              <w:rPr>
                <w:b/>
                <w:sz w:val="20"/>
              </w:rPr>
              <w:t>Details of Issuance</w:t>
            </w:r>
          </w:p>
        </w:tc>
        <w:tc>
          <w:tcPr>
            <w:tcW w:w="1278" w:type="dxa"/>
          </w:tcPr>
          <w:p w14:paraId="09BE4E6C" w14:textId="77777777" w:rsidR="004D3486" w:rsidRPr="00D72319" w:rsidRDefault="004D3486" w:rsidP="00642FDB">
            <w:pPr>
              <w:pStyle w:val="List"/>
              <w:tabs>
                <w:tab w:val="left" w:pos="360"/>
              </w:tabs>
              <w:spacing w:before="0" w:line="280" w:lineRule="exact"/>
              <w:ind w:left="0" w:firstLine="0"/>
              <w:jc w:val="center"/>
              <w:rPr>
                <w:b/>
                <w:sz w:val="20"/>
              </w:rPr>
            </w:pPr>
            <w:r w:rsidRPr="00D72319">
              <w:rPr>
                <w:b/>
                <w:sz w:val="20"/>
              </w:rPr>
              <w:t>Use of Proceeds</w:t>
            </w:r>
          </w:p>
        </w:tc>
      </w:tr>
      <w:tr w:rsidR="004D3486" w:rsidRPr="00D72319" w14:paraId="099103DE" w14:textId="77777777" w:rsidTr="00987008">
        <w:trPr>
          <w:cantSplit/>
        </w:trPr>
        <w:tc>
          <w:tcPr>
            <w:tcW w:w="2394" w:type="dxa"/>
          </w:tcPr>
          <w:p w14:paraId="13E06A90" w14:textId="6639CF65" w:rsidR="004D3486" w:rsidRPr="00D72319" w:rsidRDefault="001E7881" w:rsidP="00642FDB">
            <w:pPr>
              <w:pStyle w:val="List"/>
              <w:tabs>
                <w:tab w:val="left" w:pos="360"/>
              </w:tabs>
              <w:spacing w:before="0" w:line="280" w:lineRule="exact"/>
              <w:ind w:left="0" w:firstLine="0"/>
              <w:jc w:val="left"/>
              <w:rPr>
                <w:sz w:val="20"/>
              </w:rPr>
            </w:pPr>
            <w:r w:rsidRPr="00D72319">
              <w:rPr>
                <w:sz w:val="20"/>
              </w:rPr>
              <w:t xml:space="preserve">Common </w:t>
            </w:r>
            <w:r>
              <w:rPr>
                <w:sz w:val="20"/>
              </w:rPr>
              <w:t>S</w:t>
            </w:r>
            <w:r w:rsidRPr="00D72319">
              <w:rPr>
                <w:sz w:val="20"/>
              </w:rPr>
              <w:t>hares</w:t>
            </w:r>
          </w:p>
        </w:tc>
        <w:tc>
          <w:tcPr>
            <w:tcW w:w="2394" w:type="dxa"/>
          </w:tcPr>
          <w:p w14:paraId="2364D268" w14:textId="5234EB31" w:rsidR="004D3486" w:rsidRPr="00D72319" w:rsidRDefault="003A0EBA" w:rsidP="00642FDB">
            <w:pPr>
              <w:pStyle w:val="List"/>
              <w:tabs>
                <w:tab w:val="left" w:pos="360"/>
              </w:tabs>
              <w:spacing w:before="0" w:line="280" w:lineRule="exact"/>
              <w:ind w:left="0" w:firstLine="0"/>
              <w:jc w:val="left"/>
              <w:rPr>
                <w:sz w:val="20"/>
              </w:rPr>
            </w:pPr>
            <w:r>
              <w:rPr>
                <w:sz w:val="20"/>
              </w:rPr>
              <w:t>901,841</w:t>
            </w:r>
          </w:p>
        </w:tc>
        <w:tc>
          <w:tcPr>
            <w:tcW w:w="3510" w:type="dxa"/>
          </w:tcPr>
          <w:p w14:paraId="6DE8AD2E" w14:textId="303FF92B" w:rsidR="004D3486" w:rsidRPr="00D72319" w:rsidRDefault="001E7881" w:rsidP="00642FDB">
            <w:pPr>
              <w:pStyle w:val="List"/>
              <w:tabs>
                <w:tab w:val="left" w:pos="360"/>
              </w:tabs>
              <w:spacing w:before="0" w:line="280" w:lineRule="exact"/>
              <w:ind w:left="0" w:firstLine="0"/>
              <w:jc w:val="left"/>
              <w:rPr>
                <w:sz w:val="20"/>
              </w:rPr>
            </w:pPr>
            <w:r>
              <w:rPr>
                <w:sz w:val="20"/>
              </w:rPr>
              <w:t>Conversion of</w:t>
            </w:r>
            <w:r w:rsidRPr="00D72319">
              <w:rPr>
                <w:sz w:val="20"/>
              </w:rPr>
              <w:t xml:space="preserve"> Subscription Receipts</w:t>
            </w:r>
          </w:p>
        </w:tc>
        <w:tc>
          <w:tcPr>
            <w:tcW w:w="1278" w:type="dxa"/>
          </w:tcPr>
          <w:p w14:paraId="1248AFE8" w14:textId="5F8A448E" w:rsidR="004D3486" w:rsidRPr="00D72319" w:rsidRDefault="001E7881" w:rsidP="00642FDB">
            <w:pPr>
              <w:pStyle w:val="List"/>
              <w:tabs>
                <w:tab w:val="left" w:pos="360"/>
              </w:tabs>
              <w:spacing w:before="0" w:line="280" w:lineRule="exact"/>
              <w:ind w:left="0" w:firstLine="0"/>
              <w:jc w:val="left"/>
              <w:rPr>
                <w:sz w:val="20"/>
              </w:rPr>
            </w:pPr>
            <w:r w:rsidRPr="00D72319">
              <w:rPr>
                <w:sz w:val="20"/>
              </w:rPr>
              <w:t>N/A</w:t>
            </w:r>
          </w:p>
        </w:tc>
      </w:tr>
      <w:tr w:rsidR="004D3486" w:rsidRPr="00D72319" w14:paraId="49A55737" w14:textId="77777777" w:rsidTr="00987008">
        <w:trPr>
          <w:cantSplit/>
        </w:trPr>
        <w:tc>
          <w:tcPr>
            <w:tcW w:w="2394" w:type="dxa"/>
          </w:tcPr>
          <w:p w14:paraId="1B4E120D" w14:textId="6864763A" w:rsidR="004D3486" w:rsidRPr="00D72319" w:rsidRDefault="003A0EBA" w:rsidP="00642FDB">
            <w:pPr>
              <w:pStyle w:val="List"/>
              <w:tabs>
                <w:tab w:val="left" w:pos="360"/>
              </w:tabs>
              <w:spacing w:before="0" w:line="280" w:lineRule="exact"/>
              <w:ind w:left="0" w:firstLine="0"/>
              <w:jc w:val="left"/>
              <w:rPr>
                <w:sz w:val="20"/>
              </w:rPr>
            </w:pPr>
            <w:r>
              <w:rPr>
                <w:sz w:val="20"/>
              </w:rPr>
              <w:t>Common Shares</w:t>
            </w:r>
          </w:p>
        </w:tc>
        <w:tc>
          <w:tcPr>
            <w:tcW w:w="2394" w:type="dxa"/>
          </w:tcPr>
          <w:p w14:paraId="1D172B41" w14:textId="28B6DB51" w:rsidR="004D3486" w:rsidRPr="00D72319" w:rsidRDefault="003A0EBA" w:rsidP="00642FDB">
            <w:pPr>
              <w:pStyle w:val="List"/>
              <w:tabs>
                <w:tab w:val="left" w:pos="360"/>
              </w:tabs>
              <w:spacing w:before="0" w:line="280" w:lineRule="exact"/>
              <w:ind w:left="0" w:firstLine="0"/>
              <w:jc w:val="left"/>
              <w:rPr>
                <w:sz w:val="20"/>
              </w:rPr>
            </w:pPr>
            <w:r>
              <w:rPr>
                <w:sz w:val="20"/>
              </w:rPr>
              <w:t>250,000</w:t>
            </w:r>
          </w:p>
        </w:tc>
        <w:tc>
          <w:tcPr>
            <w:tcW w:w="3510" w:type="dxa"/>
          </w:tcPr>
          <w:p w14:paraId="1CE32EBD" w14:textId="6BCE6BB4" w:rsidR="004D3486" w:rsidRPr="00D72319" w:rsidRDefault="003A0EBA" w:rsidP="00642FDB">
            <w:pPr>
              <w:pStyle w:val="List"/>
              <w:tabs>
                <w:tab w:val="left" w:pos="360"/>
              </w:tabs>
              <w:spacing w:before="0" w:line="280" w:lineRule="exact"/>
              <w:ind w:left="0" w:firstLine="0"/>
              <w:jc w:val="left"/>
              <w:rPr>
                <w:sz w:val="20"/>
              </w:rPr>
            </w:pPr>
            <w:r>
              <w:rPr>
                <w:sz w:val="20"/>
              </w:rPr>
              <w:t xml:space="preserve">Options exercised </w:t>
            </w:r>
          </w:p>
        </w:tc>
        <w:tc>
          <w:tcPr>
            <w:tcW w:w="1278" w:type="dxa"/>
          </w:tcPr>
          <w:p w14:paraId="5284BF22" w14:textId="050001B8" w:rsidR="004D3486" w:rsidRPr="00D72319" w:rsidRDefault="003A0EBA" w:rsidP="00642FDB">
            <w:pPr>
              <w:pStyle w:val="List"/>
              <w:tabs>
                <w:tab w:val="left" w:pos="360"/>
              </w:tabs>
              <w:spacing w:before="0" w:line="280" w:lineRule="exact"/>
              <w:ind w:left="0" w:firstLine="0"/>
              <w:jc w:val="left"/>
              <w:rPr>
                <w:sz w:val="20"/>
              </w:rPr>
            </w:pPr>
            <w:r w:rsidRPr="00D72319">
              <w:rPr>
                <w:sz w:val="20"/>
              </w:rPr>
              <w:t>N/A</w:t>
            </w:r>
          </w:p>
        </w:tc>
      </w:tr>
    </w:tbl>
    <w:p w14:paraId="782614CB" w14:textId="77777777" w:rsidR="004D3486" w:rsidRPr="00D72319" w:rsidRDefault="004D3486" w:rsidP="004D3486">
      <w:pPr>
        <w:pStyle w:val="List"/>
        <w:spacing w:before="120"/>
        <w:rPr>
          <w:b/>
          <w:sz w:val="20"/>
        </w:rPr>
      </w:pPr>
    </w:p>
    <w:p w14:paraId="7C8443B8" w14:textId="77777777" w:rsidR="00A95A22" w:rsidRPr="00D72319" w:rsidRDefault="00A95A22" w:rsidP="00A95A22">
      <w:pPr>
        <w:pStyle w:val="List"/>
        <w:spacing w:before="120"/>
        <w:ind w:left="0" w:firstLine="0"/>
        <w:rPr>
          <w:b/>
          <w:sz w:val="20"/>
        </w:rPr>
      </w:pPr>
    </w:p>
    <w:p w14:paraId="7926E21A" w14:textId="77777777" w:rsidR="00A95A22" w:rsidRPr="00D72319" w:rsidRDefault="00A95A22" w:rsidP="00A95A22">
      <w:pPr>
        <w:pStyle w:val="List"/>
        <w:keepNext/>
        <w:keepLines/>
        <w:numPr>
          <w:ilvl w:val="0"/>
          <w:numId w:val="2"/>
        </w:numPr>
        <w:spacing w:before="120"/>
        <w:rPr>
          <w:b/>
          <w:sz w:val="20"/>
        </w:rPr>
      </w:pPr>
      <w:r w:rsidRPr="00D72319">
        <w:rPr>
          <w:b/>
          <w:sz w:val="20"/>
        </w:rPr>
        <w:lastRenderedPageBreak/>
        <w:t>Provide details of any loans to or by Related Persons.</w:t>
      </w:r>
    </w:p>
    <w:p w14:paraId="63BCEDD0" w14:textId="77777777" w:rsidR="00A95A22" w:rsidRDefault="00A95A22" w:rsidP="00A95A22">
      <w:pPr>
        <w:pStyle w:val="ListParagraph"/>
      </w:pPr>
    </w:p>
    <w:p w14:paraId="61FC33D4" w14:textId="3A2082BD" w:rsidR="00A95A22" w:rsidRPr="00F02937" w:rsidRDefault="00A95A22" w:rsidP="00136CF7">
      <w:pPr>
        <w:pStyle w:val="ListParagraph"/>
        <w:jc w:val="both"/>
        <w:rPr>
          <w:rFonts w:ascii="Arial" w:hAnsi="Arial" w:cs="Arial"/>
          <w:sz w:val="20"/>
          <w:szCs w:val="20"/>
        </w:rPr>
      </w:pPr>
      <w:r>
        <w:rPr>
          <w:rFonts w:ascii="Arial" w:hAnsi="Arial" w:cs="Arial"/>
          <w:sz w:val="20"/>
          <w:szCs w:val="20"/>
        </w:rPr>
        <w:t>The Company (</w:t>
      </w:r>
      <w:r w:rsidR="001314FA">
        <w:rPr>
          <w:rFonts w:ascii="Arial" w:hAnsi="Arial" w:cs="Arial"/>
          <w:sz w:val="20"/>
          <w:szCs w:val="20"/>
        </w:rPr>
        <w:t>“</w:t>
      </w:r>
      <w:r w:rsidRPr="00987008">
        <w:rPr>
          <w:rFonts w:ascii="Arial" w:hAnsi="Arial" w:cs="Arial"/>
          <w:b/>
          <w:sz w:val="20"/>
          <w:szCs w:val="20"/>
        </w:rPr>
        <w:t>Holder</w:t>
      </w:r>
      <w:r w:rsidR="001314FA">
        <w:rPr>
          <w:rFonts w:ascii="Arial" w:hAnsi="Arial" w:cs="Arial"/>
          <w:sz w:val="20"/>
          <w:szCs w:val="20"/>
        </w:rPr>
        <w:t>”</w:t>
      </w:r>
      <w:r>
        <w:rPr>
          <w:rFonts w:ascii="Arial" w:hAnsi="Arial" w:cs="Arial"/>
          <w:sz w:val="20"/>
          <w:szCs w:val="20"/>
        </w:rPr>
        <w:t xml:space="preserve">) entered into a promissory note and security agreement </w:t>
      </w:r>
      <w:r w:rsidR="00BE541D">
        <w:rPr>
          <w:rFonts w:ascii="Arial" w:hAnsi="Arial" w:cs="Arial"/>
          <w:sz w:val="20"/>
          <w:szCs w:val="20"/>
        </w:rPr>
        <w:t xml:space="preserve">(the </w:t>
      </w:r>
      <w:r w:rsidR="001314FA">
        <w:rPr>
          <w:rFonts w:ascii="Arial" w:hAnsi="Arial" w:cs="Arial"/>
          <w:sz w:val="20"/>
          <w:szCs w:val="20"/>
        </w:rPr>
        <w:t>“</w:t>
      </w:r>
      <w:r w:rsidR="00BE541D" w:rsidRPr="00BE541D">
        <w:rPr>
          <w:rFonts w:ascii="Arial" w:hAnsi="Arial" w:cs="Arial"/>
          <w:b/>
          <w:sz w:val="20"/>
          <w:szCs w:val="20"/>
        </w:rPr>
        <w:t>Note</w:t>
      </w:r>
      <w:r w:rsidR="001314FA">
        <w:rPr>
          <w:rFonts w:ascii="Arial" w:hAnsi="Arial" w:cs="Arial"/>
          <w:sz w:val="20"/>
          <w:szCs w:val="20"/>
        </w:rPr>
        <w:t>”</w:t>
      </w:r>
      <w:r w:rsidR="00BE541D">
        <w:rPr>
          <w:rFonts w:ascii="Arial" w:hAnsi="Arial" w:cs="Arial"/>
          <w:sz w:val="20"/>
          <w:szCs w:val="20"/>
        </w:rPr>
        <w:t xml:space="preserve">) </w:t>
      </w:r>
      <w:r>
        <w:rPr>
          <w:rFonts w:ascii="Arial" w:hAnsi="Arial" w:cs="Arial"/>
          <w:sz w:val="20"/>
          <w:szCs w:val="20"/>
        </w:rPr>
        <w:t xml:space="preserve">with </w:t>
      </w:r>
      <w:r w:rsidRPr="00F02937">
        <w:rPr>
          <w:rFonts w:ascii="Arial" w:hAnsi="Arial" w:cs="Arial"/>
          <w:sz w:val="20"/>
          <w:szCs w:val="20"/>
        </w:rPr>
        <w:t>NS Holdings, Inc. (</w:t>
      </w:r>
      <w:r w:rsidR="001314FA">
        <w:rPr>
          <w:rFonts w:ascii="Arial" w:hAnsi="Arial" w:cs="Arial"/>
          <w:sz w:val="20"/>
          <w:szCs w:val="20"/>
        </w:rPr>
        <w:t>“</w:t>
      </w:r>
      <w:r w:rsidRPr="00987008">
        <w:rPr>
          <w:rFonts w:ascii="Arial" w:hAnsi="Arial" w:cs="Arial"/>
          <w:b/>
          <w:sz w:val="20"/>
          <w:szCs w:val="20"/>
        </w:rPr>
        <w:t>Maker</w:t>
      </w:r>
      <w:r w:rsidR="001314FA">
        <w:rPr>
          <w:rFonts w:ascii="Arial" w:hAnsi="Arial" w:cs="Arial"/>
          <w:sz w:val="20"/>
          <w:szCs w:val="20"/>
        </w:rPr>
        <w:t>”</w:t>
      </w:r>
      <w:r w:rsidRPr="00F02937">
        <w:rPr>
          <w:rFonts w:ascii="Arial" w:hAnsi="Arial" w:cs="Arial"/>
          <w:sz w:val="20"/>
          <w:szCs w:val="20"/>
        </w:rPr>
        <w:t>)</w:t>
      </w:r>
      <w:r>
        <w:rPr>
          <w:rFonts w:ascii="Arial" w:hAnsi="Arial" w:cs="Arial"/>
          <w:sz w:val="20"/>
          <w:szCs w:val="20"/>
        </w:rPr>
        <w:t>, which the Company currently holds a secured option to acquire.</w:t>
      </w:r>
      <w:r w:rsidRPr="00F02937">
        <w:rPr>
          <w:rFonts w:ascii="Arial" w:hAnsi="Arial" w:cs="Arial"/>
          <w:sz w:val="20"/>
          <w:szCs w:val="20"/>
        </w:rPr>
        <w:t xml:space="preserve"> </w:t>
      </w:r>
      <w:r>
        <w:rPr>
          <w:rFonts w:ascii="Arial" w:hAnsi="Arial" w:cs="Arial"/>
          <w:sz w:val="20"/>
          <w:szCs w:val="20"/>
        </w:rPr>
        <w:t xml:space="preserve">A </w:t>
      </w:r>
      <w:r w:rsidRPr="00F02937">
        <w:rPr>
          <w:rFonts w:ascii="Arial" w:hAnsi="Arial" w:cs="Arial"/>
          <w:sz w:val="20"/>
          <w:szCs w:val="20"/>
        </w:rPr>
        <w:t>total</w:t>
      </w:r>
      <w:r>
        <w:rPr>
          <w:rFonts w:ascii="Arial" w:hAnsi="Arial" w:cs="Arial"/>
          <w:sz w:val="20"/>
          <w:szCs w:val="20"/>
        </w:rPr>
        <w:t xml:space="preserve"> </w:t>
      </w:r>
      <w:r w:rsidRPr="00F02937">
        <w:rPr>
          <w:rFonts w:ascii="Arial" w:hAnsi="Arial" w:cs="Arial"/>
          <w:sz w:val="20"/>
          <w:szCs w:val="20"/>
        </w:rPr>
        <w:t xml:space="preserve">principal sum of four million, two hundred and thirty-four thousand DOLLARS and forty cents ($4,234,943.40) (the </w:t>
      </w:r>
      <w:r w:rsidR="001314FA">
        <w:rPr>
          <w:rFonts w:ascii="Arial" w:hAnsi="Arial" w:cs="Arial"/>
          <w:sz w:val="20"/>
          <w:szCs w:val="20"/>
        </w:rPr>
        <w:t>“</w:t>
      </w:r>
      <w:r w:rsidRPr="00987008">
        <w:rPr>
          <w:rFonts w:ascii="Arial" w:hAnsi="Arial" w:cs="Arial"/>
          <w:b/>
          <w:sz w:val="20"/>
          <w:szCs w:val="20"/>
        </w:rPr>
        <w:t>Principal</w:t>
      </w:r>
      <w:r w:rsidR="001314FA">
        <w:rPr>
          <w:rFonts w:ascii="Arial" w:hAnsi="Arial" w:cs="Arial"/>
          <w:sz w:val="20"/>
          <w:szCs w:val="20"/>
        </w:rPr>
        <w:t>”</w:t>
      </w:r>
      <w:r w:rsidRPr="00F02937">
        <w:rPr>
          <w:rFonts w:ascii="Arial" w:hAnsi="Arial" w:cs="Arial"/>
          <w:sz w:val="20"/>
          <w:szCs w:val="20"/>
        </w:rPr>
        <w:t xml:space="preserve">) in lawful money of US dollars, together with interest thereon from the date hereof until paid at the rate of twelve percent (12%) per annum (the </w:t>
      </w:r>
      <w:r w:rsidR="001314FA">
        <w:rPr>
          <w:rFonts w:ascii="Arial" w:hAnsi="Arial" w:cs="Arial"/>
          <w:sz w:val="20"/>
          <w:szCs w:val="20"/>
        </w:rPr>
        <w:t>“</w:t>
      </w:r>
      <w:r w:rsidRPr="00987008">
        <w:rPr>
          <w:rFonts w:ascii="Arial" w:hAnsi="Arial" w:cs="Arial"/>
          <w:b/>
          <w:sz w:val="20"/>
          <w:szCs w:val="20"/>
        </w:rPr>
        <w:t>Interest</w:t>
      </w:r>
      <w:r w:rsidR="001314FA">
        <w:rPr>
          <w:rFonts w:ascii="Arial" w:hAnsi="Arial" w:cs="Arial"/>
          <w:sz w:val="20"/>
          <w:szCs w:val="20"/>
        </w:rPr>
        <w:t>”</w:t>
      </w:r>
      <w:r w:rsidRPr="00F02937">
        <w:rPr>
          <w:rFonts w:ascii="Arial" w:hAnsi="Arial" w:cs="Arial"/>
          <w:sz w:val="20"/>
          <w:szCs w:val="20"/>
        </w:rPr>
        <w:t>)</w:t>
      </w:r>
      <w:r>
        <w:rPr>
          <w:rFonts w:ascii="Arial" w:hAnsi="Arial" w:cs="Arial"/>
          <w:sz w:val="20"/>
          <w:szCs w:val="20"/>
        </w:rPr>
        <w:t xml:space="preserve"> was approved to be advanced</w:t>
      </w:r>
      <w:r w:rsidRPr="00F02937">
        <w:rPr>
          <w:rFonts w:ascii="Arial" w:hAnsi="Arial" w:cs="Arial"/>
          <w:sz w:val="20"/>
          <w:szCs w:val="20"/>
        </w:rPr>
        <w:t>. The Principal together with all outstanding Interest, fees and expenses must be paid in full by the Maker on the earliest of any of the following dates (i) February 28, 2022; (ii) an Insolvency Default</w:t>
      </w:r>
      <w:r w:rsidR="000B223B">
        <w:rPr>
          <w:rFonts w:ascii="Arial" w:hAnsi="Arial" w:cs="Arial"/>
          <w:sz w:val="20"/>
          <w:szCs w:val="20"/>
        </w:rPr>
        <w:t xml:space="preserve"> (as such term is defined in the Note)</w:t>
      </w:r>
      <w:r w:rsidRPr="00F02937">
        <w:rPr>
          <w:rFonts w:ascii="Arial" w:hAnsi="Arial" w:cs="Arial"/>
          <w:sz w:val="20"/>
          <w:szCs w:val="20"/>
        </w:rPr>
        <w:t>; and (iii) upon demand from the Holder following an Event of Default</w:t>
      </w:r>
      <w:r w:rsidR="00BE541D">
        <w:rPr>
          <w:rFonts w:ascii="Arial" w:hAnsi="Arial" w:cs="Arial"/>
          <w:sz w:val="20"/>
          <w:szCs w:val="20"/>
        </w:rPr>
        <w:t xml:space="preserve"> (as such term is defined in the Note)</w:t>
      </w:r>
      <w:r w:rsidRPr="00F02937">
        <w:rPr>
          <w:rFonts w:ascii="Arial" w:hAnsi="Arial" w:cs="Arial"/>
          <w:sz w:val="20"/>
          <w:szCs w:val="20"/>
        </w:rPr>
        <w:t xml:space="preserve">. The Principal will be advanced by the Holder to the Maker in separate tranches (each a </w:t>
      </w:r>
      <w:r w:rsidR="001314FA">
        <w:rPr>
          <w:rFonts w:ascii="Arial" w:hAnsi="Arial" w:cs="Arial"/>
          <w:sz w:val="20"/>
          <w:szCs w:val="20"/>
        </w:rPr>
        <w:t>“</w:t>
      </w:r>
      <w:r w:rsidRPr="00987008">
        <w:rPr>
          <w:rFonts w:ascii="Arial" w:hAnsi="Arial" w:cs="Arial"/>
          <w:b/>
          <w:sz w:val="20"/>
          <w:szCs w:val="20"/>
        </w:rPr>
        <w:t>Tranche</w:t>
      </w:r>
      <w:r w:rsidR="001314FA">
        <w:rPr>
          <w:rFonts w:ascii="Arial" w:hAnsi="Arial" w:cs="Arial"/>
          <w:sz w:val="20"/>
          <w:szCs w:val="20"/>
        </w:rPr>
        <w:t>”</w:t>
      </w:r>
      <w:r w:rsidRPr="00F02937">
        <w:rPr>
          <w:rFonts w:ascii="Arial" w:hAnsi="Arial" w:cs="Arial"/>
          <w:sz w:val="20"/>
          <w:szCs w:val="20"/>
        </w:rPr>
        <w:t xml:space="preserve">) each in a minimum amount of $100,000. </w:t>
      </w:r>
      <w:r>
        <w:rPr>
          <w:rFonts w:ascii="Arial" w:hAnsi="Arial" w:cs="Arial"/>
          <w:sz w:val="20"/>
          <w:szCs w:val="20"/>
        </w:rPr>
        <w:t>The</w:t>
      </w:r>
      <w:r w:rsidRPr="00F02937">
        <w:rPr>
          <w:rFonts w:ascii="Arial" w:hAnsi="Arial" w:cs="Arial"/>
          <w:sz w:val="20"/>
          <w:szCs w:val="20"/>
        </w:rPr>
        <w:t xml:space="preserve"> first Tranche to be advanced by the </w:t>
      </w:r>
      <w:r>
        <w:rPr>
          <w:rFonts w:ascii="Arial" w:hAnsi="Arial" w:cs="Arial"/>
          <w:sz w:val="20"/>
          <w:szCs w:val="20"/>
        </w:rPr>
        <w:t xml:space="preserve">Company </w:t>
      </w:r>
      <w:r w:rsidRPr="00F02937">
        <w:rPr>
          <w:rFonts w:ascii="Arial" w:hAnsi="Arial" w:cs="Arial"/>
          <w:sz w:val="20"/>
          <w:szCs w:val="20"/>
        </w:rPr>
        <w:t xml:space="preserve">to the Maker </w:t>
      </w:r>
      <w:r>
        <w:rPr>
          <w:rFonts w:ascii="Arial" w:hAnsi="Arial" w:cs="Arial"/>
          <w:sz w:val="20"/>
          <w:szCs w:val="20"/>
        </w:rPr>
        <w:t>was</w:t>
      </w:r>
      <w:r w:rsidRPr="00F02937">
        <w:rPr>
          <w:rFonts w:ascii="Arial" w:hAnsi="Arial" w:cs="Arial"/>
          <w:sz w:val="20"/>
          <w:szCs w:val="20"/>
        </w:rPr>
        <w:t xml:space="preserve"> $3,206,187.99 </w:t>
      </w:r>
      <w:r>
        <w:rPr>
          <w:rFonts w:ascii="Arial" w:hAnsi="Arial" w:cs="Arial"/>
          <w:sz w:val="20"/>
          <w:szCs w:val="20"/>
        </w:rPr>
        <w:t>on March 25, 2019</w:t>
      </w:r>
      <w:r w:rsidRPr="00F02937">
        <w:rPr>
          <w:rFonts w:ascii="Arial" w:hAnsi="Arial" w:cs="Arial"/>
          <w:sz w:val="20"/>
          <w:szCs w:val="20"/>
        </w:rPr>
        <w:t>.</w:t>
      </w:r>
    </w:p>
    <w:p w14:paraId="235D421B" w14:textId="77777777" w:rsidR="00A95A22" w:rsidRPr="00D72319" w:rsidRDefault="00A95A22" w:rsidP="00A95A22">
      <w:pPr>
        <w:pStyle w:val="List"/>
        <w:keepNext/>
        <w:keepLines/>
        <w:numPr>
          <w:ilvl w:val="0"/>
          <w:numId w:val="2"/>
        </w:numPr>
        <w:spacing w:before="120"/>
        <w:rPr>
          <w:b/>
          <w:sz w:val="20"/>
        </w:rPr>
      </w:pPr>
      <w:r w:rsidRPr="00D72319">
        <w:rPr>
          <w:b/>
          <w:sz w:val="20"/>
        </w:rPr>
        <w:t>Provide details of any changes in directors, officers or committee members.</w:t>
      </w:r>
    </w:p>
    <w:p w14:paraId="4BBDC379" w14:textId="77777777" w:rsidR="00A95A22" w:rsidRPr="00D72319" w:rsidRDefault="00A95A22" w:rsidP="00A95A22">
      <w:pPr>
        <w:pStyle w:val="BodyText"/>
        <w:rPr>
          <w:sz w:val="20"/>
        </w:rPr>
      </w:pPr>
      <w:r w:rsidRPr="00D72319">
        <w:rPr>
          <w:sz w:val="20"/>
        </w:rPr>
        <w:t>None.</w:t>
      </w:r>
    </w:p>
    <w:p w14:paraId="4A00E59A" w14:textId="22E5B444" w:rsidR="00A95A22" w:rsidRPr="00D72319" w:rsidRDefault="00A95A22" w:rsidP="00A95A22">
      <w:pPr>
        <w:pStyle w:val="List"/>
        <w:numPr>
          <w:ilvl w:val="0"/>
          <w:numId w:val="2"/>
        </w:numPr>
        <w:spacing w:before="120"/>
        <w:rPr>
          <w:b/>
          <w:sz w:val="20"/>
        </w:rPr>
      </w:pPr>
      <w:r w:rsidRPr="00D72319">
        <w:rPr>
          <w:b/>
          <w:sz w:val="20"/>
        </w:rPr>
        <w:t>Discuss any trends which are likely to impact the Issuer including trends in the Issuer</w:t>
      </w:r>
      <w:r w:rsidR="001314FA">
        <w:rPr>
          <w:b/>
          <w:sz w:val="20"/>
        </w:rPr>
        <w:t>’</w:t>
      </w:r>
      <w:r w:rsidRPr="00D72319">
        <w:rPr>
          <w:b/>
          <w:sz w:val="20"/>
        </w:rPr>
        <w:t>s market(s) or political/regulatory trends.</w:t>
      </w:r>
    </w:p>
    <w:p w14:paraId="1F752D53" w14:textId="77777777" w:rsidR="00A95A22" w:rsidRPr="00D72319" w:rsidRDefault="00A95A22" w:rsidP="00A95A22">
      <w:pPr>
        <w:pStyle w:val="BodyText"/>
        <w:rPr>
          <w:sz w:val="20"/>
        </w:rPr>
      </w:pPr>
      <w:r w:rsidRPr="00D72319">
        <w:rPr>
          <w:sz w:val="20"/>
        </w:rPr>
        <w:t>None.</w:t>
      </w:r>
    </w:p>
    <w:p w14:paraId="0A6B4260" w14:textId="77777777" w:rsidR="004836FC" w:rsidRDefault="00651ADB"/>
    <w:sectPr w:rsidR="004836FC" w:rsidSect="007A278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7C5C" w14:textId="77777777" w:rsidR="00651ADB" w:rsidRDefault="00651ADB" w:rsidP="00426CB3">
      <w:r>
        <w:separator/>
      </w:r>
    </w:p>
  </w:endnote>
  <w:endnote w:type="continuationSeparator" w:id="0">
    <w:p w14:paraId="41EAA0C9" w14:textId="77777777" w:rsidR="00651ADB" w:rsidRDefault="00651ADB" w:rsidP="0042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1DF7" w14:textId="77777777" w:rsidR="00651ADB" w:rsidRDefault="00651ADB" w:rsidP="00426CB3">
      <w:r>
        <w:separator/>
      </w:r>
    </w:p>
  </w:footnote>
  <w:footnote w:type="continuationSeparator" w:id="0">
    <w:p w14:paraId="26A7638B" w14:textId="77777777" w:rsidR="00651ADB" w:rsidRDefault="00651ADB" w:rsidP="0042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7D17" w14:textId="7BF42966" w:rsidR="00507D99" w:rsidRPr="00507D99" w:rsidRDefault="00507D99" w:rsidP="00507D99">
    <w:pPr>
      <w:pStyle w:val="Header"/>
      <w:jc w:val="right"/>
      <w:rPr>
        <w:rFonts w:ascii="Arial" w:hAnsi="Arial" w:cs="Arial"/>
        <w:i/>
        <w:color w:val="7030A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A95A22"/>
    <w:rsid w:val="000B223B"/>
    <w:rsid w:val="001314FA"/>
    <w:rsid w:val="00136CF7"/>
    <w:rsid w:val="001E7881"/>
    <w:rsid w:val="002E3087"/>
    <w:rsid w:val="003A0EBA"/>
    <w:rsid w:val="003A47B6"/>
    <w:rsid w:val="00426CB3"/>
    <w:rsid w:val="004D3486"/>
    <w:rsid w:val="00507D99"/>
    <w:rsid w:val="00651ADB"/>
    <w:rsid w:val="0067162B"/>
    <w:rsid w:val="006F125F"/>
    <w:rsid w:val="006F5FD1"/>
    <w:rsid w:val="007A278A"/>
    <w:rsid w:val="007D3B39"/>
    <w:rsid w:val="008A55CB"/>
    <w:rsid w:val="00987008"/>
    <w:rsid w:val="009B450D"/>
    <w:rsid w:val="00A95A22"/>
    <w:rsid w:val="00BE541D"/>
    <w:rsid w:val="00D4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1F76"/>
  <w14:defaultImageDpi w14:val="330"/>
  <w15:chartTrackingRefBased/>
  <w15:docId w15:val="{ABBA0247-6435-7943-8447-48F1E17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A2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A22"/>
    <w:pPr>
      <w:spacing w:before="240"/>
      <w:ind w:left="720"/>
      <w:jc w:val="both"/>
    </w:pPr>
    <w:rPr>
      <w:rFonts w:ascii="Arial" w:hAnsi="Arial"/>
      <w:sz w:val="22"/>
      <w:lang w:val="en-GB"/>
    </w:rPr>
  </w:style>
  <w:style w:type="character" w:customStyle="1" w:styleId="BodyTextChar">
    <w:name w:val="Body Text Char"/>
    <w:basedOn w:val="DefaultParagraphFont"/>
    <w:link w:val="BodyText"/>
    <w:rsid w:val="00A95A22"/>
    <w:rPr>
      <w:rFonts w:ascii="Arial" w:eastAsia="Times New Roman" w:hAnsi="Arial" w:cs="Times New Roman"/>
      <w:sz w:val="22"/>
      <w:lang w:val="en-GB"/>
    </w:rPr>
  </w:style>
  <w:style w:type="paragraph" w:styleId="List">
    <w:name w:val="List"/>
    <w:basedOn w:val="BodyText"/>
    <w:rsid w:val="00A95A22"/>
    <w:pPr>
      <w:ind w:left="1080" w:hanging="1080"/>
    </w:pPr>
  </w:style>
  <w:style w:type="paragraph" w:styleId="Title">
    <w:name w:val="Title"/>
    <w:basedOn w:val="BodyText"/>
    <w:link w:val="TitleChar"/>
    <w:qFormat/>
    <w:rsid w:val="00A95A22"/>
    <w:pPr>
      <w:spacing w:after="240"/>
      <w:jc w:val="center"/>
    </w:pPr>
    <w:rPr>
      <w:b/>
      <w:sz w:val="40"/>
    </w:rPr>
  </w:style>
  <w:style w:type="character" w:customStyle="1" w:styleId="TitleChar">
    <w:name w:val="Title Char"/>
    <w:basedOn w:val="DefaultParagraphFont"/>
    <w:link w:val="Title"/>
    <w:rsid w:val="00A95A22"/>
    <w:rPr>
      <w:rFonts w:ascii="Arial" w:eastAsia="Times New Roman" w:hAnsi="Arial" w:cs="Times New Roman"/>
      <w:b/>
      <w:sz w:val="40"/>
      <w:lang w:val="en-GB"/>
    </w:rPr>
  </w:style>
  <w:style w:type="paragraph" w:styleId="ListParagraph">
    <w:name w:val="List Paragraph"/>
    <w:basedOn w:val="Normal"/>
    <w:uiPriority w:val="34"/>
    <w:qFormat/>
    <w:rsid w:val="00A95A22"/>
    <w:pPr>
      <w:ind w:left="720"/>
      <w:contextualSpacing/>
    </w:pPr>
  </w:style>
  <w:style w:type="paragraph" w:customStyle="1" w:styleId="TextJustified">
    <w:name w:val="Text Justified"/>
    <w:basedOn w:val="Normal"/>
    <w:link w:val="TextJustifiedChar"/>
    <w:qFormat/>
    <w:rsid w:val="00A95A22"/>
    <w:pPr>
      <w:spacing w:after="240" w:line="276" w:lineRule="auto"/>
      <w:jc w:val="both"/>
    </w:pPr>
    <w:rPr>
      <w:rFonts w:ascii="Arial" w:eastAsiaTheme="minorHAnsi" w:hAnsi="Arial" w:cstheme="minorBidi"/>
    </w:rPr>
  </w:style>
  <w:style w:type="character" w:customStyle="1" w:styleId="TextJustifiedChar">
    <w:name w:val="Text Justified Char"/>
    <w:basedOn w:val="DefaultParagraphFont"/>
    <w:link w:val="TextJustified"/>
    <w:rsid w:val="00A95A22"/>
    <w:rPr>
      <w:rFonts w:ascii="Arial" w:hAnsi="Arial"/>
      <w:lang w:val="en-CA"/>
    </w:rPr>
  </w:style>
  <w:style w:type="paragraph" w:styleId="Header">
    <w:name w:val="header"/>
    <w:basedOn w:val="Normal"/>
    <w:link w:val="HeaderChar"/>
    <w:uiPriority w:val="99"/>
    <w:unhideWhenUsed/>
    <w:rsid w:val="00426CB3"/>
    <w:pPr>
      <w:tabs>
        <w:tab w:val="center" w:pos="4680"/>
        <w:tab w:val="right" w:pos="9360"/>
      </w:tabs>
    </w:pPr>
  </w:style>
  <w:style w:type="character" w:customStyle="1" w:styleId="HeaderChar">
    <w:name w:val="Header Char"/>
    <w:basedOn w:val="DefaultParagraphFont"/>
    <w:link w:val="Header"/>
    <w:uiPriority w:val="99"/>
    <w:rsid w:val="00426CB3"/>
    <w:rPr>
      <w:rFonts w:ascii="Times New Roman" w:eastAsia="Times New Roman" w:hAnsi="Times New Roman" w:cs="Times New Roman"/>
      <w:lang w:val="en-CA"/>
    </w:rPr>
  </w:style>
  <w:style w:type="paragraph" w:styleId="Footer">
    <w:name w:val="footer"/>
    <w:basedOn w:val="Normal"/>
    <w:link w:val="FooterChar"/>
    <w:uiPriority w:val="99"/>
    <w:unhideWhenUsed/>
    <w:rsid w:val="00426CB3"/>
    <w:pPr>
      <w:tabs>
        <w:tab w:val="center" w:pos="4680"/>
        <w:tab w:val="right" w:pos="9360"/>
      </w:tabs>
    </w:pPr>
  </w:style>
  <w:style w:type="character" w:customStyle="1" w:styleId="FooterChar">
    <w:name w:val="Footer Char"/>
    <w:basedOn w:val="DefaultParagraphFont"/>
    <w:link w:val="Footer"/>
    <w:uiPriority w:val="99"/>
    <w:rsid w:val="00426CB3"/>
    <w:rPr>
      <w:rFonts w:ascii="Times New Roman" w:eastAsia="Times New Roman" w:hAnsi="Times New Roman" w:cs="Times New Roman"/>
      <w:lang w:val="en-CA"/>
    </w:rPr>
  </w:style>
  <w:style w:type="character" w:customStyle="1" w:styleId="DocID">
    <w:name w:val="DocID"/>
    <w:basedOn w:val="DefaultParagraphFont"/>
    <w:rsid w:val="00426CB3"/>
    <w:rPr>
      <w:rFonts w:ascii="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Rutherford</dc:creator>
  <cp:keywords/>
  <dc:description/>
  <cp:lastModifiedBy>Mikel Rutherford</cp:lastModifiedBy>
  <cp:revision>16</cp:revision>
  <dcterms:created xsi:type="dcterms:W3CDTF">2019-04-07T17:51:00Z</dcterms:created>
  <dcterms:modified xsi:type="dcterms:W3CDTF">2019-04-09T02:00:00Z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39107779_1|NATDOCS</vt:lpwstr>
  </property>
</Properties>
</file>