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EF5E" w14:textId="77777777" w:rsidR="00A95A22" w:rsidRPr="00D72319" w:rsidRDefault="00A95A22" w:rsidP="004E4EEE">
      <w:pPr>
        <w:pStyle w:val="Title"/>
        <w:spacing w:before="0" w:after="0"/>
        <w:rPr>
          <w:color w:val="000000"/>
          <w:sz w:val="20"/>
          <w:u w:val="single"/>
        </w:rPr>
      </w:pPr>
      <w:bookmarkStart w:id="0" w:name="_Toc370788688"/>
      <w:bookmarkStart w:id="1" w:name="_Toc398005544"/>
      <w:bookmarkStart w:id="2" w:name="_Toc412279961"/>
      <w:bookmarkStart w:id="3" w:name="_Toc419096464"/>
      <w:r w:rsidRPr="00D72319">
        <w:rPr>
          <w:color w:val="000000"/>
          <w:sz w:val="20"/>
        </w:rPr>
        <w:t>FORM 7</w:t>
      </w:r>
      <w:r w:rsidRPr="00D72319">
        <w:rPr>
          <w:color w:val="000000"/>
          <w:sz w:val="20"/>
        </w:rPr>
        <w:br/>
      </w:r>
      <w:r w:rsidRPr="00D72319">
        <w:rPr>
          <w:color w:val="000000"/>
          <w:sz w:val="20"/>
        </w:rPr>
        <w:br/>
      </w:r>
      <w:r w:rsidRPr="00D72319">
        <w:rPr>
          <w:color w:val="000000"/>
          <w:sz w:val="20"/>
          <w:u w:val="single"/>
        </w:rPr>
        <w:t>MONTHLY PROGRESS REPORT</w:t>
      </w:r>
      <w:bookmarkEnd w:id="0"/>
      <w:bookmarkEnd w:id="1"/>
      <w:bookmarkEnd w:id="2"/>
      <w:bookmarkEnd w:id="3"/>
    </w:p>
    <w:p w14:paraId="728F3AA9" w14:textId="77777777" w:rsidR="004E4EEE" w:rsidRDefault="004E4EEE" w:rsidP="004E4EEE">
      <w:pPr>
        <w:pStyle w:val="BodyText"/>
        <w:tabs>
          <w:tab w:val="left" w:pos="0"/>
        </w:tabs>
        <w:spacing w:before="0"/>
        <w:rPr>
          <w:color w:val="000000"/>
          <w:sz w:val="20"/>
        </w:rPr>
      </w:pPr>
    </w:p>
    <w:p w14:paraId="7097A6F6" w14:textId="2894E12D" w:rsidR="00A95A22" w:rsidRPr="00D72319" w:rsidRDefault="00A95A22" w:rsidP="004E4EEE">
      <w:pPr>
        <w:pStyle w:val="BodyText"/>
        <w:tabs>
          <w:tab w:val="left" w:pos="0"/>
        </w:tabs>
        <w:spacing w:before="0"/>
        <w:rPr>
          <w:color w:val="000000"/>
          <w:sz w:val="20"/>
        </w:rPr>
      </w:pPr>
      <w:r w:rsidRPr="00D72319">
        <w:rPr>
          <w:color w:val="000000"/>
          <w:sz w:val="20"/>
        </w:rPr>
        <w:t xml:space="preserve">Name of Listed Issuer: </w:t>
      </w:r>
      <w:r w:rsidRPr="00D72319">
        <w:rPr>
          <w:color w:val="000000"/>
          <w:sz w:val="20"/>
          <w:u w:val="single"/>
        </w:rPr>
        <w:tab/>
        <w:t>SLANG Worldwide Inc.</w:t>
      </w:r>
      <w:r w:rsidRPr="00D72319">
        <w:rPr>
          <w:color w:val="000000"/>
          <w:sz w:val="20"/>
          <w:u w:val="single"/>
        </w:rPr>
        <w:tab/>
        <w:t xml:space="preserve">   </w:t>
      </w:r>
      <w:r w:rsidRPr="00D72319">
        <w:rPr>
          <w:color w:val="000000"/>
          <w:sz w:val="20"/>
          <w:u w:val="single"/>
        </w:rPr>
        <w:tab/>
      </w:r>
      <w:r w:rsidRPr="00D72319">
        <w:rPr>
          <w:color w:val="000000"/>
          <w:sz w:val="20"/>
          <w:u w:val="single"/>
        </w:rPr>
        <w:tab/>
      </w:r>
      <w:r w:rsidRPr="00D72319">
        <w:rPr>
          <w:color w:val="000000"/>
          <w:sz w:val="20"/>
        </w:rPr>
        <w:t xml:space="preserve">(the </w:t>
      </w:r>
      <w:r w:rsidR="001314FA">
        <w:rPr>
          <w:color w:val="000000"/>
          <w:sz w:val="20"/>
        </w:rPr>
        <w:t>“</w:t>
      </w:r>
      <w:r w:rsidRPr="00507D99">
        <w:rPr>
          <w:b/>
          <w:color w:val="000000"/>
          <w:sz w:val="20"/>
        </w:rPr>
        <w:t>Issuer</w:t>
      </w:r>
      <w:r w:rsidR="001314FA">
        <w:rPr>
          <w:color w:val="000000"/>
          <w:sz w:val="20"/>
        </w:rPr>
        <w:t>”</w:t>
      </w:r>
      <w:r w:rsidRPr="00D72319">
        <w:rPr>
          <w:color w:val="000000"/>
          <w:sz w:val="20"/>
        </w:rPr>
        <w:t>).</w:t>
      </w:r>
    </w:p>
    <w:p w14:paraId="1BB47245" w14:textId="77777777" w:rsidR="004E4EEE" w:rsidRDefault="004E4EEE" w:rsidP="004E4EEE">
      <w:pPr>
        <w:pStyle w:val="BodyText"/>
        <w:tabs>
          <w:tab w:val="left" w:pos="7920"/>
          <w:tab w:val="left" w:pos="9180"/>
        </w:tabs>
        <w:spacing w:before="0"/>
        <w:rPr>
          <w:color w:val="000000"/>
          <w:sz w:val="20"/>
        </w:rPr>
      </w:pPr>
    </w:p>
    <w:p w14:paraId="04ED25F4" w14:textId="7BCA51E3" w:rsidR="00A95A22" w:rsidRPr="00D72319" w:rsidRDefault="00A95A22" w:rsidP="004E4EEE">
      <w:pPr>
        <w:pStyle w:val="BodyText"/>
        <w:tabs>
          <w:tab w:val="left" w:pos="7920"/>
          <w:tab w:val="left" w:pos="9180"/>
        </w:tabs>
        <w:spacing w:before="0"/>
        <w:rPr>
          <w:color w:val="000000"/>
          <w:sz w:val="20"/>
        </w:rPr>
      </w:pPr>
      <w:r w:rsidRPr="00D72319">
        <w:rPr>
          <w:color w:val="000000"/>
          <w:sz w:val="20"/>
        </w:rPr>
        <w:t xml:space="preserve">Trading Symbol: </w:t>
      </w:r>
      <w:r w:rsidRPr="00D72319">
        <w:rPr>
          <w:color w:val="000000"/>
          <w:sz w:val="20"/>
          <w:u w:val="single"/>
        </w:rPr>
        <w:t>SLNG</w:t>
      </w:r>
      <w:r w:rsidRPr="00D72319">
        <w:rPr>
          <w:color w:val="000000"/>
          <w:sz w:val="20"/>
          <w:u w:val="single"/>
        </w:rPr>
        <w:tab/>
      </w:r>
    </w:p>
    <w:p w14:paraId="66383A21" w14:textId="77777777" w:rsidR="004E4EEE" w:rsidRDefault="004E4EEE" w:rsidP="004E4EEE">
      <w:pPr>
        <w:pStyle w:val="BodyText"/>
        <w:tabs>
          <w:tab w:val="left" w:pos="7920"/>
          <w:tab w:val="left" w:pos="9180"/>
        </w:tabs>
        <w:spacing w:before="0"/>
        <w:rPr>
          <w:color w:val="000000"/>
          <w:sz w:val="20"/>
        </w:rPr>
      </w:pPr>
    </w:p>
    <w:p w14:paraId="18D5BB6A" w14:textId="58C2D577" w:rsidR="00A95A22" w:rsidRPr="00D72319" w:rsidRDefault="00A95A22" w:rsidP="004E4EEE">
      <w:pPr>
        <w:pStyle w:val="BodyText"/>
        <w:tabs>
          <w:tab w:val="left" w:pos="7920"/>
          <w:tab w:val="left" w:pos="9180"/>
        </w:tabs>
        <w:spacing w:before="0"/>
        <w:rPr>
          <w:color w:val="000000"/>
          <w:sz w:val="20"/>
        </w:rPr>
      </w:pPr>
      <w:r w:rsidRPr="00D72319">
        <w:rPr>
          <w:color w:val="000000"/>
          <w:sz w:val="20"/>
        </w:rPr>
        <w:t xml:space="preserve">Number of Outstanding Listed Securities: </w:t>
      </w:r>
      <w:r w:rsidR="00AA7E6B">
        <w:rPr>
          <w:color w:val="000000"/>
          <w:sz w:val="20"/>
          <w:u w:val="single"/>
        </w:rPr>
        <w:t>213,637,077</w:t>
      </w:r>
      <w:r w:rsidRPr="00D72319">
        <w:rPr>
          <w:color w:val="000000"/>
          <w:sz w:val="20"/>
          <w:u w:val="single"/>
        </w:rPr>
        <w:tab/>
      </w:r>
      <w:r w:rsidRPr="00D72319">
        <w:rPr>
          <w:color w:val="000000"/>
          <w:sz w:val="20"/>
          <w:u w:val="single"/>
        </w:rPr>
        <w:tab/>
      </w:r>
    </w:p>
    <w:p w14:paraId="2399B334" w14:textId="77777777" w:rsidR="004E4EEE" w:rsidRDefault="004E4EEE" w:rsidP="004E4EEE">
      <w:pPr>
        <w:pStyle w:val="BodyText"/>
        <w:tabs>
          <w:tab w:val="left" w:pos="7920"/>
          <w:tab w:val="left" w:pos="9180"/>
        </w:tabs>
        <w:spacing w:before="0"/>
        <w:rPr>
          <w:color w:val="000000"/>
          <w:sz w:val="20"/>
        </w:rPr>
      </w:pPr>
    </w:p>
    <w:p w14:paraId="5A8386B5" w14:textId="0FA8DB18" w:rsidR="00A95A22" w:rsidRPr="00D72319" w:rsidRDefault="00A95A22" w:rsidP="004E4EEE">
      <w:pPr>
        <w:pStyle w:val="BodyText"/>
        <w:tabs>
          <w:tab w:val="left" w:pos="7920"/>
          <w:tab w:val="left" w:pos="9180"/>
        </w:tabs>
        <w:spacing w:before="0"/>
        <w:rPr>
          <w:color w:val="000000"/>
          <w:sz w:val="20"/>
        </w:rPr>
      </w:pPr>
      <w:r w:rsidRPr="00D72319">
        <w:rPr>
          <w:color w:val="000000"/>
          <w:sz w:val="20"/>
        </w:rPr>
        <w:t xml:space="preserve">Date:  </w:t>
      </w:r>
      <w:r w:rsidR="004E4EEE">
        <w:rPr>
          <w:color w:val="000000"/>
          <w:sz w:val="20"/>
          <w:u w:val="single"/>
        </w:rPr>
        <w:t>May</w:t>
      </w:r>
      <w:r>
        <w:rPr>
          <w:color w:val="000000"/>
          <w:sz w:val="20"/>
          <w:u w:val="single"/>
        </w:rPr>
        <w:t xml:space="preserve"> </w:t>
      </w:r>
      <w:r w:rsidR="00DB68AF">
        <w:rPr>
          <w:color w:val="000000"/>
          <w:sz w:val="20"/>
          <w:u w:val="single"/>
        </w:rPr>
        <w:t>3</w:t>
      </w:r>
      <w:r w:rsidRPr="00D72319">
        <w:rPr>
          <w:color w:val="000000"/>
          <w:sz w:val="20"/>
          <w:u w:val="single"/>
        </w:rPr>
        <w:t>, 2019</w:t>
      </w:r>
      <w:r w:rsidRPr="00D72319">
        <w:rPr>
          <w:color w:val="000000"/>
          <w:sz w:val="20"/>
          <w:u w:val="single"/>
        </w:rPr>
        <w:tab/>
      </w:r>
      <w:r w:rsidRPr="00D72319">
        <w:rPr>
          <w:color w:val="000000"/>
          <w:sz w:val="20"/>
          <w:u w:val="single"/>
        </w:rPr>
        <w:tab/>
      </w:r>
    </w:p>
    <w:p w14:paraId="7648F67D" w14:textId="77777777" w:rsidR="004E4EEE" w:rsidRDefault="004E4EEE" w:rsidP="004E4EEE">
      <w:pPr>
        <w:pStyle w:val="BodyText"/>
        <w:tabs>
          <w:tab w:val="left" w:pos="7920"/>
          <w:tab w:val="left" w:pos="9180"/>
        </w:tabs>
        <w:spacing w:before="0"/>
        <w:rPr>
          <w:color w:val="000000"/>
          <w:sz w:val="20"/>
        </w:rPr>
      </w:pPr>
    </w:p>
    <w:p w14:paraId="02D3A640" w14:textId="68251BB5" w:rsidR="00A95A22" w:rsidRDefault="00A95A22" w:rsidP="004E4EEE">
      <w:pPr>
        <w:pStyle w:val="BodyText"/>
        <w:tabs>
          <w:tab w:val="left" w:pos="7920"/>
          <w:tab w:val="left" w:pos="9180"/>
        </w:tabs>
        <w:spacing w:before="0"/>
        <w:rPr>
          <w:color w:val="000000"/>
          <w:sz w:val="20"/>
        </w:rPr>
      </w:pPr>
      <w:r w:rsidRPr="00D72319">
        <w:rPr>
          <w:color w:val="000000"/>
          <w:sz w:val="20"/>
        </w:rPr>
        <w:t>This Monthly Progress Report must be posted before the opening of trading on the fifth trading day of each month.  This report is not intended to replace the Issuer</w:t>
      </w:r>
      <w:r w:rsidR="001314FA">
        <w:rPr>
          <w:color w:val="000000"/>
          <w:sz w:val="20"/>
        </w:rPr>
        <w:t>’</w:t>
      </w:r>
      <w:r w:rsidRPr="00D72319">
        <w:rPr>
          <w:color w:val="000000"/>
          <w:sz w:val="20"/>
        </w:rPr>
        <w:t>s obligation to separately report material information forthwith upon the information becoming known to man</w:t>
      </w:r>
      <w:bookmarkStart w:id="4" w:name="_GoBack"/>
      <w:bookmarkEnd w:id="4"/>
      <w:r w:rsidRPr="00D72319">
        <w:rPr>
          <w:color w:val="000000"/>
          <w:sz w:val="20"/>
        </w:rPr>
        <w:t>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2A4EA28" w14:textId="77777777" w:rsidR="004E4EEE" w:rsidRPr="00D72319" w:rsidRDefault="004E4EEE" w:rsidP="004E4EEE">
      <w:pPr>
        <w:pStyle w:val="BodyText"/>
        <w:tabs>
          <w:tab w:val="left" w:pos="7920"/>
          <w:tab w:val="left" w:pos="9180"/>
        </w:tabs>
        <w:spacing w:before="0"/>
        <w:rPr>
          <w:color w:val="000000"/>
          <w:sz w:val="20"/>
        </w:rPr>
      </w:pPr>
    </w:p>
    <w:p w14:paraId="0C9D8639" w14:textId="3BB806F4" w:rsidR="00A95A22" w:rsidRDefault="00A95A22" w:rsidP="004E4EEE">
      <w:pPr>
        <w:pStyle w:val="BodyText"/>
        <w:tabs>
          <w:tab w:val="left" w:pos="7920"/>
          <w:tab w:val="left" w:pos="9180"/>
        </w:tabs>
        <w:spacing w:before="0"/>
        <w:rPr>
          <w:color w:val="000000"/>
          <w:sz w:val="20"/>
        </w:rPr>
      </w:pPr>
      <w:r w:rsidRPr="00D72319">
        <w:rPr>
          <w:color w:val="000000"/>
          <w:sz w:val="20"/>
        </w:rPr>
        <w:t>This report is intended to keep investors and the market informed of the Issuer</w:t>
      </w:r>
      <w:r w:rsidR="001314FA">
        <w:rPr>
          <w:color w:val="000000"/>
          <w:sz w:val="20"/>
        </w:rPr>
        <w:t>’</w:t>
      </w:r>
      <w:r w:rsidRPr="00D72319">
        <w:rPr>
          <w:color w:val="000000"/>
          <w:sz w:val="20"/>
        </w:rPr>
        <w:t xml:space="preserve">s ongoing business and management activities that occurred during the preceding month.  Do not discuss goals or future plans unless they have crystallized to the point that they are </w:t>
      </w:r>
      <w:r w:rsidR="001314FA">
        <w:rPr>
          <w:color w:val="000000"/>
          <w:sz w:val="20"/>
        </w:rPr>
        <w:t>“</w:t>
      </w:r>
      <w:r w:rsidRPr="00D72319">
        <w:rPr>
          <w:color w:val="000000"/>
          <w:sz w:val="20"/>
        </w:rPr>
        <w:t>material information</w:t>
      </w:r>
      <w:r w:rsidR="001314FA">
        <w:rPr>
          <w:color w:val="000000"/>
          <w:sz w:val="20"/>
        </w:rPr>
        <w:t>”</w:t>
      </w:r>
      <w:r w:rsidRPr="00D72319">
        <w:rPr>
          <w:color w:val="000000"/>
          <w:sz w:val="20"/>
        </w:rPr>
        <w:t xml:space="preserve"> as defined in the Policies. The discussion in this report must be factual, balanced and non-promotional.</w:t>
      </w:r>
    </w:p>
    <w:p w14:paraId="1DEF9363" w14:textId="77777777" w:rsidR="004E4EEE" w:rsidRPr="00D72319" w:rsidRDefault="004E4EEE" w:rsidP="004E4EEE">
      <w:pPr>
        <w:pStyle w:val="BodyText"/>
        <w:tabs>
          <w:tab w:val="left" w:pos="7920"/>
          <w:tab w:val="left" w:pos="9180"/>
        </w:tabs>
        <w:spacing w:before="0"/>
        <w:rPr>
          <w:color w:val="000000"/>
          <w:sz w:val="20"/>
        </w:rPr>
      </w:pPr>
    </w:p>
    <w:p w14:paraId="1232E931" w14:textId="0AF60127" w:rsidR="00A95A22" w:rsidRDefault="00A95A22" w:rsidP="004E4EEE">
      <w:pPr>
        <w:pStyle w:val="BodyText"/>
        <w:tabs>
          <w:tab w:val="left" w:pos="7920"/>
          <w:tab w:val="left" w:pos="9180"/>
        </w:tabs>
        <w:spacing w:before="0"/>
        <w:rPr>
          <w:b/>
          <w:color w:val="000000"/>
          <w:sz w:val="20"/>
        </w:rPr>
      </w:pPr>
      <w:r w:rsidRPr="00D72319">
        <w:rPr>
          <w:b/>
          <w:color w:val="000000"/>
          <w:sz w:val="20"/>
        </w:rPr>
        <w:t>General Instructions</w:t>
      </w:r>
    </w:p>
    <w:p w14:paraId="1A96F3E3" w14:textId="77777777" w:rsidR="004E4EEE" w:rsidRPr="00D72319" w:rsidRDefault="004E4EEE" w:rsidP="004E4EEE">
      <w:pPr>
        <w:pStyle w:val="BodyText"/>
        <w:tabs>
          <w:tab w:val="left" w:pos="7920"/>
          <w:tab w:val="left" w:pos="9180"/>
        </w:tabs>
        <w:spacing w:before="0"/>
        <w:rPr>
          <w:color w:val="000000"/>
          <w:sz w:val="20"/>
        </w:rPr>
      </w:pPr>
    </w:p>
    <w:p w14:paraId="4628B4EA" w14:textId="2C170037" w:rsidR="00A95A22" w:rsidRDefault="00A95A22" w:rsidP="004E4EEE">
      <w:pPr>
        <w:pStyle w:val="BodyText"/>
        <w:numPr>
          <w:ilvl w:val="0"/>
          <w:numId w:val="1"/>
        </w:numPr>
        <w:tabs>
          <w:tab w:val="left" w:pos="1440"/>
          <w:tab w:val="left" w:pos="7920"/>
          <w:tab w:val="left" w:pos="9180"/>
        </w:tabs>
        <w:spacing w:before="0"/>
        <w:rPr>
          <w:color w:val="000000"/>
          <w:sz w:val="20"/>
        </w:rPr>
      </w:pPr>
      <w:r w:rsidRPr="00D72319">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701307" w14:textId="77777777" w:rsidR="004E4EEE" w:rsidRPr="00D72319" w:rsidRDefault="004E4EEE" w:rsidP="004E4EEE">
      <w:pPr>
        <w:pStyle w:val="BodyText"/>
        <w:tabs>
          <w:tab w:val="left" w:pos="1440"/>
          <w:tab w:val="left" w:pos="7920"/>
          <w:tab w:val="left" w:pos="9180"/>
        </w:tabs>
        <w:spacing w:before="0"/>
        <w:rPr>
          <w:color w:val="000000"/>
          <w:sz w:val="20"/>
        </w:rPr>
      </w:pPr>
    </w:p>
    <w:p w14:paraId="22B14179" w14:textId="2B96AD3D" w:rsidR="00A95A22" w:rsidRDefault="00A95A22" w:rsidP="004E4EEE">
      <w:pPr>
        <w:pStyle w:val="BodyText"/>
        <w:numPr>
          <w:ilvl w:val="0"/>
          <w:numId w:val="1"/>
        </w:numPr>
        <w:tabs>
          <w:tab w:val="left" w:pos="1440"/>
          <w:tab w:val="left" w:pos="7920"/>
          <w:tab w:val="left" w:pos="9180"/>
        </w:tabs>
        <w:spacing w:before="0"/>
        <w:rPr>
          <w:color w:val="000000"/>
          <w:sz w:val="20"/>
        </w:rPr>
      </w:pPr>
      <w:r w:rsidRPr="00D72319">
        <w:rPr>
          <w:color w:val="000000"/>
          <w:sz w:val="20"/>
        </w:rPr>
        <w:t xml:space="preserve">The term </w:t>
      </w:r>
      <w:r w:rsidR="001314FA">
        <w:rPr>
          <w:color w:val="000000"/>
          <w:sz w:val="20"/>
        </w:rPr>
        <w:t>“</w:t>
      </w:r>
      <w:r w:rsidRPr="00D72319">
        <w:rPr>
          <w:color w:val="000000"/>
          <w:sz w:val="20"/>
        </w:rPr>
        <w:t>Issuer</w:t>
      </w:r>
      <w:r w:rsidR="001314FA">
        <w:rPr>
          <w:color w:val="000000"/>
          <w:sz w:val="20"/>
        </w:rPr>
        <w:t>”</w:t>
      </w:r>
      <w:r w:rsidRPr="00D72319">
        <w:rPr>
          <w:color w:val="000000"/>
          <w:sz w:val="20"/>
        </w:rPr>
        <w:t xml:space="preserve"> includes the Issuer and any of its subsidiaries.</w:t>
      </w:r>
    </w:p>
    <w:p w14:paraId="4E80D1C1" w14:textId="77777777" w:rsidR="004E4EEE" w:rsidRPr="00D72319" w:rsidRDefault="004E4EEE" w:rsidP="004E4EEE">
      <w:pPr>
        <w:pStyle w:val="BodyText"/>
        <w:tabs>
          <w:tab w:val="left" w:pos="1440"/>
          <w:tab w:val="left" w:pos="7920"/>
          <w:tab w:val="left" w:pos="9180"/>
        </w:tabs>
        <w:spacing w:before="0"/>
        <w:rPr>
          <w:color w:val="000000"/>
          <w:sz w:val="20"/>
        </w:rPr>
      </w:pPr>
    </w:p>
    <w:p w14:paraId="052993A1" w14:textId="77777777" w:rsidR="00A95A22" w:rsidRPr="00D72319" w:rsidRDefault="00A95A22" w:rsidP="004E4EEE">
      <w:pPr>
        <w:pStyle w:val="BodyText"/>
        <w:numPr>
          <w:ilvl w:val="0"/>
          <w:numId w:val="1"/>
        </w:numPr>
        <w:tabs>
          <w:tab w:val="left" w:pos="1440"/>
          <w:tab w:val="left" w:pos="7920"/>
          <w:tab w:val="left" w:pos="9180"/>
        </w:tabs>
        <w:spacing w:before="0"/>
        <w:rPr>
          <w:color w:val="000000"/>
          <w:sz w:val="20"/>
        </w:rPr>
      </w:pPr>
      <w:r w:rsidRPr="00D72319">
        <w:rPr>
          <w:color w:val="000000"/>
          <w:sz w:val="20"/>
        </w:rPr>
        <w:t>Terms used and not defined in this form are defined or interpreted in Policy 1 – Interpretation and General Provisions.</w:t>
      </w:r>
    </w:p>
    <w:p w14:paraId="59776787" w14:textId="77777777" w:rsidR="004E4EEE" w:rsidRDefault="004E4EEE" w:rsidP="004E4EEE">
      <w:pPr>
        <w:pStyle w:val="List"/>
        <w:keepLines/>
        <w:spacing w:before="0"/>
        <w:ind w:left="0" w:firstLine="0"/>
        <w:rPr>
          <w:b/>
          <w:sz w:val="20"/>
        </w:rPr>
      </w:pPr>
    </w:p>
    <w:p w14:paraId="271144B5" w14:textId="54CB8068" w:rsidR="00A95A22" w:rsidRDefault="00A95A22" w:rsidP="004E4EEE">
      <w:pPr>
        <w:pStyle w:val="List"/>
        <w:keepLines/>
        <w:spacing w:before="0"/>
        <w:ind w:left="0" w:firstLine="720"/>
        <w:rPr>
          <w:b/>
          <w:sz w:val="20"/>
        </w:rPr>
      </w:pPr>
      <w:r w:rsidRPr="00D72319">
        <w:rPr>
          <w:b/>
          <w:sz w:val="20"/>
        </w:rPr>
        <w:t>Report on Business</w:t>
      </w:r>
    </w:p>
    <w:p w14:paraId="1E09F1DF" w14:textId="77777777" w:rsidR="004E4EEE" w:rsidRPr="00D72319" w:rsidRDefault="004E4EEE" w:rsidP="004E4EEE">
      <w:pPr>
        <w:pStyle w:val="List"/>
        <w:keepLines/>
        <w:spacing w:before="0"/>
        <w:ind w:left="0" w:firstLine="0"/>
        <w:rPr>
          <w:b/>
          <w:sz w:val="20"/>
        </w:rPr>
      </w:pPr>
    </w:p>
    <w:p w14:paraId="5C859697" w14:textId="7E289D99" w:rsidR="00A95A22" w:rsidRDefault="00A95A22" w:rsidP="004E4EEE">
      <w:pPr>
        <w:pStyle w:val="List"/>
        <w:numPr>
          <w:ilvl w:val="0"/>
          <w:numId w:val="2"/>
        </w:numPr>
        <w:spacing w:before="0"/>
        <w:rPr>
          <w:b/>
          <w:sz w:val="20"/>
        </w:rPr>
      </w:pPr>
      <w:r w:rsidRPr="00D72319">
        <w:rPr>
          <w:b/>
          <w:sz w:val="20"/>
        </w:rPr>
        <w:t>Provide a general overview and discussion of the development of the Issuer</w:t>
      </w:r>
      <w:r w:rsidR="001314FA">
        <w:rPr>
          <w:b/>
          <w:sz w:val="20"/>
        </w:rPr>
        <w:t>’</w:t>
      </w:r>
      <w:r w:rsidRPr="00D72319">
        <w:rPr>
          <w:b/>
          <w:sz w:val="20"/>
        </w:rPr>
        <w:t>s business and operations over the previous month.  Where the Issuer was inactive disclose this fact.</w:t>
      </w:r>
    </w:p>
    <w:p w14:paraId="0BEEF999" w14:textId="77777777" w:rsidR="00A95A22" w:rsidRPr="00AC71CB" w:rsidRDefault="00A95A22" w:rsidP="004E4EEE">
      <w:pPr>
        <w:pStyle w:val="ListParagraph"/>
        <w:rPr>
          <w:rFonts w:ascii="Arial" w:hAnsi="Arial" w:cs="Arial"/>
        </w:rPr>
      </w:pPr>
    </w:p>
    <w:p w14:paraId="63DE2735" w14:textId="498D9811" w:rsidR="00A1457D" w:rsidRPr="00A1457D" w:rsidRDefault="00A1457D" w:rsidP="00DD3BD7">
      <w:pPr>
        <w:ind w:left="720"/>
        <w:jc w:val="both"/>
        <w:rPr>
          <w:rFonts w:ascii="Arial" w:hAnsi="Arial" w:cs="Arial"/>
          <w:sz w:val="20"/>
          <w:szCs w:val="20"/>
        </w:rPr>
      </w:pPr>
      <w:r w:rsidRPr="00A1457D">
        <w:rPr>
          <w:rFonts w:ascii="Arial" w:hAnsi="Arial" w:cs="Arial"/>
          <w:sz w:val="20"/>
          <w:szCs w:val="20"/>
        </w:rPr>
        <w:t>On April 12, 2019 the Issuer filed its financial results for the fiscal year ended December 31, 2018. The consolidated financial statements were prepared in accordance with International Financial Reporting Standards (IFRS). A news release describing the foregoing change was disseminated on April 12, 2019 through newswire services and filed on SEDAR</w:t>
      </w:r>
      <w:r w:rsidR="00DD3BD7">
        <w:rPr>
          <w:rFonts w:ascii="Arial" w:hAnsi="Arial" w:cs="Arial"/>
          <w:sz w:val="20"/>
          <w:szCs w:val="20"/>
        </w:rPr>
        <w:t>.</w:t>
      </w:r>
    </w:p>
    <w:p w14:paraId="38224B66" w14:textId="16B3639F" w:rsidR="00A1457D" w:rsidRPr="00A1457D" w:rsidRDefault="00A1457D" w:rsidP="004E4EEE">
      <w:pPr>
        <w:jc w:val="both"/>
        <w:rPr>
          <w:rFonts w:ascii="Arial" w:hAnsi="Arial" w:cs="Arial"/>
          <w:sz w:val="20"/>
          <w:szCs w:val="20"/>
        </w:rPr>
      </w:pPr>
    </w:p>
    <w:p w14:paraId="7B017CE3" w14:textId="11F1EDA0" w:rsidR="00A1457D" w:rsidRPr="00F9389E" w:rsidRDefault="00F9389E" w:rsidP="00DD3BD7">
      <w:pPr>
        <w:ind w:left="720"/>
        <w:jc w:val="both"/>
        <w:rPr>
          <w:rFonts w:ascii="Arial" w:hAnsi="Arial" w:cs="Arial"/>
          <w:sz w:val="20"/>
          <w:szCs w:val="20"/>
        </w:rPr>
      </w:pPr>
      <w:r w:rsidRPr="00F9389E">
        <w:rPr>
          <w:rFonts w:ascii="Arial" w:hAnsi="Arial" w:cs="Arial"/>
          <w:sz w:val="20"/>
          <w:szCs w:val="20"/>
        </w:rPr>
        <w:t>On April 16, 2019 the Issuer announced that it had entered into an agreement to acquire Arbor Pacific, Inc. ("</w:t>
      </w:r>
      <w:r w:rsidRPr="00F9389E">
        <w:rPr>
          <w:rFonts w:ascii="Arial" w:hAnsi="Arial" w:cs="Arial"/>
          <w:b/>
          <w:sz w:val="20"/>
          <w:szCs w:val="20"/>
        </w:rPr>
        <w:t>Arbor</w:t>
      </w:r>
      <w:r w:rsidRPr="00F9389E">
        <w:rPr>
          <w:rFonts w:ascii="Arial" w:hAnsi="Arial" w:cs="Arial"/>
          <w:sz w:val="20"/>
          <w:szCs w:val="20"/>
        </w:rPr>
        <w:t xml:space="preserve">"). </w:t>
      </w:r>
      <w:r>
        <w:rPr>
          <w:rFonts w:ascii="Arial" w:hAnsi="Arial" w:cs="Arial"/>
          <w:sz w:val="20"/>
          <w:szCs w:val="20"/>
        </w:rPr>
        <w:t xml:space="preserve">Upon </w:t>
      </w:r>
      <w:r w:rsidRPr="00F9389E">
        <w:rPr>
          <w:rFonts w:ascii="Arial" w:hAnsi="Arial" w:cs="Arial"/>
          <w:sz w:val="20"/>
          <w:szCs w:val="20"/>
        </w:rPr>
        <w:t>completion, the proposed transaction (the "</w:t>
      </w:r>
      <w:r w:rsidRPr="00F9389E">
        <w:rPr>
          <w:rFonts w:ascii="Arial" w:hAnsi="Arial" w:cs="Arial"/>
          <w:b/>
          <w:bCs/>
          <w:sz w:val="20"/>
          <w:szCs w:val="20"/>
        </w:rPr>
        <w:t>Transaction</w:t>
      </w:r>
      <w:r w:rsidRPr="00F9389E">
        <w:rPr>
          <w:rFonts w:ascii="Arial" w:hAnsi="Arial" w:cs="Arial"/>
          <w:sz w:val="20"/>
          <w:szCs w:val="20"/>
        </w:rPr>
        <w:t>") wil</w:t>
      </w:r>
      <w:r>
        <w:rPr>
          <w:rFonts w:ascii="Arial" w:hAnsi="Arial" w:cs="Arial"/>
          <w:sz w:val="20"/>
          <w:szCs w:val="20"/>
        </w:rPr>
        <w:t xml:space="preserve">l further bolster </w:t>
      </w:r>
      <w:r w:rsidR="00DD3BD7">
        <w:rPr>
          <w:rFonts w:ascii="Arial" w:hAnsi="Arial" w:cs="Arial"/>
          <w:sz w:val="20"/>
          <w:szCs w:val="20"/>
        </w:rPr>
        <w:t>the Issuer's</w:t>
      </w:r>
      <w:r>
        <w:rPr>
          <w:rFonts w:ascii="Arial" w:hAnsi="Arial" w:cs="Arial"/>
          <w:sz w:val="20"/>
          <w:szCs w:val="20"/>
        </w:rPr>
        <w:t xml:space="preserve"> brand </w:t>
      </w:r>
      <w:r w:rsidRPr="00F9389E">
        <w:rPr>
          <w:rFonts w:ascii="Arial" w:hAnsi="Arial" w:cs="Arial"/>
          <w:sz w:val="20"/>
          <w:szCs w:val="20"/>
        </w:rPr>
        <w:t xml:space="preserve">portfolio through the acquisition of both the </w:t>
      </w:r>
      <w:proofErr w:type="spellStart"/>
      <w:r w:rsidRPr="00F9389E">
        <w:rPr>
          <w:rFonts w:ascii="Arial" w:hAnsi="Arial" w:cs="Arial"/>
          <w:sz w:val="20"/>
          <w:szCs w:val="20"/>
        </w:rPr>
        <w:t>Avitas</w:t>
      </w:r>
      <w:proofErr w:type="spellEnd"/>
      <w:r w:rsidRPr="00F9389E">
        <w:rPr>
          <w:rFonts w:ascii="Arial" w:hAnsi="Arial" w:cs="Arial"/>
          <w:sz w:val="20"/>
          <w:szCs w:val="20"/>
        </w:rPr>
        <w:t xml:space="preserve"> and </w:t>
      </w:r>
      <w:proofErr w:type="spellStart"/>
      <w:r w:rsidRPr="00F9389E">
        <w:rPr>
          <w:rFonts w:ascii="Arial" w:hAnsi="Arial" w:cs="Arial"/>
          <w:sz w:val="20"/>
          <w:szCs w:val="20"/>
        </w:rPr>
        <w:t>Hella</w:t>
      </w:r>
      <w:r>
        <w:rPr>
          <w:rFonts w:ascii="Arial" w:hAnsi="Arial" w:cs="Arial"/>
          <w:sz w:val="20"/>
          <w:szCs w:val="20"/>
        </w:rPr>
        <w:t>vated</w:t>
      </w:r>
      <w:proofErr w:type="spellEnd"/>
      <w:r>
        <w:rPr>
          <w:rFonts w:ascii="Arial" w:hAnsi="Arial" w:cs="Arial"/>
          <w:sz w:val="20"/>
          <w:szCs w:val="20"/>
        </w:rPr>
        <w:t xml:space="preserve"> brands, as well as expand </w:t>
      </w:r>
      <w:r w:rsidR="00DD3BD7">
        <w:rPr>
          <w:rFonts w:ascii="Arial" w:hAnsi="Arial" w:cs="Arial"/>
          <w:sz w:val="20"/>
          <w:szCs w:val="20"/>
        </w:rPr>
        <w:t>the Issuer's</w:t>
      </w:r>
      <w:r w:rsidRPr="00F9389E">
        <w:rPr>
          <w:rFonts w:ascii="Arial" w:hAnsi="Arial" w:cs="Arial"/>
          <w:sz w:val="20"/>
          <w:szCs w:val="20"/>
        </w:rPr>
        <w:t xml:space="preserve"> distribution footprint into the Washington market</w:t>
      </w:r>
      <w:r>
        <w:rPr>
          <w:rFonts w:ascii="Arial" w:hAnsi="Arial" w:cs="Arial"/>
          <w:sz w:val="20"/>
          <w:szCs w:val="20"/>
        </w:rPr>
        <w:t>.</w:t>
      </w:r>
      <w:r w:rsidR="00DD3BD7">
        <w:rPr>
          <w:rFonts w:ascii="Arial" w:hAnsi="Arial" w:cs="Arial"/>
          <w:sz w:val="20"/>
          <w:szCs w:val="20"/>
        </w:rPr>
        <w:t xml:space="preserve"> </w:t>
      </w:r>
      <w:r w:rsidR="00DD3BD7" w:rsidRPr="00DD3BD7">
        <w:rPr>
          <w:rFonts w:ascii="Arial" w:hAnsi="Arial" w:cs="Arial"/>
          <w:sz w:val="20"/>
          <w:szCs w:val="20"/>
        </w:rPr>
        <w:t xml:space="preserve">Arbor is a leading producer of branded cannabis products. Arbor's product portfolio includes a mix of branded offerings that span the Vaporizer, Flower, and CBD product categories. </w:t>
      </w:r>
      <w:r w:rsidR="00DD3BD7">
        <w:rPr>
          <w:rFonts w:ascii="Arial" w:hAnsi="Arial" w:cs="Arial"/>
          <w:sz w:val="20"/>
          <w:szCs w:val="20"/>
        </w:rPr>
        <w:t>Arbor's</w:t>
      </w:r>
      <w:r w:rsidR="00DD3BD7" w:rsidRPr="00DD3BD7">
        <w:rPr>
          <w:rFonts w:ascii="Arial" w:hAnsi="Arial" w:cs="Arial"/>
          <w:sz w:val="20"/>
          <w:szCs w:val="20"/>
        </w:rPr>
        <w:t xml:space="preserve"> </w:t>
      </w:r>
      <w:proofErr w:type="spellStart"/>
      <w:r w:rsidR="00DD3BD7" w:rsidRPr="00DD3BD7">
        <w:rPr>
          <w:rFonts w:ascii="Arial" w:hAnsi="Arial" w:cs="Arial"/>
          <w:sz w:val="20"/>
          <w:szCs w:val="20"/>
        </w:rPr>
        <w:t>Avitas</w:t>
      </w:r>
      <w:proofErr w:type="spellEnd"/>
      <w:r w:rsidR="00DD3BD7" w:rsidRPr="00DD3BD7">
        <w:rPr>
          <w:rFonts w:ascii="Arial" w:hAnsi="Arial" w:cs="Arial"/>
          <w:sz w:val="20"/>
          <w:szCs w:val="20"/>
        </w:rPr>
        <w:t xml:space="preserve"> and </w:t>
      </w:r>
      <w:proofErr w:type="spellStart"/>
      <w:r w:rsidR="00DD3BD7" w:rsidRPr="00DD3BD7">
        <w:rPr>
          <w:rFonts w:ascii="Arial" w:hAnsi="Arial" w:cs="Arial"/>
          <w:sz w:val="20"/>
          <w:szCs w:val="20"/>
        </w:rPr>
        <w:t>Hellavated</w:t>
      </w:r>
      <w:proofErr w:type="spellEnd"/>
      <w:r w:rsidR="00DD3BD7" w:rsidRPr="00DD3BD7">
        <w:rPr>
          <w:rFonts w:ascii="Arial" w:hAnsi="Arial" w:cs="Arial"/>
          <w:sz w:val="20"/>
          <w:szCs w:val="20"/>
        </w:rPr>
        <w:t xml:space="preserve"> brands are among the highest selling cannabis brands in the Pacific Northwest, with multiple products regularly listed among the top 10 best-selling vape SKUs in Washington state, according to Headset.</w:t>
      </w:r>
      <w:r w:rsidR="00DD3BD7">
        <w:rPr>
          <w:rFonts w:ascii="Arial" w:hAnsi="Arial" w:cs="Arial"/>
          <w:sz w:val="20"/>
          <w:szCs w:val="20"/>
        </w:rPr>
        <w:t xml:space="preserve"> </w:t>
      </w:r>
      <w:r w:rsidR="00DD3BD7" w:rsidRPr="00A1457D">
        <w:rPr>
          <w:rFonts w:ascii="Arial" w:hAnsi="Arial" w:cs="Arial"/>
          <w:sz w:val="20"/>
          <w:szCs w:val="20"/>
        </w:rPr>
        <w:t>A news release describing the foregoing change was disseminated on April 1</w:t>
      </w:r>
      <w:r w:rsidR="00DD3BD7">
        <w:rPr>
          <w:rFonts w:ascii="Arial" w:hAnsi="Arial" w:cs="Arial"/>
          <w:sz w:val="20"/>
          <w:szCs w:val="20"/>
        </w:rPr>
        <w:t>6</w:t>
      </w:r>
      <w:r w:rsidR="00DD3BD7" w:rsidRPr="00A1457D">
        <w:rPr>
          <w:rFonts w:ascii="Arial" w:hAnsi="Arial" w:cs="Arial"/>
          <w:sz w:val="20"/>
          <w:szCs w:val="20"/>
        </w:rPr>
        <w:t>, 2019 through newswire services and filed on SEDAR</w:t>
      </w:r>
      <w:r w:rsidR="00DD3BD7">
        <w:rPr>
          <w:rFonts w:ascii="Arial" w:hAnsi="Arial" w:cs="Arial"/>
          <w:sz w:val="20"/>
          <w:szCs w:val="20"/>
        </w:rPr>
        <w:t>.</w:t>
      </w:r>
    </w:p>
    <w:p w14:paraId="106B7C70" w14:textId="0E723733" w:rsidR="004E4EEE" w:rsidRPr="000D1D59" w:rsidRDefault="004E4EEE" w:rsidP="00DD3BD7">
      <w:pPr>
        <w:jc w:val="both"/>
        <w:rPr>
          <w:rFonts w:ascii="Arial" w:hAnsi="Arial" w:cs="Arial"/>
          <w:color w:val="0070C0"/>
          <w:sz w:val="20"/>
          <w:szCs w:val="20"/>
        </w:rPr>
      </w:pPr>
    </w:p>
    <w:p w14:paraId="15F4F5BA" w14:textId="77777777" w:rsidR="00A95A22" w:rsidRPr="00DD3BD7" w:rsidRDefault="00A95A22" w:rsidP="004E4EEE">
      <w:pPr>
        <w:pStyle w:val="BodyText"/>
        <w:numPr>
          <w:ilvl w:val="0"/>
          <w:numId w:val="2"/>
        </w:numPr>
        <w:spacing w:before="0"/>
        <w:rPr>
          <w:b/>
          <w:sz w:val="20"/>
        </w:rPr>
      </w:pPr>
      <w:r w:rsidRPr="00DD3BD7">
        <w:rPr>
          <w:b/>
          <w:sz w:val="20"/>
        </w:rPr>
        <w:t>Provide a general overview and discussion of the activities of management.</w:t>
      </w:r>
    </w:p>
    <w:p w14:paraId="4ED2739C" w14:textId="77777777" w:rsidR="004E4EEE" w:rsidRPr="00DD3BD7" w:rsidRDefault="004E4EEE" w:rsidP="004E4EEE">
      <w:pPr>
        <w:pStyle w:val="BodyText"/>
        <w:spacing w:before="0"/>
        <w:rPr>
          <w:rFonts w:cs="Arial"/>
          <w:sz w:val="20"/>
        </w:rPr>
      </w:pPr>
    </w:p>
    <w:p w14:paraId="7183A9C6" w14:textId="1FDBD04A" w:rsidR="00A95A22" w:rsidRPr="00DD3BD7" w:rsidRDefault="00A95A22" w:rsidP="004E4EEE">
      <w:pPr>
        <w:pStyle w:val="BodyText"/>
        <w:spacing w:before="0"/>
        <w:rPr>
          <w:rFonts w:cs="Arial"/>
          <w:sz w:val="20"/>
        </w:rPr>
      </w:pPr>
      <w:r w:rsidRPr="00DD3BD7">
        <w:rPr>
          <w:rFonts w:cs="Arial"/>
          <w:sz w:val="20"/>
        </w:rPr>
        <w:t xml:space="preserve">Management of the Issuer continues to explore new markets where it is able to capitalize on the opportunities presented as a result of the changing regulatory environment governing the cannabis industry. </w:t>
      </w:r>
    </w:p>
    <w:p w14:paraId="18160573" w14:textId="77777777" w:rsidR="004E4EEE" w:rsidRPr="00DD3BD7" w:rsidRDefault="004E4EEE" w:rsidP="004E4EEE">
      <w:pPr>
        <w:pStyle w:val="BodyText"/>
        <w:spacing w:before="0"/>
        <w:rPr>
          <w:rFonts w:cs="Arial"/>
          <w:sz w:val="20"/>
        </w:rPr>
      </w:pPr>
    </w:p>
    <w:p w14:paraId="6314FC86" w14:textId="77777777" w:rsidR="00A95A22" w:rsidRPr="00DD3BD7" w:rsidRDefault="00A95A22" w:rsidP="004E4EEE">
      <w:pPr>
        <w:pStyle w:val="List"/>
        <w:numPr>
          <w:ilvl w:val="0"/>
          <w:numId w:val="2"/>
        </w:numPr>
        <w:spacing w:before="0"/>
        <w:rPr>
          <w:b/>
          <w:sz w:val="20"/>
        </w:rPr>
      </w:pPr>
      <w:r w:rsidRPr="00DD3BD7">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7289A97" w14:textId="77777777" w:rsidR="00A95A22" w:rsidRPr="00DD3BD7" w:rsidRDefault="00A95A22" w:rsidP="004E4EEE">
      <w:pPr>
        <w:pStyle w:val="ListParagraph"/>
      </w:pPr>
    </w:p>
    <w:p w14:paraId="4EE1EFCF" w14:textId="4A31C0C4" w:rsidR="008A55CB" w:rsidRPr="00DD3BD7" w:rsidRDefault="00A95A22" w:rsidP="004E4EEE">
      <w:pPr>
        <w:pStyle w:val="ListParagraph"/>
        <w:jc w:val="both"/>
        <w:rPr>
          <w:rFonts w:ascii="Arial" w:hAnsi="Arial" w:cs="Arial"/>
          <w:sz w:val="20"/>
          <w:szCs w:val="20"/>
        </w:rPr>
      </w:pPr>
      <w:r w:rsidRPr="00DD3BD7">
        <w:rPr>
          <w:rFonts w:ascii="Arial" w:hAnsi="Arial" w:cs="Arial"/>
          <w:sz w:val="20"/>
          <w:szCs w:val="20"/>
        </w:rPr>
        <w:t xml:space="preserve">As described above, </w:t>
      </w:r>
      <w:r w:rsidR="00DD3BD7" w:rsidRPr="00DD3BD7">
        <w:rPr>
          <w:rFonts w:ascii="Arial" w:hAnsi="Arial" w:cs="Arial"/>
          <w:sz w:val="20"/>
          <w:szCs w:val="20"/>
        </w:rPr>
        <w:t>the Issuer announced that it had entered into an agreement to acquire Arbor. Arbor is a leading producer of branded cannabis products. Arbor's product portfolio includes a mix of branded offerings that span the Vaporizer, Flower, and CBD product categories</w:t>
      </w:r>
      <w:r w:rsidR="00987008" w:rsidRPr="00DD3BD7">
        <w:rPr>
          <w:rFonts w:ascii="Arial" w:hAnsi="Arial" w:cs="Arial"/>
          <w:sz w:val="20"/>
          <w:szCs w:val="20"/>
        </w:rPr>
        <w:t>.</w:t>
      </w:r>
    </w:p>
    <w:p w14:paraId="6704F980" w14:textId="4CB9A4B3" w:rsidR="00A95A22" w:rsidRPr="000D1D59" w:rsidRDefault="00A95A22" w:rsidP="004E4EEE">
      <w:pPr>
        <w:pStyle w:val="ListParagraph"/>
        <w:jc w:val="both"/>
        <w:rPr>
          <w:b/>
          <w:color w:val="0070C0"/>
          <w:sz w:val="20"/>
        </w:rPr>
      </w:pPr>
    </w:p>
    <w:p w14:paraId="44E49EFB" w14:textId="77777777" w:rsidR="00A95A22" w:rsidRPr="00DD3BD7" w:rsidRDefault="00A95A22" w:rsidP="004E4EEE">
      <w:pPr>
        <w:pStyle w:val="List"/>
        <w:numPr>
          <w:ilvl w:val="0"/>
          <w:numId w:val="2"/>
        </w:numPr>
        <w:spacing w:before="0"/>
        <w:rPr>
          <w:b/>
          <w:sz w:val="20"/>
        </w:rPr>
      </w:pPr>
      <w:r w:rsidRPr="00DD3BD7">
        <w:rPr>
          <w:b/>
          <w:sz w:val="20"/>
        </w:rPr>
        <w:t>Describe and provide details of any products or services that were discontinued. For resource companies, provide details of any drilling, exploration or production programs that have been amended or abandoned.</w:t>
      </w:r>
    </w:p>
    <w:p w14:paraId="6708D042" w14:textId="77777777" w:rsidR="004E4EEE" w:rsidRPr="00DD3BD7" w:rsidRDefault="004E4EEE" w:rsidP="004E4EEE">
      <w:pPr>
        <w:pStyle w:val="BodyText"/>
        <w:spacing w:before="0"/>
        <w:rPr>
          <w:sz w:val="20"/>
        </w:rPr>
      </w:pPr>
    </w:p>
    <w:p w14:paraId="11B3EA37" w14:textId="582A73E1" w:rsidR="00A95A22" w:rsidRPr="00DD3BD7" w:rsidRDefault="00A95A22" w:rsidP="004E4EEE">
      <w:pPr>
        <w:pStyle w:val="BodyText"/>
        <w:spacing w:before="0"/>
        <w:rPr>
          <w:sz w:val="20"/>
        </w:rPr>
      </w:pPr>
      <w:r w:rsidRPr="00DD3BD7">
        <w:rPr>
          <w:sz w:val="20"/>
        </w:rPr>
        <w:t>None.</w:t>
      </w:r>
    </w:p>
    <w:p w14:paraId="6FAC5AE6" w14:textId="77777777" w:rsidR="004E4EEE" w:rsidRPr="000D1D59" w:rsidRDefault="004E4EEE" w:rsidP="004E4EEE">
      <w:pPr>
        <w:pStyle w:val="BodyText"/>
        <w:spacing w:before="0"/>
        <w:rPr>
          <w:color w:val="0070C0"/>
          <w:sz w:val="20"/>
        </w:rPr>
      </w:pPr>
    </w:p>
    <w:p w14:paraId="3E2CEA17" w14:textId="2AE76B45" w:rsidR="00A95A22" w:rsidRPr="00DD3BD7" w:rsidRDefault="00A95A22" w:rsidP="004E4EEE">
      <w:pPr>
        <w:pStyle w:val="List"/>
        <w:numPr>
          <w:ilvl w:val="0"/>
          <w:numId w:val="2"/>
        </w:numPr>
        <w:spacing w:before="0"/>
        <w:rPr>
          <w:b/>
          <w:sz w:val="20"/>
        </w:rPr>
      </w:pPr>
      <w:r w:rsidRPr="00DD3BD7">
        <w:rPr>
          <w:b/>
          <w:sz w:val="20"/>
        </w:rPr>
        <w:t>Describe any new business relationships entered into between the Issuer, the Issuer</w:t>
      </w:r>
      <w:r w:rsidR="001314FA" w:rsidRPr="00DD3BD7">
        <w:rPr>
          <w:b/>
          <w:sz w:val="20"/>
        </w:rPr>
        <w:t>’</w:t>
      </w:r>
      <w:r w:rsidRPr="00DD3BD7">
        <w:rPr>
          <w:b/>
          <w:sz w:val="20"/>
        </w:rPr>
        <w:t>s affiliates or third parties including contracts to supply products or services, joint venture agreements and licensing agreements etc. State whether the relationship is with a Related Person of the Issuer and provide details of the relationship.</w:t>
      </w:r>
    </w:p>
    <w:p w14:paraId="5C1D5157" w14:textId="77777777" w:rsidR="00A95A22" w:rsidRPr="00DD3BD7" w:rsidRDefault="00A95A22" w:rsidP="004E4EEE">
      <w:pPr>
        <w:pStyle w:val="ListParagraph"/>
      </w:pPr>
    </w:p>
    <w:p w14:paraId="6BC66067" w14:textId="78E674D7" w:rsidR="00A95A22" w:rsidRPr="00DD3BD7" w:rsidRDefault="00DD3BD7" w:rsidP="004E4EEE">
      <w:pPr>
        <w:pStyle w:val="ListParagraph"/>
        <w:jc w:val="both"/>
        <w:rPr>
          <w:rFonts w:ascii="Arial" w:hAnsi="Arial" w:cs="Arial"/>
          <w:sz w:val="20"/>
          <w:szCs w:val="20"/>
        </w:rPr>
      </w:pPr>
      <w:r w:rsidRPr="00DD3BD7">
        <w:rPr>
          <w:rFonts w:ascii="Arial" w:hAnsi="Arial" w:cs="Arial"/>
          <w:sz w:val="20"/>
          <w:szCs w:val="20"/>
        </w:rPr>
        <w:t>None</w:t>
      </w:r>
      <w:r w:rsidR="00A95A22" w:rsidRPr="00DD3BD7">
        <w:rPr>
          <w:rFonts w:ascii="Arial" w:hAnsi="Arial" w:cs="Arial"/>
          <w:sz w:val="20"/>
          <w:szCs w:val="20"/>
        </w:rPr>
        <w:t>.</w:t>
      </w:r>
    </w:p>
    <w:p w14:paraId="346D3B8A" w14:textId="77777777" w:rsidR="00A95A22" w:rsidRPr="00DD3BD7" w:rsidRDefault="00A95A22" w:rsidP="004E4EEE">
      <w:pPr>
        <w:pStyle w:val="List"/>
        <w:spacing w:before="0"/>
        <w:ind w:left="720" w:firstLine="0"/>
        <w:rPr>
          <w:b/>
          <w:sz w:val="20"/>
        </w:rPr>
      </w:pPr>
    </w:p>
    <w:p w14:paraId="5D91FB2B" w14:textId="326B8417" w:rsidR="00A95A22" w:rsidRPr="00DD3BD7" w:rsidRDefault="00A95A22" w:rsidP="004E4EEE">
      <w:pPr>
        <w:pStyle w:val="List"/>
        <w:numPr>
          <w:ilvl w:val="0"/>
          <w:numId w:val="2"/>
        </w:numPr>
        <w:spacing w:before="0"/>
        <w:rPr>
          <w:b/>
          <w:sz w:val="20"/>
        </w:rPr>
      </w:pPr>
      <w:r w:rsidRPr="00DD3BD7">
        <w:rPr>
          <w:b/>
          <w:sz w:val="20"/>
        </w:rPr>
        <w:t>Describe the expiry or termination of any contracts or agreements between the Issuer, the Issuer</w:t>
      </w:r>
      <w:r w:rsidR="001314FA" w:rsidRPr="00DD3BD7">
        <w:rPr>
          <w:b/>
          <w:sz w:val="20"/>
        </w:rPr>
        <w:t>’</w:t>
      </w:r>
      <w:r w:rsidRPr="00DD3BD7">
        <w:rPr>
          <w:b/>
          <w:sz w:val="20"/>
        </w:rPr>
        <w:t>s affiliates or third parties or cancellation of any financing arrangements that have been previously announced.</w:t>
      </w:r>
    </w:p>
    <w:p w14:paraId="167E2FC4" w14:textId="77777777" w:rsidR="004E4EEE" w:rsidRPr="00DD3BD7" w:rsidRDefault="004E4EEE" w:rsidP="004E4EEE">
      <w:pPr>
        <w:pStyle w:val="BodyText"/>
        <w:spacing w:before="0"/>
        <w:rPr>
          <w:sz w:val="20"/>
        </w:rPr>
      </w:pPr>
    </w:p>
    <w:p w14:paraId="445D78E3" w14:textId="4228136E" w:rsidR="00A95A22" w:rsidRPr="00DD3BD7" w:rsidRDefault="00A95A22" w:rsidP="004E4EEE">
      <w:pPr>
        <w:pStyle w:val="BodyText"/>
        <w:spacing w:before="0"/>
        <w:rPr>
          <w:sz w:val="20"/>
        </w:rPr>
      </w:pPr>
      <w:r w:rsidRPr="00DD3BD7">
        <w:rPr>
          <w:sz w:val="20"/>
        </w:rPr>
        <w:t>None</w:t>
      </w:r>
    </w:p>
    <w:p w14:paraId="50F37541" w14:textId="77777777" w:rsidR="00A95A22" w:rsidRPr="000D1D59" w:rsidRDefault="00A95A22" w:rsidP="004E4EEE">
      <w:pPr>
        <w:pStyle w:val="ListParagraph"/>
        <w:rPr>
          <w:rFonts w:ascii="Arial" w:hAnsi="Arial"/>
          <w:color w:val="0070C0"/>
        </w:rPr>
      </w:pPr>
    </w:p>
    <w:p w14:paraId="26E621D2" w14:textId="4DB0B523" w:rsidR="00A95A22" w:rsidRPr="00DD3BD7" w:rsidRDefault="00A95A22" w:rsidP="004E4EEE">
      <w:pPr>
        <w:pStyle w:val="List"/>
        <w:numPr>
          <w:ilvl w:val="0"/>
          <w:numId w:val="2"/>
        </w:numPr>
        <w:spacing w:before="0"/>
        <w:rPr>
          <w:b/>
          <w:sz w:val="20"/>
        </w:rPr>
      </w:pPr>
      <w:r w:rsidRPr="00DD3BD7">
        <w:rPr>
          <w:b/>
          <w:sz w:val="20"/>
        </w:rPr>
        <w:t>Describe any acquisitions by the Issuer or dispositions of the Issuer</w:t>
      </w:r>
      <w:r w:rsidR="001314FA" w:rsidRPr="00DD3BD7">
        <w:rPr>
          <w:b/>
          <w:sz w:val="20"/>
        </w:rPr>
        <w:t>’</w:t>
      </w:r>
      <w:r w:rsidRPr="00DD3BD7">
        <w:rPr>
          <w:b/>
          <w:sz w:val="20"/>
        </w:rPr>
        <w:t>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5AC3BA5" w14:textId="77777777" w:rsidR="00A95A22" w:rsidRPr="00DD3BD7" w:rsidRDefault="00A95A22" w:rsidP="004E4EEE">
      <w:pPr>
        <w:pStyle w:val="List"/>
        <w:spacing w:before="0"/>
        <w:ind w:left="720" w:firstLine="0"/>
        <w:rPr>
          <w:b/>
          <w:sz w:val="20"/>
          <w:highlight w:val="yellow"/>
        </w:rPr>
      </w:pPr>
    </w:p>
    <w:p w14:paraId="1B79184A" w14:textId="01FB2CA7" w:rsidR="00A95A22" w:rsidRPr="00DD3BD7" w:rsidRDefault="00A95A22" w:rsidP="004E4EEE">
      <w:pPr>
        <w:pStyle w:val="TextJustified"/>
        <w:spacing w:after="0"/>
        <w:ind w:left="720"/>
        <w:rPr>
          <w:rFonts w:cs="Arial"/>
          <w:sz w:val="20"/>
          <w:szCs w:val="20"/>
        </w:rPr>
      </w:pPr>
      <w:r w:rsidRPr="00DD3BD7">
        <w:rPr>
          <w:rFonts w:cs="Arial"/>
          <w:sz w:val="20"/>
          <w:szCs w:val="20"/>
        </w:rPr>
        <w:t>None.</w:t>
      </w:r>
    </w:p>
    <w:p w14:paraId="1BECA9DC" w14:textId="77777777" w:rsidR="004E4EEE" w:rsidRPr="00DD3BD7" w:rsidRDefault="004E4EEE" w:rsidP="004E4EEE">
      <w:pPr>
        <w:pStyle w:val="TextJustified"/>
        <w:spacing w:after="0"/>
        <w:ind w:left="720"/>
        <w:rPr>
          <w:sz w:val="20"/>
          <w:szCs w:val="20"/>
          <w:lang w:val="en-US"/>
        </w:rPr>
      </w:pPr>
    </w:p>
    <w:p w14:paraId="0FA57F37" w14:textId="77777777" w:rsidR="00A95A22" w:rsidRPr="00DD3BD7" w:rsidRDefault="00A95A22" w:rsidP="004E4EEE">
      <w:pPr>
        <w:pStyle w:val="List"/>
        <w:numPr>
          <w:ilvl w:val="0"/>
          <w:numId w:val="2"/>
        </w:numPr>
        <w:spacing w:before="0"/>
        <w:rPr>
          <w:b/>
          <w:sz w:val="20"/>
        </w:rPr>
      </w:pPr>
      <w:r w:rsidRPr="00DD3BD7">
        <w:rPr>
          <w:b/>
          <w:sz w:val="20"/>
        </w:rPr>
        <w:t>Describe the acquisition of new customers or loss of customers.</w:t>
      </w:r>
    </w:p>
    <w:p w14:paraId="7EA821DB" w14:textId="77777777" w:rsidR="004E4EEE" w:rsidRPr="00DD3BD7" w:rsidRDefault="004E4EEE" w:rsidP="004E4EEE">
      <w:pPr>
        <w:pStyle w:val="BodyText"/>
        <w:spacing w:before="0"/>
        <w:rPr>
          <w:sz w:val="20"/>
        </w:rPr>
      </w:pPr>
    </w:p>
    <w:p w14:paraId="5B0E1A86" w14:textId="1327C95E" w:rsidR="00A95A22" w:rsidRPr="00DD3BD7" w:rsidRDefault="00A95A22" w:rsidP="004E4EEE">
      <w:pPr>
        <w:pStyle w:val="BodyText"/>
        <w:spacing w:before="0"/>
        <w:rPr>
          <w:sz w:val="20"/>
        </w:rPr>
      </w:pPr>
      <w:r w:rsidRPr="00DD3BD7">
        <w:rPr>
          <w:sz w:val="20"/>
        </w:rPr>
        <w:t>None.</w:t>
      </w:r>
    </w:p>
    <w:p w14:paraId="7864E9E5" w14:textId="77777777" w:rsidR="004E4EEE" w:rsidRPr="00DD3BD7" w:rsidRDefault="004E4EEE" w:rsidP="004E4EEE">
      <w:pPr>
        <w:pStyle w:val="BodyText"/>
        <w:spacing w:before="0"/>
        <w:rPr>
          <w:sz w:val="20"/>
        </w:rPr>
      </w:pPr>
    </w:p>
    <w:p w14:paraId="471C73B3" w14:textId="77777777" w:rsidR="00A95A22" w:rsidRPr="00DD3BD7" w:rsidRDefault="00A95A22" w:rsidP="004E4EEE">
      <w:pPr>
        <w:pStyle w:val="List"/>
        <w:numPr>
          <w:ilvl w:val="0"/>
          <w:numId w:val="2"/>
        </w:numPr>
        <w:spacing w:before="0"/>
        <w:rPr>
          <w:b/>
          <w:sz w:val="20"/>
        </w:rPr>
      </w:pPr>
      <w:r w:rsidRPr="00DD3BD7">
        <w:rPr>
          <w:b/>
          <w:sz w:val="20"/>
        </w:rPr>
        <w:t>Describe any new developments or effects on intangible products such as brand names, circulation lists, copyrights, franchises, licenses, patents, software, subscription lists and trade-marks.</w:t>
      </w:r>
    </w:p>
    <w:p w14:paraId="5F0578D9" w14:textId="77777777" w:rsidR="004E4EEE" w:rsidRPr="00DD3BD7" w:rsidRDefault="004E4EEE" w:rsidP="004E4EEE">
      <w:pPr>
        <w:pStyle w:val="BodyText"/>
        <w:spacing w:before="0"/>
        <w:rPr>
          <w:sz w:val="20"/>
        </w:rPr>
      </w:pPr>
    </w:p>
    <w:p w14:paraId="67026D6B" w14:textId="7154069D" w:rsidR="004E4EEE" w:rsidRPr="00DD3BD7" w:rsidRDefault="00DD3BD7" w:rsidP="00DD3BD7">
      <w:pPr>
        <w:pStyle w:val="BodyText"/>
        <w:spacing w:before="0"/>
        <w:rPr>
          <w:sz w:val="20"/>
        </w:rPr>
      </w:pPr>
      <w:r w:rsidRPr="00DD3BD7">
        <w:rPr>
          <w:sz w:val="20"/>
        </w:rPr>
        <w:t xml:space="preserve">As described above, the Issuer announced that it had entered into an agreement to acquire </w:t>
      </w:r>
      <w:proofErr w:type="spellStart"/>
      <w:r w:rsidRPr="00DD3BD7">
        <w:rPr>
          <w:sz w:val="20"/>
        </w:rPr>
        <w:t>Arbor</w:t>
      </w:r>
      <w:proofErr w:type="spellEnd"/>
      <w:r w:rsidRPr="00DD3BD7">
        <w:rPr>
          <w:sz w:val="20"/>
        </w:rPr>
        <w:t xml:space="preserve">. Upon completion of the Transaction, the Issuer will acquire the </w:t>
      </w:r>
      <w:proofErr w:type="spellStart"/>
      <w:r w:rsidRPr="00DD3BD7">
        <w:rPr>
          <w:rFonts w:cs="Arial"/>
          <w:sz w:val="20"/>
          <w:szCs w:val="20"/>
        </w:rPr>
        <w:t>Avitas</w:t>
      </w:r>
      <w:proofErr w:type="spellEnd"/>
      <w:r w:rsidRPr="00DD3BD7">
        <w:rPr>
          <w:rFonts w:cs="Arial"/>
          <w:sz w:val="20"/>
          <w:szCs w:val="20"/>
        </w:rPr>
        <w:t xml:space="preserve"> and </w:t>
      </w:r>
      <w:proofErr w:type="spellStart"/>
      <w:r w:rsidRPr="00DD3BD7">
        <w:rPr>
          <w:rFonts w:cs="Arial"/>
          <w:sz w:val="20"/>
          <w:szCs w:val="20"/>
        </w:rPr>
        <w:t>Hellavated</w:t>
      </w:r>
      <w:proofErr w:type="spellEnd"/>
      <w:r w:rsidRPr="00DD3BD7">
        <w:rPr>
          <w:rFonts w:cs="Arial"/>
          <w:sz w:val="20"/>
          <w:szCs w:val="20"/>
        </w:rPr>
        <w:t xml:space="preserve"> brands currently owned by </w:t>
      </w:r>
      <w:proofErr w:type="spellStart"/>
      <w:r w:rsidRPr="00DD3BD7">
        <w:rPr>
          <w:rFonts w:cs="Arial"/>
          <w:sz w:val="20"/>
          <w:szCs w:val="20"/>
        </w:rPr>
        <w:t>Arbor</w:t>
      </w:r>
      <w:proofErr w:type="spellEnd"/>
      <w:r w:rsidRPr="00DD3BD7">
        <w:rPr>
          <w:rFonts w:cs="Arial"/>
          <w:sz w:val="20"/>
          <w:szCs w:val="20"/>
        </w:rPr>
        <w:t>.</w:t>
      </w:r>
    </w:p>
    <w:p w14:paraId="733600DA" w14:textId="77777777" w:rsidR="00DD3BD7" w:rsidRPr="00DD3BD7" w:rsidRDefault="00DD3BD7" w:rsidP="00DD3BD7">
      <w:pPr>
        <w:pStyle w:val="BodyText"/>
        <w:spacing w:before="0"/>
        <w:rPr>
          <w:color w:val="0070C0"/>
          <w:sz w:val="20"/>
        </w:rPr>
      </w:pPr>
    </w:p>
    <w:p w14:paraId="01036A50" w14:textId="77777777" w:rsidR="00A95A22" w:rsidRPr="00DD3BD7" w:rsidRDefault="00A95A22" w:rsidP="004E4EEE">
      <w:pPr>
        <w:pStyle w:val="List"/>
        <w:numPr>
          <w:ilvl w:val="0"/>
          <w:numId w:val="2"/>
        </w:numPr>
        <w:spacing w:before="0"/>
        <w:rPr>
          <w:b/>
          <w:sz w:val="20"/>
        </w:rPr>
      </w:pPr>
      <w:r w:rsidRPr="00DD3BD7">
        <w:rPr>
          <w:b/>
          <w:sz w:val="20"/>
        </w:rPr>
        <w:t xml:space="preserve">Report on any employee </w:t>
      </w:r>
      <w:proofErr w:type="spellStart"/>
      <w:r w:rsidRPr="00DD3BD7">
        <w:rPr>
          <w:b/>
          <w:sz w:val="20"/>
        </w:rPr>
        <w:t>hirings</w:t>
      </w:r>
      <w:proofErr w:type="spellEnd"/>
      <w:r w:rsidRPr="00DD3BD7">
        <w:rPr>
          <w:b/>
          <w:sz w:val="20"/>
        </w:rPr>
        <w:t>, terminations or lay-offs with details of anticipated length of lay-offs.</w:t>
      </w:r>
    </w:p>
    <w:p w14:paraId="3D72FCB4" w14:textId="77777777" w:rsidR="004E4EEE" w:rsidRPr="00DD3BD7" w:rsidRDefault="004E4EEE" w:rsidP="004E4EEE">
      <w:pPr>
        <w:pStyle w:val="BodyText"/>
        <w:spacing w:before="0"/>
        <w:ind w:left="0" w:firstLine="720"/>
        <w:rPr>
          <w:sz w:val="20"/>
          <w:szCs w:val="20"/>
        </w:rPr>
      </w:pPr>
    </w:p>
    <w:p w14:paraId="7B123A1A" w14:textId="7F55503E" w:rsidR="00A95A22" w:rsidRPr="00DD3BD7" w:rsidRDefault="00A95A22" w:rsidP="004E4EEE">
      <w:pPr>
        <w:pStyle w:val="BodyText"/>
        <w:spacing w:before="0"/>
        <w:ind w:left="0" w:firstLine="720"/>
        <w:rPr>
          <w:sz w:val="20"/>
          <w:szCs w:val="20"/>
        </w:rPr>
      </w:pPr>
      <w:r w:rsidRPr="00DD3BD7">
        <w:rPr>
          <w:sz w:val="20"/>
          <w:szCs w:val="20"/>
        </w:rPr>
        <w:t>None.</w:t>
      </w:r>
    </w:p>
    <w:p w14:paraId="06F445F9" w14:textId="77777777" w:rsidR="004E4EEE" w:rsidRPr="00DD3BD7" w:rsidRDefault="004E4EEE" w:rsidP="004E4EEE">
      <w:pPr>
        <w:pStyle w:val="BodyText"/>
        <w:spacing w:before="0"/>
        <w:ind w:left="0" w:firstLine="720"/>
        <w:rPr>
          <w:sz w:val="20"/>
          <w:szCs w:val="20"/>
        </w:rPr>
      </w:pPr>
    </w:p>
    <w:p w14:paraId="054BFCBF" w14:textId="77777777" w:rsidR="00A95A22" w:rsidRPr="00DD3BD7" w:rsidRDefault="00A95A22" w:rsidP="004E4EEE">
      <w:pPr>
        <w:pStyle w:val="List"/>
        <w:numPr>
          <w:ilvl w:val="0"/>
          <w:numId w:val="2"/>
        </w:numPr>
        <w:spacing w:before="0"/>
        <w:rPr>
          <w:b/>
          <w:sz w:val="20"/>
        </w:rPr>
      </w:pPr>
      <w:r w:rsidRPr="00DD3BD7">
        <w:rPr>
          <w:b/>
          <w:sz w:val="20"/>
        </w:rPr>
        <w:t>Report on any labour disputes and resolutions of those disputes if applicable.</w:t>
      </w:r>
    </w:p>
    <w:p w14:paraId="334646F1" w14:textId="77777777" w:rsidR="004E4EEE" w:rsidRPr="00DD3BD7" w:rsidRDefault="004E4EEE" w:rsidP="004E4EEE">
      <w:pPr>
        <w:pStyle w:val="BodyText"/>
        <w:spacing w:before="0"/>
        <w:rPr>
          <w:sz w:val="20"/>
        </w:rPr>
      </w:pPr>
    </w:p>
    <w:p w14:paraId="4F2BEFCC" w14:textId="2A1C5CDA" w:rsidR="00A95A22" w:rsidRPr="00DD3BD7" w:rsidRDefault="00A95A22" w:rsidP="004E4EEE">
      <w:pPr>
        <w:pStyle w:val="BodyText"/>
        <w:spacing w:before="0"/>
        <w:rPr>
          <w:sz w:val="20"/>
        </w:rPr>
      </w:pPr>
      <w:r w:rsidRPr="00DD3BD7">
        <w:rPr>
          <w:sz w:val="20"/>
        </w:rPr>
        <w:t>None.</w:t>
      </w:r>
    </w:p>
    <w:p w14:paraId="1D22CDBF" w14:textId="77777777" w:rsidR="004E4EEE" w:rsidRPr="00DD3BD7" w:rsidRDefault="004E4EEE" w:rsidP="004E4EEE">
      <w:pPr>
        <w:pStyle w:val="BodyText"/>
        <w:spacing w:before="0"/>
        <w:rPr>
          <w:sz w:val="20"/>
        </w:rPr>
      </w:pPr>
    </w:p>
    <w:p w14:paraId="639B38BA" w14:textId="77777777" w:rsidR="00A95A22" w:rsidRPr="00DD3BD7" w:rsidRDefault="00A95A22" w:rsidP="004E4EEE">
      <w:pPr>
        <w:pStyle w:val="List"/>
        <w:numPr>
          <w:ilvl w:val="0"/>
          <w:numId w:val="2"/>
        </w:numPr>
        <w:spacing w:before="0"/>
        <w:rPr>
          <w:b/>
          <w:sz w:val="20"/>
        </w:rPr>
      </w:pPr>
      <w:r w:rsidRPr="00DD3BD7">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1619F71" w14:textId="77777777" w:rsidR="004E4EEE" w:rsidRPr="00DD3BD7" w:rsidRDefault="004E4EEE" w:rsidP="004E4EEE">
      <w:pPr>
        <w:pStyle w:val="BodyText"/>
        <w:spacing w:before="0"/>
        <w:rPr>
          <w:sz w:val="20"/>
        </w:rPr>
      </w:pPr>
    </w:p>
    <w:p w14:paraId="54DC2CAF" w14:textId="5B3BD4DA" w:rsidR="00A95A22" w:rsidRPr="00DD3BD7" w:rsidRDefault="00A95A22" w:rsidP="004E4EEE">
      <w:pPr>
        <w:pStyle w:val="BodyText"/>
        <w:spacing w:before="0"/>
        <w:rPr>
          <w:sz w:val="20"/>
        </w:rPr>
      </w:pPr>
      <w:r w:rsidRPr="00DD3BD7">
        <w:rPr>
          <w:sz w:val="20"/>
        </w:rPr>
        <w:t>None.</w:t>
      </w:r>
    </w:p>
    <w:p w14:paraId="1DAB0BBF" w14:textId="77777777" w:rsidR="00A95A22" w:rsidRPr="00DD3BD7" w:rsidRDefault="00A95A22" w:rsidP="004E4EEE">
      <w:pPr>
        <w:pStyle w:val="ListParagraph"/>
        <w:rPr>
          <w:rFonts w:ascii="Arial" w:hAnsi="Arial"/>
        </w:rPr>
      </w:pPr>
    </w:p>
    <w:p w14:paraId="45EE4D84" w14:textId="77777777" w:rsidR="00A95A22" w:rsidRPr="00DD3BD7" w:rsidRDefault="00A95A22" w:rsidP="004E4EEE">
      <w:pPr>
        <w:pStyle w:val="List"/>
        <w:numPr>
          <w:ilvl w:val="0"/>
          <w:numId w:val="2"/>
        </w:numPr>
        <w:spacing w:before="0"/>
        <w:rPr>
          <w:b/>
          <w:sz w:val="20"/>
        </w:rPr>
      </w:pPr>
      <w:r w:rsidRPr="00DD3BD7">
        <w:rPr>
          <w:b/>
          <w:sz w:val="20"/>
        </w:rPr>
        <w:t>Provide details of any indebtedness incurred or repaid by the Issuer together with the terms of such indebtedness.</w:t>
      </w:r>
    </w:p>
    <w:p w14:paraId="1B822687" w14:textId="77777777" w:rsidR="004E4EEE" w:rsidRPr="00DD3BD7" w:rsidRDefault="004E4EEE" w:rsidP="004E4EEE">
      <w:pPr>
        <w:pStyle w:val="BodyText"/>
        <w:spacing w:before="0"/>
        <w:rPr>
          <w:sz w:val="20"/>
        </w:rPr>
      </w:pPr>
    </w:p>
    <w:p w14:paraId="1951FEBD" w14:textId="58CBBF99" w:rsidR="00A95A22" w:rsidRPr="00DD3BD7" w:rsidRDefault="00A95A22" w:rsidP="004E4EEE">
      <w:pPr>
        <w:pStyle w:val="BodyText"/>
        <w:spacing w:before="0"/>
        <w:rPr>
          <w:sz w:val="20"/>
        </w:rPr>
      </w:pPr>
      <w:r w:rsidRPr="00DD3BD7">
        <w:rPr>
          <w:sz w:val="20"/>
        </w:rPr>
        <w:t>None.</w:t>
      </w:r>
    </w:p>
    <w:p w14:paraId="2531E6E5" w14:textId="77777777" w:rsidR="004E4EEE" w:rsidRPr="00DD3BD7" w:rsidRDefault="004E4EEE" w:rsidP="004E4EEE">
      <w:pPr>
        <w:pStyle w:val="BodyText"/>
        <w:spacing w:before="0"/>
        <w:rPr>
          <w:sz w:val="20"/>
        </w:rPr>
      </w:pPr>
    </w:p>
    <w:p w14:paraId="79A65127" w14:textId="32BCE294" w:rsidR="00A95A22" w:rsidRPr="00DD3BD7" w:rsidRDefault="00A95A22" w:rsidP="004E4EEE">
      <w:pPr>
        <w:pStyle w:val="List"/>
        <w:numPr>
          <w:ilvl w:val="0"/>
          <w:numId w:val="2"/>
        </w:numPr>
        <w:spacing w:before="0"/>
        <w:rPr>
          <w:b/>
          <w:sz w:val="20"/>
        </w:rPr>
      </w:pPr>
      <w:r w:rsidRPr="00DD3BD7">
        <w:rPr>
          <w:b/>
          <w:sz w:val="20"/>
        </w:rPr>
        <w:t>Provide details of any securities issued and options or warrants granted.</w:t>
      </w:r>
    </w:p>
    <w:p w14:paraId="6402166C" w14:textId="77777777" w:rsidR="004D3486" w:rsidRPr="00DD3BD7" w:rsidRDefault="004D3486" w:rsidP="004E4EEE">
      <w:pPr>
        <w:pStyle w:val="List"/>
        <w:spacing w:before="0"/>
        <w:ind w:left="720" w:firstLine="0"/>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885"/>
        <w:gridCol w:w="1800"/>
        <w:gridCol w:w="3330"/>
        <w:gridCol w:w="2561"/>
      </w:tblGrid>
      <w:tr w:rsidR="00DD3BD7" w:rsidRPr="00DD3BD7" w14:paraId="64D32933" w14:textId="77777777" w:rsidTr="00DE58D1">
        <w:trPr>
          <w:cantSplit/>
          <w:tblHeader/>
        </w:trPr>
        <w:tc>
          <w:tcPr>
            <w:tcW w:w="1885" w:type="dxa"/>
          </w:tcPr>
          <w:p w14:paraId="67F8A48F" w14:textId="77777777" w:rsidR="004D3486" w:rsidRPr="00DD3BD7" w:rsidRDefault="004D3486" w:rsidP="004E4EEE">
            <w:pPr>
              <w:pStyle w:val="List"/>
              <w:tabs>
                <w:tab w:val="left" w:pos="360"/>
              </w:tabs>
              <w:spacing w:before="0" w:line="280" w:lineRule="exact"/>
              <w:ind w:left="0" w:firstLine="0"/>
              <w:jc w:val="center"/>
              <w:rPr>
                <w:b/>
                <w:sz w:val="20"/>
              </w:rPr>
            </w:pPr>
            <w:r w:rsidRPr="00DD3BD7">
              <w:rPr>
                <w:b/>
                <w:sz w:val="20"/>
              </w:rPr>
              <w:t>Security</w:t>
            </w:r>
          </w:p>
        </w:tc>
        <w:tc>
          <w:tcPr>
            <w:tcW w:w="1800" w:type="dxa"/>
          </w:tcPr>
          <w:p w14:paraId="48CDE2AE" w14:textId="77777777" w:rsidR="004D3486" w:rsidRPr="00DD3BD7" w:rsidRDefault="004D3486" w:rsidP="004E4EEE">
            <w:pPr>
              <w:pStyle w:val="List"/>
              <w:tabs>
                <w:tab w:val="left" w:pos="360"/>
              </w:tabs>
              <w:spacing w:before="0" w:line="280" w:lineRule="exact"/>
              <w:ind w:left="0" w:firstLine="0"/>
              <w:jc w:val="center"/>
              <w:rPr>
                <w:b/>
                <w:sz w:val="20"/>
              </w:rPr>
            </w:pPr>
            <w:r w:rsidRPr="00DD3BD7">
              <w:rPr>
                <w:b/>
                <w:sz w:val="20"/>
              </w:rPr>
              <w:t>Number Issued</w:t>
            </w:r>
          </w:p>
        </w:tc>
        <w:tc>
          <w:tcPr>
            <w:tcW w:w="3330" w:type="dxa"/>
          </w:tcPr>
          <w:p w14:paraId="1D7E1A29" w14:textId="77777777" w:rsidR="004D3486" w:rsidRPr="00DD3BD7" w:rsidRDefault="004D3486" w:rsidP="004E4EEE">
            <w:pPr>
              <w:pStyle w:val="List"/>
              <w:tabs>
                <w:tab w:val="left" w:pos="360"/>
              </w:tabs>
              <w:spacing w:before="0" w:line="280" w:lineRule="exact"/>
              <w:ind w:left="0" w:firstLine="0"/>
              <w:jc w:val="center"/>
              <w:rPr>
                <w:b/>
                <w:sz w:val="20"/>
              </w:rPr>
            </w:pPr>
            <w:r w:rsidRPr="00DD3BD7">
              <w:rPr>
                <w:b/>
                <w:sz w:val="20"/>
              </w:rPr>
              <w:t>Details of Issuance</w:t>
            </w:r>
          </w:p>
        </w:tc>
        <w:tc>
          <w:tcPr>
            <w:tcW w:w="2561" w:type="dxa"/>
          </w:tcPr>
          <w:p w14:paraId="09BE4E6C" w14:textId="77777777" w:rsidR="004D3486" w:rsidRPr="00DD3BD7" w:rsidRDefault="004D3486" w:rsidP="004E4EEE">
            <w:pPr>
              <w:pStyle w:val="List"/>
              <w:tabs>
                <w:tab w:val="left" w:pos="360"/>
              </w:tabs>
              <w:spacing w:before="0" w:line="280" w:lineRule="exact"/>
              <w:ind w:left="0" w:firstLine="0"/>
              <w:jc w:val="center"/>
              <w:rPr>
                <w:b/>
                <w:sz w:val="20"/>
              </w:rPr>
            </w:pPr>
            <w:r w:rsidRPr="00DD3BD7">
              <w:rPr>
                <w:b/>
                <w:sz w:val="20"/>
              </w:rPr>
              <w:t>Use of Proceeds</w:t>
            </w:r>
          </w:p>
        </w:tc>
      </w:tr>
      <w:tr w:rsidR="00DD3BD7" w:rsidRPr="00DD3BD7" w14:paraId="099103DE" w14:textId="77777777" w:rsidTr="00DE58D1">
        <w:trPr>
          <w:cantSplit/>
        </w:trPr>
        <w:tc>
          <w:tcPr>
            <w:tcW w:w="1885" w:type="dxa"/>
          </w:tcPr>
          <w:p w14:paraId="13E06A90" w14:textId="6639CF65" w:rsidR="004D3486" w:rsidRPr="00D6271B" w:rsidRDefault="001E7881" w:rsidP="004E4EEE">
            <w:pPr>
              <w:pStyle w:val="List"/>
              <w:tabs>
                <w:tab w:val="left" w:pos="360"/>
              </w:tabs>
              <w:spacing w:before="0" w:line="280" w:lineRule="exact"/>
              <w:ind w:left="0" w:firstLine="0"/>
              <w:jc w:val="left"/>
              <w:rPr>
                <w:sz w:val="20"/>
              </w:rPr>
            </w:pPr>
            <w:r w:rsidRPr="00D6271B">
              <w:rPr>
                <w:sz w:val="20"/>
              </w:rPr>
              <w:t>Common Shares</w:t>
            </w:r>
          </w:p>
        </w:tc>
        <w:tc>
          <w:tcPr>
            <w:tcW w:w="1800" w:type="dxa"/>
          </w:tcPr>
          <w:p w14:paraId="2364D268" w14:textId="52C6FC20" w:rsidR="004D3486" w:rsidRPr="00722163" w:rsidRDefault="00722163" w:rsidP="004E4EEE">
            <w:pPr>
              <w:pStyle w:val="List"/>
              <w:tabs>
                <w:tab w:val="left" w:pos="360"/>
              </w:tabs>
              <w:spacing w:before="0" w:line="280" w:lineRule="exact"/>
              <w:ind w:left="0" w:firstLine="0"/>
              <w:jc w:val="left"/>
              <w:rPr>
                <w:sz w:val="20"/>
              </w:rPr>
            </w:pPr>
            <w:r w:rsidRPr="00722163">
              <w:rPr>
                <w:sz w:val="20"/>
              </w:rPr>
              <w:t>1,393,358</w:t>
            </w:r>
          </w:p>
        </w:tc>
        <w:tc>
          <w:tcPr>
            <w:tcW w:w="3330" w:type="dxa"/>
          </w:tcPr>
          <w:p w14:paraId="6DE8AD2E" w14:textId="67368614" w:rsidR="004D3486" w:rsidRPr="00D6271B" w:rsidRDefault="00AA7E6B" w:rsidP="004E4EEE">
            <w:pPr>
              <w:pStyle w:val="List"/>
              <w:tabs>
                <w:tab w:val="left" w:pos="360"/>
              </w:tabs>
              <w:spacing w:before="0" w:line="280" w:lineRule="exact"/>
              <w:ind w:left="0" w:firstLine="0"/>
              <w:jc w:val="left"/>
              <w:rPr>
                <w:sz w:val="20"/>
              </w:rPr>
            </w:pPr>
            <w:r w:rsidRPr="00D6271B">
              <w:rPr>
                <w:sz w:val="20"/>
              </w:rPr>
              <w:t>Warrants Exercised</w:t>
            </w:r>
          </w:p>
        </w:tc>
        <w:tc>
          <w:tcPr>
            <w:tcW w:w="2561" w:type="dxa"/>
          </w:tcPr>
          <w:p w14:paraId="1248AFE8" w14:textId="770C725B" w:rsidR="004D3486" w:rsidRPr="00D6271B" w:rsidRDefault="00DE58D1" w:rsidP="00DE58D1">
            <w:pPr>
              <w:pStyle w:val="List"/>
              <w:tabs>
                <w:tab w:val="left" w:pos="360"/>
              </w:tabs>
              <w:spacing w:before="0" w:line="280" w:lineRule="exact"/>
              <w:ind w:left="0" w:firstLine="0"/>
              <w:jc w:val="left"/>
              <w:rPr>
                <w:sz w:val="20"/>
              </w:rPr>
            </w:pPr>
            <w:r w:rsidRPr="00D6271B">
              <w:rPr>
                <w:sz w:val="20"/>
              </w:rPr>
              <w:t>General &amp; Administrative</w:t>
            </w:r>
          </w:p>
        </w:tc>
      </w:tr>
      <w:tr w:rsidR="00DD3BD7" w:rsidRPr="00DD3BD7" w14:paraId="49A55737" w14:textId="77777777" w:rsidTr="00DE58D1">
        <w:trPr>
          <w:cantSplit/>
        </w:trPr>
        <w:tc>
          <w:tcPr>
            <w:tcW w:w="1885" w:type="dxa"/>
          </w:tcPr>
          <w:p w14:paraId="1B4E120D" w14:textId="6864763A" w:rsidR="004D3486" w:rsidRPr="00D6271B" w:rsidRDefault="003A0EBA" w:rsidP="004E4EEE">
            <w:pPr>
              <w:pStyle w:val="List"/>
              <w:tabs>
                <w:tab w:val="left" w:pos="360"/>
              </w:tabs>
              <w:spacing w:before="0" w:line="280" w:lineRule="exact"/>
              <w:ind w:left="0" w:firstLine="0"/>
              <w:jc w:val="left"/>
              <w:rPr>
                <w:sz w:val="20"/>
              </w:rPr>
            </w:pPr>
            <w:r w:rsidRPr="00D6271B">
              <w:rPr>
                <w:sz w:val="20"/>
              </w:rPr>
              <w:t>Common Shares</w:t>
            </w:r>
          </w:p>
        </w:tc>
        <w:tc>
          <w:tcPr>
            <w:tcW w:w="1800" w:type="dxa"/>
          </w:tcPr>
          <w:p w14:paraId="1D172B41" w14:textId="2D40FF33" w:rsidR="004D3486" w:rsidRPr="00722163" w:rsidRDefault="00722163" w:rsidP="004E4EEE">
            <w:pPr>
              <w:pStyle w:val="List"/>
              <w:tabs>
                <w:tab w:val="left" w:pos="360"/>
              </w:tabs>
              <w:spacing w:before="0" w:line="280" w:lineRule="exact"/>
              <w:ind w:left="0" w:firstLine="0"/>
              <w:jc w:val="left"/>
              <w:rPr>
                <w:sz w:val="20"/>
              </w:rPr>
            </w:pPr>
            <w:r w:rsidRPr="00722163">
              <w:rPr>
                <w:sz w:val="20"/>
              </w:rPr>
              <w:t>550,117</w:t>
            </w:r>
          </w:p>
        </w:tc>
        <w:tc>
          <w:tcPr>
            <w:tcW w:w="3330" w:type="dxa"/>
          </w:tcPr>
          <w:p w14:paraId="1CE32EBD" w14:textId="2431F81E" w:rsidR="004D3486" w:rsidRPr="00D6271B" w:rsidRDefault="00AA7E6B" w:rsidP="004E4EEE">
            <w:pPr>
              <w:pStyle w:val="List"/>
              <w:tabs>
                <w:tab w:val="left" w:pos="360"/>
              </w:tabs>
              <w:spacing w:before="0" w:line="280" w:lineRule="exact"/>
              <w:ind w:left="0" w:firstLine="0"/>
              <w:jc w:val="left"/>
              <w:rPr>
                <w:sz w:val="20"/>
              </w:rPr>
            </w:pPr>
            <w:r w:rsidRPr="00D6271B">
              <w:rPr>
                <w:sz w:val="20"/>
              </w:rPr>
              <w:t>Compensation Options Exercised</w:t>
            </w:r>
            <w:r w:rsidR="003A0EBA" w:rsidRPr="00D6271B">
              <w:rPr>
                <w:sz w:val="20"/>
              </w:rPr>
              <w:t xml:space="preserve"> </w:t>
            </w:r>
          </w:p>
        </w:tc>
        <w:tc>
          <w:tcPr>
            <w:tcW w:w="2561" w:type="dxa"/>
          </w:tcPr>
          <w:p w14:paraId="5284BF22" w14:textId="2FB1B99F" w:rsidR="004D3486" w:rsidRPr="00D6271B" w:rsidRDefault="00DE58D1" w:rsidP="004E4EEE">
            <w:pPr>
              <w:pStyle w:val="List"/>
              <w:tabs>
                <w:tab w:val="left" w:pos="360"/>
              </w:tabs>
              <w:spacing w:before="0" w:line="280" w:lineRule="exact"/>
              <w:ind w:left="0" w:firstLine="0"/>
              <w:jc w:val="left"/>
              <w:rPr>
                <w:sz w:val="20"/>
              </w:rPr>
            </w:pPr>
            <w:r w:rsidRPr="00D6271B">
              <w:rPr>
                <w:sz w:val="20"/>
              </w:rPr>
              <w:t>General &amp; Administrative</w:t>
            </w:r>
          </w:p>
        </w:tc>
      </w:tr>
    </w:tbl>
    <w:p w14:paraId="7C8443B8" w14:textId="77777777" w:rsidR="00A95A22" w:rsidRPr="00DD3BD7" w:rsidRDefault="00A95A22" w:rsidP="004E4EEE">
      <w:pPr>
        <w:pStyle w:val="List"/>
        <w:spacing w:before="0"/>
        <w:ind w:left="0" w:firstLine="0"/>
        <w:rPr>
          <w:b/>
          <w:sz w:val="20"/>
        </w:rPr>
      </w:pPr>
    </w:p>
    <w:p w14:paraId="7926E21A" w14:textId="77777777" w:rsidR="00A95A22" w:rsidRPr="00DD3BD7" w:rsidRDefault="00A95A22" w:rsidP="004E4EEE">
      <w:pPr>
        <w:pStyle w:val="List"/>
        <w:keepNext/>
        <w:keepLines/>
        <w:numPr>
          <w:ilvl w:val="0"/>
          <w:numId w:val="2"/>
        </w:numPr>
        <w:spacing w:before="0"/>
        <w:rPr>
          <w:b/>
          <w:sz w:val="20"/>
        </w:rPr>
      </w:pPr>
      <w:r w:rsidRPr="00DD3BD7">
        <w:rPr>
          <w:b/>
          <w:sz w:val="20"/>
        </w:rPr>
        <w:t>Provide details of any loans to or by Related Persons.</w:t>
      </w:r>
    </w:p>
    <w:p w14:paraId="63BCEDD0" w14:textId="77777777" w:rsidR="00A95A22" w:rsidRPr="00DD3BD7" w:rsidRDefault="00A95A22" w:rsidP="004E4EEE">
      <w:pPr>
        <w:pStyle w:val="ListParagraph"/>
      </w:pPr>
    </w:p>
    <w:p w14:paraId="61FC33D4" w14:textId="7EB498BA" w:rsidR="00A95A22" w:rsidRPr="00DD3BD7" w:rsidRDefault="00DD3BD7" w:rsidP="004E4EEE">
      <w:pPr>
        <w:pStyle w:val="ListParagraph"/>
        <w:jc w:val="both"/>
        <w:rPr>
          <w:rFonts w:ascii="Arial" w:hAnsi="Arial" w:cs="Arial"/>
          <w:sz w:val="20"/>
          <w:szCs w:val="20"/>
        </w:rPr>
      </w:pPr>
      <w:r w:rsidRPr="00DD3BD7">
        <w:rPr>
          <w:rFonts w:ascii="Arial" w:hAnsi="Arial" w:cs="Arial"/>
          <w:sz w:val="20"/>
          <w:szCs w:val="20"/>
        </w:rPr>
        <w:t>None</w:t>
      </w:r>
      <w:r w:rsidR="00A95A22" w:rsidRPr="00DD3BD7">
        <w:rPr>
          <w:rFonts w:ascii="Arial" w:hAnsi="Arial" w:cs="Arial"/>
          <w:sz w:val="20"/>
          <w:szCs w:val="20"/>
        </w:rPr>
        <w:t>.</w:t>
      </w:r>
    </w:p>
    <w:p w14:paraId="44897740" w14:textId="77777777" w:rsidR="004E4EEE" w:rsidRPr="00DD3BD7" w:rsidRDefault="004E4EEE" w:rsidP="004E4EEE">
      <w:pPr>
        <w:pStyle w:val="ListParagraph"/>
        <w:jc w:val="both"/>
        <w:rPr>
          <w:rFonts w:ascii="Arial" w:hAnsi="Arial" w:cs="Arial"/>
          <w:sz w:val="20"/>
          <w:szCs w:val="20"/>
        </w:rPr>
      </w:pPr>
    </w:p>
    <w:p w14:paraId="235D421B" w14:textId="77777777" w:rsidR="00A95A22" w:rsidRPr="00DD3BD7" w:rsidRDefault="00A95A22" w:rsidP="004E4EEE">
      <w:pPr>
        <w:pStyle w:val="List"/>
        <w:keepNext/>
        <w:keepLines/>
        <w:numPr>
          <w:ilvl w:val="0"/>
          <w:numId w:val="2"/>
        </w:numPr>
        <w:spacing w:before="0"/>
        <w:rPr>
          <w:b/>
          <w:sz w:val="20"/>
        </w:rPr>
      </w:pPr>
      <w:r w:rsidRPr="00DD3BD7">
        <w:rPr>
          <w:b/>
          <w:sz w:val="20"/>
        </w:rPr>
        <w:t>Provide details of any changes in directors, officers or committee members.</w:t>
      </w:r>
    </w:p>
    <w:p w14:paraId="5A935960" w14:textId="77777777" w:rsidR="004E4EEE" w:rsidRPr="00DD3BD7" w:rsidRDefault="004E4EEE" w:rsidP="004E4EEE">
      <w:pPr>
        <w:pStyle w:val="BodyText"/>
        <w:spacing w:before="0"/>
        <w:rPr>
          <w:sz w:val="20"/>
        </w:rPr>
      </w:pPr>
    </w:p>
    <w:p w14:paraId="4BBDC379" w14:textId="61D8935C" w:rsidR="00A95A22" w:rsidRPr="00DD3BD7" w:rsidRDefault="00A95A22" w:rsidP="004E4EEE">
      <w:pPr>
        <w:pStyle w:val="BodyText"/>
        <w:spacing w:before="0"/>
        <w:rPr>
          <w:sz w:val="20"/>
        </w:rPr>
      </w:pPr>
      <w:r w:rsidRPr="00DD3BD7">
        <w:rPr>
          <w:sz w:val="20"/>
        </w:rPr>
        <w:t>None.</w:t>
      </w:r>
    </w:p>
    <w:p w14:paraId="4C9A284F" w14:textId="77777777" w:rsidR="004E4EEE" w:rsidRPr="00DD3BD7" w:rsidRDefault="004E4EEE" w:rsidP="004E4EEE">
      <w:pPr>
        <w:pStyle w:val="BodyText"/>
        <w:spacing w:before="0"/>
        <w:rPr>
          <w:sz w:val="20"/>
        </w:rPr>
      </w:pPr>
    </w:p>
    <w:p w14:paraId="4A00E59A" w14:textId="22E5B444" w:rsidR="00A95A22" w:rsidRPr="00DD3BD7" w:rsidRDefault="00A95A22" w:rsidP="004E4EEE">
      <w:pPr>
        <w:pStyle w:val="List"/>
        <w:numPr>
          <w:ilvl w:val="0"/>
          <w:numId w:val="2"/>
        </w:numPr>
        <w:spacing w:before="0"/>
        <w:rPr>
          <w:b/>
          <w:sz w:val="20"/>
        </w:rPr>
      </w:pPr>
      <w:r w:rsidRPr="00DD3BD7">
        <w:rPr>
          <w:b/>
          <w:sz w:val="20"/>
        </w:rPr>
        <w:t>Discuss any trends which are likely to impact the Issuer including trends in the Issuer</w:t>
      </w:r>
      <w:r w:rsidR="001314FA" w:rsidRPr="00DD3BD7">
        <w:rPr>
          <w:b/>
          <w:sz w:val="20"/>
        </w:rPr>
        <w:t>’</w:t>
      </w:r>
      <w:r w:rsidRPr="00DD3BD7">
        <w:rPr>
          <w:b/>
          <w:sz w:val="20"/>
        </w:rPr>
        <w:t>s market(s) or political/regulatory trends.</w:t>
      </w:r>
    </w:p>
    <w:p w14:paraId="67A2F0A2" w14:textId="77777777" w:rsidR="004E4EEE" w:rsidRPr="00DD3BD7" w:rsidRDefault="004E4EEE" w:rsidP="004E4EEE">
      <w:pPr>
        <w:pStyle w:val="BodyText"/>
        <w:spacing w:before="0"/>
        <w:rPr>
          <w:sz w:val="20"/>
        </w:rPr>
      </w:pPr>
    </w:p>
    <w:p w14:paraId="1F752D53" w14:textId="51092A27" w:rsidR="00A95A22" w:rsidRPr="00DD3BD7" w:rsidRDefault="00A95A22" w:rsidP="004E4EEE">
      <w:pPr>
        <w:pStyle w:val="BodyText"/>
        <w:spacing w:before="0"/>
        <w:rPr>
          <w:sz w:val="20"/>
        </w:rPr>
      </w:pPr>
      <w:r w:rsidRPr="00DD3BD7">
        <w:rPr>
          <w:sz w:val="20"/>
        </w:rPr>
        <w:t>None.</w:t>
      </w:r>
    </w:p>
    <w:p w14:paraId="0A6B4260" w14:textId="77777777" w:rsidR="00DD3BD7" w:rsidRDefault="00DD3BD7" w:rsidP="004E4EEE"/>
    <w:sectPr w:rsidR="00DD3BD7" w:rsidSect="007A278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8AFC" w14:textId="77777777" w:rsidR="00BA3679" w:rsidRDefault="00BA3679" w:rsidP="00426CB3">
      <w:r>
        <w:separator/>
      </w:r>
    </w:p>
  </w:endnote>
  <w:endnote w:type="continuationSeparator" w:id="0">
    <w:p w14:paraId="2E657D98" w14:textId="77777777" w:rsidR="00BA3679" w:rsidRDefault="00BA3679" w:rsidP="0042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64CD" w14:textId="77777777" w:rsidR="00BA3679" w:rsidRDefault="00BA3679" w:rsidP="00426CB3">
      <w:r>
        <w:separator/>
      </w:r>
    </w:p>
  </w:footnote>
  <w:footnote w:type="continuationSeparator" w:id="0">
    <w:p w14:paraId="32974C63" w14:textId="77777777" w:rsidR="00BA3679" w:rsidRDefault="00BA3679" w:rsidP="0042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7D17" w14:textId="7BF42966" w:rsidR="00DD3BD7" w:rsidRPr="00507D99" w:rsidRDefault="00DD3BD7" w:rsidP="00507D99">
    <w:pPr>
      <w:pStyle w:val="Header"/>
      <w:jc w:val="right"/>
      <w:rPr>
        <w:rFonts w:ascii="Arial" w:hAnsi="Arial" w:cs="Arial"/>
        <w:i/>
        <w:color w:val="7030A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A95A22"/>
    <w:rsid w:val="000061A3"/>
    <w:rsid w:val="000B223B"/>
    <w:rsid w:val="000D1D59"/>
    <w:rsid w:val="001314FA"/>
    <w:rsid w:val="00136CF7"/>
    <w:rsid w:val="001E7881"/>
    <w:rsid w:val="002E3087"/>
    <w:rsid w:val="00352585"/>
    <w:rsid w:val="00385383"/>
    <w:rsid w:val="003A0EBA"/>
    <w:rsid w:val="003A47B6"/>
    <w:rsid w:val="00426CB3"/>
    <w:rsid w:val="004D3486"/>
    <w:rsid w:val="004E4EEE"/>
    <w:rsid w:val="00507D99"/>
    <w:rsid w:val="005E7D0B"/>
    <w:rsid w:val="00651ADB"/>
    <w:rsid w:val="0067162B"/>
    <w:rsid w:val="006952E4"/>
    <w:rsid w:val="006F125F"/>
    <w:rsid w:val="006F5FD1"/>
    <w:rsid w:val="00722163"/>
    <w:rsid w:val="007A278A"/>
    <w:rsid w:val="007D3B39"/>
    <w:rsid w:val="008A55CB"/>
    <w:rsid w:val="00987008"/>
    <w:rsid w:val="009B450D"/>
    <w:rsid w:val="00A1457D"/>
    <w:rsid w:val="00A95A22"/>
    <w:rsid w:val="00AA7E6B"/>
    <w:rsid w:val="00B52BEC"/>
    <w:rsid w:val="00BA3679"/>
    <w:rsid w:val="00BE541D"/>
    <w:rsid w:val="00D47628"/>
    <w:rsid w:val="00D6271B"/>
    <w:rsid w:val="00D863C4"/>
    <w:rsid w:val="00DB68AF"/>
    <w:rsid w:val="00DD3BD7"/>
    <w:rsid w:val="00DE58D1"/>
    <w:rsid w:val="00F9389E"/>
    <w:rsid w:val="00FD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1F76"/>
  <w14:defaultImageDpi w14:val="330"/>
  <w15:chartTrackingRefBased/>
  <w15:docId w15:val="{ABBA0247-6435-7943-8447-48F1E17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A2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A22"/>
    <w:pPr>
      <w:spacing w:before="240"/>
      <w:ind w:left="720"/>
      <w:jc w:val="both"/>
    </w:pPr>
    <w:rPr>
      <w:rFonts w:ascii="Arial" w:hAnsi="Arial"/>
      <w:sz w:val="22"/>
      <w:lang w:val="en-GB"/>
    </w:rPr>
  </w:style>
  <w:style w:type="character" w:customStyle="1" w:styleId="BodyTextChar">
    <w:name w:val="Body Text Char"/>
    <w:basedOn w:val="DefaultParagraphFont"/>
    <w:link w:val="BodyText"/>
    <w:rsid w:val="00A95A22"/>
    <w:rPr>
      <w:rFonts w:ascii="Arial" w:eastAsia="Times New Roman" w:hAnsi="Arial" w:cs="Times New Roman"/>
      <w:sz w:val="22"/>
      <w:lang w:val="en-GB"/>
    </w:rPr>
  </w:style>
  <w:style w:type="paragraph" w:styleId="List">
    <w:name w:val="List"/>
    <w:basedOn w:val="BodyText"/>
    <w:rsid w:val="00A95A22"/>
    <w:pPr>
      <w:ind w:left="1080" w:hanging="1080"/>
    </w:pPr>
  </w:style>
  <w:style w:type="paragraph" w:styleId="Title">
    <w:name w:val="Title"/>
    <w:basedOn w:val="BodyText"/>
    <w:link w:val="TitleChar"/>
    <w:qFormat/>
    <w:rsid w:val="00A95A22"/>
    <w:pPr>
      <w:spacing w:after="240"/>
      <w:jc w:val="center"/>
    </w:pPr>
    <w:rPr>
      <w:b/>
      <w:sz w:val="40"/>
    </w:rPr>
  </w:style>
  <w:style w:type="character" w:customStyle="1" w:styleId="TitleChar">
    <w:name w:val="Title Char"/>
    <w:basedOn w:val="DefaultParagraphFont"/>
    <w:link w:val="Title"/>
    <w:rsid w:val="00A95A22"/>
    <w:rPr>
      <w:rFonts w:ascii="Arial" w:eastAsia="Times New Roman" w:hAnsi="Arial" w:cs="Times New Roman"/>
      <w:b/>
      <w:sz w:val="40"/>
      <w:lang w:val="en-GB"/>
    </w:rPr>
  </w:style>
  <w:style w:type="paragraph" w:styleId="ListParagraph">
    <w:name w:val="List Paragraph"/>
    <w:basedOn w:val="Normal"/>
    <w:uiPriority w:val="34"/>
    <w:qFormat/>
    <w:rsid w:val="00A95A22"/>
    <w:pPr>
      <w:ind w:left="720"/>
      <w:contextualSpacing/>
    </w:pPr>
  </w:style>
  <w:style w:type="paragraph" w:customStyle="1" w:styleId="TextJustified">
    <w:name w:val="Text Justified"/>
    <w:basedOn w:val="Normal"/>
    <w:link w:val="TextJustifiedChar"/>
    <w:qFormat/>
    <w:rsid w:val="00A95A22"/>
    <w:pPr>
      <w:spacing w:after="240" w:line="276" w:lineRule="auto"/>
      <w:jc w:val="both"/>
    </w:pPr>
    <w:rPr>
      <w:rFonts w:ascii="Arial" w:eastAsiaTheme="minorHAnsi" w:hAnsi="Arial" w:cstheme="minorBidi"/>
    </w:rPr>
  </w:style>
  <w:style w:type="character" w:customStyle="1" w:styleId="TextJustifiedChar">
    <w:name w:val="Text Justified Char"/>
    <w:basedOn w:val="DefaultParagraphFont"/>
    <w:link w:val="TextJustified"/>
    <w:rsid w:val="00A95A22"/>
    <w:rPr>
      <w:rFonts w:ascii="Arial" w:hAnsi="Arial"/>
      <w:lang w:val="en-CA"/>
    </w:rPr>
  </w:style>
  <w:style w:type="paragraph" w:styleId="Header">
    <w:name w:val="header"/>
    <w:basedOn w:val="Normal"/>
    <w:link w:val="HeaderChar"/>
    <w:uiPriority w:val="99"/>
    <w:unhideWhenUsed/>
    <w:rsid w:val="00426CB3"/>
    <w:pPr>
      <w:tabs>
        <w:tab w:val="center" w:pos="4680"/>
        <w:tab w:val="right" w:pos="9360"/>
      </w:tabs>
    </w:pPr>
  </w:style>
  <w:style w:type="character" w:customStyle="1" w:styleId="HeaderChar">
    <w:name w:val="Header Char"/>
    <w:basedOn w:val="DefaultParagraphFont"/>
    <w:link w:val="Header"/>
    <w:uiPriority w:val="99"/>
    <w:rsid w:val="00426CB3"/>
    <w:rPr>
      <w:rFonts w:ascii="Times New Roman" w:eastAsia="Times New Roman" w:hAnsi="Times New Roman" w:cs="Times New Roman"/>
      <w:lang w:val="en-CA"/>
    </w:rPr>
  </w:style>
  <w:style w:type="paragraph" w:styleId="Footer">
    <w:name w:val="footer"/>
    <w:basedOn w:val="Normal"/>
    <w:link w:val="FooterChar"/>
    <w:uiPriority w:val="99"/>
    <w:unhideWhenUsed/>
    <w:rsid w:val="00426CB3"/>
    <w:pPr>
      <w:tabs>
        <w:tab w:val="center" w:pos="4680"/>
        <w:tab w:val="right" w:pos="9360"/>
      </w:tabs>
    </w:pPr>
  </w:style>
  <w:style w:type="character" w:customStyle="1" w:styleId="FooterChar">
    <w:name w:val="Footer Char"/>
    <w:basedOn w:val="DefaultParagraphFont"/>
    <w:link w:val="Footer"/>
    <w:uiPriority w:val="99"/>
    <w:rsid w:val="00426CB3"/>
    <w:rPr>
      <w:rFonts w:ascii="Times New Roman" w:eastAsia="Times New Roman" w:hAnsi="Times New Roman" w:cs="Times New Roman"/>
      <w:lang w:val="en-CA"/>
    </w:rPr>
  </w:style>
  <w:style w:type="character" w:customStyle="1" w:styleId="DocID">
    <w:name w:val="DocID"/>
    <w:basedOn w:val="DefaultParagraphFont"/>
    <w:rsid w:val="00426CB3"/>
    <w:rPr>
      <w:rFonts w:ascii="Arial" w:hAnsi="Arial" w:cs="Arial"/>
      <w:color w:val="000000"/>
      <w:sz w:val="16"/>
    </w:rPr>
  </w:style>
  <w:style w:type="paragraph" w:styleId="BalloonText">
    <w:name w:val="Balloon Text"/>
    <w:basedOn w:val="Normal"/>
    <w:link w:val="BalloonTextChar"/>
    <w:uiPriority w:val="99"/>
    <w:semiHidden/>
    <w:unhideWhenUsed/>
    <w:rsid w:val="00385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83"/>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661">
      <w:bodyDiv w:val="1"/>
      <w:marLeft w:val="0"/>
      <w:marRight w:val="0"/>
      <w:marTop w:val="0"/>
      <w:marBottom w:val="0"/>
      <w:divBdr>
        <w:top w:val="none" w:sz="0" w:space="0" w:color="auto"/>
        <w:left w:val="none" w:sz="0" w:space="0" w:color="auto"/>
        <w:bottom w:val="none" w:sz="0" w:space="0" w:color="auto"/>
        <w:right w:val="none" w:sz="0" w:space="0" w:color="auto"/>
      </w:divBdr>
    </w:div>
    <w:div w:id="727261966">
      <w:bodyDiv w:val="1"/>
      <w:marLeft w:val="0"/>
      <w:marRight w:val="0"/>
      <w:marTop w:val="0"/>
      <w:marBottom w:val="0"/>
      <w:divBdr>
        <w:top w:val="none" w:sz="0" w:space="0" w:color="auto"/>
        <w:left w:val="none" w:sz="0" w:space="0" w:color="auto"/>
        <w:bottom w:val="none" w:sz="0" w:space="0" w:color="auto"/>
        <w:right w:val="none" w:sz="0" w:space="0" w:color="auto"/>
      </w:divBdr>
    </w:div>
    <w:div w:id="1016227254">
      <w:bodyDiv w:val="1"/>
      <w:marLeft w:val="0"/>
      <w:marRight w:val="0"/>
      <w:marTop w:val="0"/>
      <w:marBottom w:val="0"/>
      <w:divBdr>
        <w:top w:val="none" w:sz="0" w:space="0" w:color="auto"/>
        <w:left w:val="none" w:sz="0" w:space="0" w:color="auto"/>
        <w:bottom w:val="none" w:sz="0" w:space="0" w:color="auto"/>
        <w:right w:val="none" w:sz="0" w:space="0" w:color="auto"/>
      </w:divBdr>
    </w:div>
    <w:div w:id="1093867112">
      <w:bodyDiv w:val="1"/>
      <w:marLeft w:val="0"/>
      <w:marRight w:val="0"/>
      <w:marTop w:val="0"/>
      <w:marBottom w:val="0"/>
      <w:divBdr>
        <w:top w:val="none" w:sz="0" w:space="0" w:color="auto"/>
        <w:left w:val="none" w:sz="0" w:space="0" w:color="auto"/>
        <w:bottom w:val="none" w:sz="0" w:space="0" w:color="auto"/>
        <w:right w:val="none" w:sz="0" w:space="0" w:color="auto"/>
      </w:divBdr>
    </w:div>
    <w:div w:id="18543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Rutherford</dc:creator>
  <cp:keywords/>
  <dc:description/>
  <cp:lastModifiedBy>Mikel Rutherford</cp:lastModifiedBy>
  <cp:revision>10</cp:revision>
  <cp:lastPrinted>2019-05-02T18:03:00Z</cp:lastPrinted>
  <dcterms:created xsi:type="dcterms:W3CDTF">2019-05-02T18:03:00Z</dcterms:created>
  <dcterms:modified xsi:type="dcterms:W3CDTF">2019-05-03T15:53:00Z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39542544_1|NATDOCS</vt:lpwstr>
  </property>
</Properties>
</file>