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E7F4" w14:textId="77777777" w:rsidR="00BE236A" w:rsidRDefault="00BE236A" w:rsidP="00BE236A">
      <w:pPr>
        <w:jc w:val="center"/>
      </w:pPr>
      <w:bookmarkStart w:id="0" w:name="_GoBack"/>
      <w:bookmarkEnd w:id="0"/>
    </w:p>
    <w:p w14:paraId="3D674E83" w14:textId="77777777" w:rsidR="00BE236A" w:rsidRPr="00A25E36" w:rsidRDefault="00BE236A" w:rsidP="00BE236A">
      <w:pPr>
        <w:ind w:left="720"/>
        <w:jc w:val="center"/>
        <w:rPr>
          <w:rFonts w:cs="Arial"/>
          <w:b/>
          <w:bCs/>
          <w:sz w:val="20"/>
        </w:rPr>
      </w:pPr>
      <w:r w:rsidRPr="00A25E36">
        <w:rPr>
          <w:rFonts w:cs="Arial"/>
          <w:b/>
          <w:bCs/>
          <w:sz w:val="24"/>
        </w:rPr>
        <w:t>PROJECT ONE RESOURCES LTD.</w:t>
      </w:r>
    </w:p>
    <w:p w14:paraId="3F3BCD62" w14:textId="77777777" w:rsidR="00BE236A" w:rsidRPr="00A25E36" w:rsidRDefault="00BE236A" w:rsidP="00BE236A">
      <w:pPr>
        <w:ind w:left="720"/>
        <w:jc w:val="center"/>
        <w:rPr>
          <w:rFonts w:cs="Arial"/>
          <w:b/>
          <w:bCs/>
          <w:sz w:val="20"/>
        </w:rPr>
      </w:pPr>
    </w:p>
    <w:p w14:paraId="7443019D" w14:textId="77777777" w:rsidR="00BE236A" w:rsidRPr="00A25E36" w:rsidRDefault="00BE236A" w:rsidP="00BE236A">
      <w:pPr>
        <w:ind w:left="720"/>
        <w:jc w:val="center"/>
        <w:rPr>
          <w:rFonts w:cs="Arial"/>
          <w:b/>
          <w:bCs/>
          <w:sz w:val="20"/>
        </w:rPr>
      </w:pPr>
      <w:r>
        <w:rPr>
          <w:rFonts w:cs="Arial"/>
          <w:b/>
          <w:bCs/>
          <w:sz w:val="20"/>
        </w:rPr>
        <w:t xml:space="preserve">Condensed Interim </w:t>
      </w:r>
      <w:r w:rsidRPr="00A25E36">
        <w:rPr>
          <w:rFonts w:cs="Arial"/>
          <w:b/>
          <w:bCs/>
          <w:sz w:val="20"/>
        </w:rPr>
        <w:t>Financial Statements</w:t>
      </w:r>
    </w:p>
    <w:p w14:paraId="49A1DC25" w14:textId="77777777" w:rsidR="00BE236A" w:rsidRPr="00A25E36" w:rsidRDefault="00BE236A" w:rsidP="00BE236A">
      <w:pPr>
        <w:ind w:left="720"/>
        <w:jc w:val="center"/>
        <w:rPr>
          <w:rFonts w:cs="Arial"/>
          <w:b/>
          <w:bCs/>
          <w:sz w:val="20"/>
        </w:rPr>
      </w:pPr>
      <w:r w:rsidRPr="00A25E36">
        <w:rPr>
          <w:rFonts w:cs="Arial"/>
          <w:b/>
          <w:bCs/>
          <w:sz w:val="20"/>
        </w:rPr>
        <w:t xml:space="preserve">For the </w:t>
      </w:r>
      <w:r>
        <w:rPr>
          <w:rFonts w:cs="Arial"/>
          <w:b/>
          <w:bCs/>
          <w:sz w:val="20"/>
        </w:rPr>
        <w:t xml:space="preserve">three and nine month </w:t>
      </w:r>
      <w:r w:rsidRPr="00A25E36">
        <w:rPr>
          <w:rFonts w:cs="Arial"/>
          <w:b/>
          <w:bCs/>
          <w:sz w:val="20"/>
        </w:rPr>
        <w:t>period</w:t>
      </w:r>
      <w:r>
        <w:rPr>
          <w:rFonts w:cs="Arial"/>
          <w:b/>
          <w:bCs/>
          <w:sz w:val="20"/>
        </w:rPr>
        <w:t>s</w:t>
      </w:r>
      <w:r w:rsidRPr="00A25E36">
        <w:rPr>
          <w:rFonts w:cs="Arial"/>
          <w:b/>
          <w:bCs/>
          <w:sz w:val="20"/>
        </w:rPr>
        <w:t xml:space="preserve"> ended </w:t>
      </w:r>
      <w:r>
        <w:rPr>
          <w:rFonts w:cs="Arial"/>
          <w:b/>
          <w:bCs/>
          <w:sz w:val="20"/>
        </w:rPr>
        <w:t>May 31, 2019</w:t>
      </w:r>
    </w:p>
    <w:p w14:paraId="618757DF" w14:textId="77777777" w:rsidR="00BE236A" w:rsidRDefault="00BE236A" w:rsidP="00BE236A">
      <w:pPr>
        <w:ind w:left="720"/>
        <w:jc w:val="center"/>
        <w:rPr>
          <w:rFonts w:cs="Arial"/>
          <w:b/>
          <w:bCs/>
          <w:sz w:val="20"/>
        </w:rPr>
      </w:pPr>
      <w:r w:rsidRPr="00A25E36">
        <w:rPr>
          <w:rFonts w:cs="Arial"/>
          <w:b/>
          <w:bCs/>
          <w:sz w:val="20"/>
        </w:rPr>
        <w:t>(Expressed in Canadian Dollars)</w:t>
      </w:r>
    </w:p>
    <w:p w14:paraId="2042FD73" w14:textId="77777777" w:rsidR="00BE236A" w:rsidRDefault="00BE236A" w:rsidP="00BE236A">
      <w:pPr>
        <w:ind w:left="720"/>
        <w:jc w:val="center"/>
        <w:rPr>
          <w:rFonts w:cs="Arial"/>
          <w:b/>
          <w:bCs/>
          <w:sz w:val="20"/>
        </w:rPr>
      </w:pPr>
      <w:r>
        <w:rPr>
          <w:rFonts w:cs="Arial"/>
          <w:b/>
          <w:bCs/>
          <w:sz w:val="20"/>
        </w:rPr>
        <w:t>(Unaudited)</w:t>
      </w:r>
    </w:p>
    <w:p w14:paraId="4501ECC9" w14:textId="77777777" w:rsidR="00977581" w:rsidRPr="009F7745" w:rsidRDefault="00977581">
      <w:pPr>
        <w:spacing w:after="160" w:line="259" w:lineRule="auto"/>
        <w:rPr>
          <w:rFonts w:asciiTheme="minorHAnsi" w:hAnsiTheme="minorHAnsi" w:cstheme="minorHAnsi"/>
          <w:szCs w:val="22"/>
        </w:rPr>
      </w:pPr>
      <w:r w:rsidRPr="009F7745">
        <w:rPr>
          <w:rFonts w:asciiTheme="minorHAnsi" w:hAnsiTheme="minorHAnsi" w:cstheme="minorHAnsi"/>
          <w:szCs w:val="22"/>
        </w:rPr>
        <w:br w:type="page"/>
      </w:r>
    </w:p>
    <w:p w14:paraId="75E5A3D9" w14:textId="77777777" w:rsidR="000D10EB" w:rsidRPr="009F7745" w:rsidRDefault="000D10EB" w:rsidP="00977581">
      <w:pPr>
        <w:pStyle w:val="FSBodyIndent"/>
        <w:jc w:val="center"/>
        <w:rPr>
          <w:rFonts w:asciiTheme="minorHAnsi" w:hAnsiTheme="minorHAnsi" w:cstheme="minorHAnsi"/>
          <w:b/>
          <w:szCs w:val="22"/>
        </w:rPr>
      </w:pPr>
    </w:p>
    <w:p w14:paraId="05CBAAF4" w14:textId="77777777" w:rsidR="000D10EB" w:rsidRPr="009F7745" w:rsidRDefault="000D10EB" w:rsidP="00977581">
      <w:pPr>
        <w:pStyle w:val="FSBodyIndent"/>
        <w:jc w:val="center"/>
        <w:rPr>
          <w:rFonts w:asciiTheme="minorHAnsi" w:hAnsiTheme="minorHAnsi" w:cstheme="minorHAnsi"/>
          <w:b/>
          <w:szCs w:val="22"/>
        </w:rPr>
      </w:pPr>
    </w:p>
    <w:p w14:paraId="716A1480" w14:textId="77777777" w:rsidR="000D10EB" w:rsidRPr="009F7745" w:rsidRDefault="000D10EB" w:rsidP="00977581">
      <w:pPr>
        <w:pStyle w:val="FSBodyIndent"/>
        <w:jc w:val="center"/>
        <w:rPr>
          <w:rFonts w:asciiTheme="minorHAnsi" w:hAnsiTheme="minorHAnsi" w:cstheme="minorHAnsi"/>
          <w:b/>
          <w:szCs w:val="22"/>
        </w:rPr>
      </w:pPr>
    </w:p>
    <w:p w14:paraId="0DA165BE" w14:textId="77777777" w:rsidR="000D10EB" w:rsidRPr="009F7745" w:rsidRDefault="000D10EB" w:rsidP="00977581">
      <w:pPr>
        <w:pStyle w:val="FSBodyIndent"/>
        <w:jc w:val="center"/>
        <w:rPr>
          <w:rFonts w:asciiTheme="minorHAnsi" w:hAnsiTheme="minorHAnsi" w:cstheme="minorHAnsi"/>
          <w:b/>
          <w:szCs w:val="22"/>
        </w:rPr>
      </w:pPr>
    </w:p>
    <w:p w14:paraId="03C8EB97" w14:textId="77777777" w:rsidR="000D10EB" w:rsidRPr="009F7745" w:rsidRDefault="000D10EB" w:rsidP="00977581">
      <w:pPr>
        <w:pStyle w:val="FSBodyIndent"/>
        <w:jc w:val="center"/>
        <w:rPr>
          <w:rFonts w:asciiTheme="minorHAnsi" w:hAnsiTheme="minorHAnsi" w:cstheme="minorHAnsi"/>
          <w:b/>
          <w:szCs w:val="22"/>
        </w:rPr>
      </w:pPr>
    </w:p>
    <w:p w14:paraId="4E02B0DC" w14:textId="77777777" w:rsidR="00977581" w:rsidRPr="009F7745" w:rsidRDefault="00977581" w:rsidP="00977581">
      <w:pPr>
        <w:pStyle w:val="FSBodyIndent"/>
        <w:jc w:val="center"/>
        <w:rPr>
          <w:rFonts w:asciiTheme="minorHAnsi" w:hAnsiTheme="minorHAnsi" w:cstheme="minorHAnsi"/>
          <w:b/>
          <w:szCs w:val="22"/>
        </w:rPr>
      </w:pPr>
      <w:r w:rsidRPr="009F7745">
        <w:rPr>
          <w:rFonts w:asciiTheme="minorHAnsi" w:hAnsiTheme="minorHAnsi" w:cstheme="minorHAnsi"/>
          <w:b/>
          <w:szCs w:val="22"/>
        </w:rPr>
        <w:t>NOTICE OF NO AUDITOR REVIEW OF INTERIM FINANCIAL STATEMENTS</w:t>
      </w:r>
    </w:p>
    <w:p w14:paraId="5847B9D1" w14:textId="77777777" w:rsidR="00977581" w:rsidRPr="009F7745" w:rsidRDefault="00977581" w:rsidP="00977581">
      <w:pPr>
        <w:pStyle w:val="FSBodyIndent"/>
        <w:ind w:left="0"/>
        <w:jc w:val="left"/>
        <w:rPr>
          <w:rFonts w:asciiTheme="minorHAnsi" w:hAnsiTheme="minorHAnsi" w:cstheme="minorHAnsi"/>
          <w:szCs w:val="22"/>
        </w:rPr>
      </w:pPr>
      <w:r w:rsidRPr="009F7745">
        <w:rPr>
          <w:rFonts w:asciiTheme="minorHAnsi" w:hAnsiTheme="minorHAnsi" w:cstheme="minorHAnsi"/>
          <w:szCs w:val="22"/>
        </w:rPr>
        <w:t xml:space="preserve">Under National Instrument 51-102, Part 4, subsection 4.3(3) (a), if an auditor has not performed a review of the condensed, interim financial statements, they must be accompanied by a notice indicating that the financial statements have not been reviewed by an auditor. </w:t>
      </w:r>
    </w:p>
    <w:p w14:paraId="52B07538" w14:textId="77777777" w:rsidR="00977581" w:rsidRPr="009F7745" w:rsidRDefault="00977581" w:rsidP="00977581">
      <w:pPr>
        <w:pStyle w:val="FSBodyIndent"/>
        <w:ind w:left="0"/>
        <w:jc w:val="left"/>
        <w:rPr>
          <w:rFonts w:asciiTheme="minorHAnsi" w:hAnsiTheme="minorHAnsi" w:cstheme="minorHAnsi"/>
          <w:szCs w:val="22"/>
        </w:rPr>
      </w:pPr>
      <w:r w:rsidRPr="009F7745">
        <w:rPr>
          <w:rFonts w:asciiTheme="minorHAnsi" w:hAnsiTheme="minorHAnsi" w:cstheme="minorHAnsi"/>
          <w:szCs w:val="22"/>
        </w:rPr>
        <w:t xml:space="preserve">The Company’s independent auditor has not performed a review of these financial statements in accordance with standards established by the Canadian Institute of Chartered Accountants for a review of interim financial statements by an entity’s auditor. </w:t>
      </w:r>
    </w:p>
    <w:p w14:paraId="568DCD91" w14:textId="77777777" w:rsidR="00977581" w:rsidRPr="009F7745" w:rsidRDefault="00977581" w:rsidP="00977581">
      <w:pPr>
        <w:pStyle w:val="FSBodyIndent"/>
        <w:ind w:left="0"/>
        <w:jc w:val="left"/>
        <w:rPr>
          <w:rFonts w:asciiTheme="minorHAnsi" w:hAnsiTheme="minorHAnsi" w:cstheme="minorHAnsi"/>
          <w:szCs w:val="22"/>
        </w:rPr>
      </w:pPr>
      <w:r w:rsidRPr="009F7745">
        <w:rPr>
          <w:rFonts w:asciiTheme="minorHAnsi" w:hAnsiTheme="minorHAnsi" w:cstheme="minorHAnsi"/>
          <w:szCs w:val="22"/>
        </w:rPr>
        <w:t xml:space="preserve">The accompanying unaudited, condensed interim financial statements of </w:t>
      </w:r>
      <w:r w:rsidR="00796369" w:rsidRPr="009F7745">
        <w:rPr>
          <w:rFonts w:asciiTheme="minorHAnsi" w:hAnsiTheme="minorHAnsi" w:cstheme="minorHAnsi"/>
          <w:szCs w:val="22"/>
        </w:rPr>
        <w:t>Project One Resources Ltd.</w:t>
      </w:r>
      <w:r w:rsidRPr="009F7745">
        <w:rPr>
          <w:rFonts w:asciiTheme="minorHAnsi" w:hAnsiTheme="minorHAnsi" w:cstheme="minorHAnsi"/>
          <w:szCs w:val="22"/>
        </w:rPr>
        <w:t xml:space="preserve"> for the </w:t>
      </w:r>
      <w:r w:rsidR="00796369" w:rsidRPr="009F7745">
        <w:rPr>
          <w:rFonts w:asciiTheme="minorHAnsi" w:hAnsiTheme="minorHAnsi" w:cstheme="minorHAnsi"/>
          <w:szCs w:val="22"/>
        </w:rPr>
        <w:t>nine</w:t>
      </w:r>
      <w:r w:rsidRPr="009F7745">
        <w:rPr>
          <w:rFonts w:asciiTheme="minorHAnsi" w:hAnsiTheme="minorHAnsi" w:cstheme="minorHAnsi"/>
          <w:szCs w:val="22"/>
        </w:rPr>
        <w:t xml:space="preserve"> months ended </w:t>
      </w:r>
      <w:r w:rsidR="00796369" w:rsidRPr="009F7745">
        <w:rPr>
          <w:rFonts w:asciiTheme="minorHAnsi" w:hAnsiTheme="minorHAnsi" w:cstheme="minorHAnsi"/>
          <w:szCs w:val="22"/>
        </w:rPr>
        <w:t>May 31, 2019</w:t>
      </w:r>
      <w:r w:rsidRPr="009F7745">
        <w:rPr>
          <w:rFonts w:asciiTheme="minorHAnsi" w:hAnsiTheme="minorHAnsi" w:cstheme="minorHAnsi"/>
          <w:szCs w:val="22"/>
        </w:rPr>
        <w:t xml:space="preserve"> have been prepared by the management of the Company and approved by the Company’s Audit Committee and the Company’s Board of Directors. The accompanying unaudited, condensed interim financial statements of the Company have been prepared by and are the responsibility of the Company’s management. </w:t>
      </w:r>
    </w:p>
    <w:p w14:paraId="191426EB" w14:textId="77777777" w:rsidR="007317E0" w:rsidRPr="009F7745" w:rsidRDefault="007317E0" w:rsidP="007317E0">
      <w:pPr>
        <w:rPr>
          <w:rFonts w:asciiTheme="minorHAnsi" w:hAnsiTheme="minorHAnsi" w:cstheme="minorHAnsi"/>
          <w:szCs w:val="22"/>
        </w:rPr>
      </w:pPr>
    </w:p>
    <w:p w14:paraId="3525C6C9" w14:textId="77777777" w:rsidR="007317E0" w:rsidRPr="009F7745" w:rsidRDefault="007317E0">
      <w:pPr>
        <w:spacing w:after="160" w:line="259" w:lineRule="auto"/>
        <w:rPr>
          <w:rFonts w:asciiTheme="minorHAnsi" w:hAnsiTheme="minorHAnsi" w:cstheme="minorHAnsi"/>
          <w:szCs w:val="22"/>
        </w:rPr>
      </w:pPr>
      <w:r w:rsidRPr="009F7745">
        <w:rPr>
          <w:rFonts w:asciiTheme="minorHAnsi" w:hAnsiTheme="minorHAnsi" w:cstheme="minorHAnsi"/>
          <w:szCs w:val="22"/>
        </w:rPr>
        <w:br w:type="page"/>
      </w:r>
    </w:p>
    <w:tbl>
      <w:tblPr>
        <w:tblW w:w="7821" w:type="dxa"/>
        <w:tblLook w:val="04A0" w:firstRow="1" w:lastRow="0" w:firstColumn="1" w:lastColumn="0" w:noHBand="0" w:noVBand="1"/>
      </w:tblPr>
      <w:tblGrid>
        <w:gridCol w:w="442"/>
        <w:gridCol w:w="442"/>
        <w:gridCol w:w="5190"/>
        <w:gridCol w:w="397"/>
        <w:gridCol w:w="1440"/>
      </w:tblGrid>
      <w:tr w:rsidR="00BE236A" w:rsidRPr="00BE236A" w14:paraId="44A0A58E" w14:textId="77777777" w:rsidTr="00BE236A">
        <w:trPr>
          <w:trHeight w:val="290"/>
        </w:trPr>
        <w:tc>
          <w:tcPr>
            <w:tcW w:w="6381" w:type="dxa"/>
            <w:gridSpan w:val="4"/>
            <w:tcBorders>
              <w:top w:val="nil"/>
              <w:left w:val="nil"/>
              <w:bottom w:val="nil"/>
              <w:right w:val="nil"/>
            </w:tcBorders>
            <w:shd w:val="clear" w:color="auto" w:fill="auto"/>
            <w:noWrap/>
            <w:vAlign w:val="bottom"/>
            <w:hideMark/>
          </w:tcPr>
          <w:p w14:paraId="0547D674"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lastRenderedPageBreak/>
              <w:t>Project One Resources Ltd.</w:t>
            </w:r>
          </w:p>
        </w:tc>
        <w:tc>
          <w:tcPr>
            <w:tcW w:w="1440" w:type="dxa"/>
            <w:tcBorders>
              <w:top w:val="nil"/>
              <w:left w:val="nil"/>
              <w:bottom w:val="nil"/>
              <w:right w:val="nil"/>
            </w:tcBorders>
            <w:shd w:val="clear" w:color="auto" w:fill="auto"/>
            <w:noWrap/>
            <w:vAlign w:val="bottom"/>
            <w:hideMark/>
          </w:tcPr>
          <w:p w14:paraId="2FFAD3EB" w14:textId="77777777" w:rsidR="00BE236A" w:rsidRPr="00BE236A" w:rsidRDefault="00BE236A" w:rsidP="00BE236A">
            <w:pPr>
              <w:rPr>
                <w:rFonts w:ascii="Calibri" w:hAnsi="Calibri" w:cs="Calibri"/>
                <w:b/>
                <w:bCs/>
                <w:color w:val="000000"/>
                <w:szCs w:val="22"/>
                <w:lang w:val="en-CA" w:eastAsia="en-CA"/>
              </w:rPr>
            </w:pPr>
          </w:p>
        </w:tc>
      </w:tr>
      <w:tr w:rsidR="00BE236A" w:rsidRPr="00BE236A" w14:paraId="10F6F1E8" w14:textId="77777777" w:rsidTr="00BE236A">
        <w:trPr>
          <w:trHeight w:val="290"/>
        </w:trPr>
        <w:tc>
          <w:tcPr>
            <w:tcW w:w="5984" w:type="dxa"/>
            <w:gridSpan w:val="3"/>
            <w:tcBorders>
              <w:top w:val="nil"/>
              <w:left w:val="nil"/>
              <w:bottom w:val="nil"/>
              <w:right w:val="nil"/>
            </w:tcBorders>
            <w:shd w:val="clear" w:color="auto" w:fill="auto"/>
            <w:noWrap/>
            <w:vAlign w:val="bottom"/>
            <w:hideMark/>
          </w:tcPr>
          <w:p w14:paraId="61FC017D"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t>BALANCE SHEET</w:t>
            </w:r>
          </w:p>
        </w:tc>
        <w:tc>
          <w:tcPr>
            <w:tcW w:w="397" w:type="dxa"/>
            <w:tcBorders>
              <w:top w:val="nil"/>
              <w:left w:val="nil"/>
              <w:bottom w:val="nil"/>
              <w:right w:val="nil"/>
            </w:tcBorders>
            <w:shd w:val="clear" w:color="auto" w:fill="auto"/>
            <w:noWrap/>
            <w:vAlign w:val="bottom"/>
            <w:hideMark/>
          </w:tcPr>
          <w:p w14:paraId="1BD20E80" w14:textId="77777777" w:rsidR="00BE236A" w:rsidRPr="00BE236A" w:rsidRDefault="00BE236A" w:rsidP="00BE236A">
            <w:pPr>
              <w:rPr>
                <w:rFonts w:ascii="Calibri" w:hAnsi="Calibri" w:cs="Calibri"/>
                <w:b/>
                <w:bCs/>
                <w:color w:val="000000"/>
                <w:szCs w:val="22"/>
                <w:lang w:val="en-CA" w:eastAsia="en-CA"/>
              </w:rPr>
            </w:pPr>
          </w:p>
        </w:tc>
        <w:tc>
          <w:tcPr>
            <w:tcW w:w="1440" w:type="dxa"/>
            <w:tcBorders>
              <w:top w:val="nil"/>
              <w:left w:val="nil"/>
              <w:bottom w:val="nil"/>
              <w:right w:val="nil"/>
            </w:tcBorders>
            <w:shd w:val="clear" w:color="auto" w:fill="auto"/>
            <w:noWrap/>
            <w:vAlign w:val="bottom"/>
            <w:hideMark/>
          </w:tcPr>
          <w:p w14:paraId="6483022A" w14:textId="77777777" w:rsidR="00BE236A" w:rsidRPr="00BE236A" w:rsidRDefault="00BE236A" w:rsidP="00BE236A">
            <w:pPr>
              <w:rPr>
                <w:rFonts w:ascii="Times New Roman" w:hAnsi="Times New Roman"/>
                <w:sz w:val="20"/>
                <w:szCs w:val="20"/>
                <w:lang w:val="en-CA" w:eastAsia="en-CA"/>
              </w:rPr>
            </w:pPr>
          </w:p>
        </w:tc>
      </w:tr>
      <w:tr w:rsidR="00BE236A" w:rsidRPr="00BE236A" w14:paraId="14F6AACE" w14:textId="77777777" w:rsidTr="00BE236A">
        <w:trPr>
          <w:trHeight w:val="290"/>
        </w:trPr>
        <w:tc>
          <w:tcPr>
            <w:tcW w:w="5984" w:type="dxa"/>
            <w:gridSpan w:val="3"/>
            <w:tcBorders>
              <w:top w:val="nil"/>
              <w:left w:val="nil"/>
              <w:bottom w:val="nil"/>
              <w:right w:val="nil"/>
            </w:tcBorders>
            <w:shd w:val="clear" w:color="auto" w:fill="auto"/>
            <w:noWrap/>
            <w:vAlign w:val="bottom"/>
            <w:hideMark/>
          </w:tcPr>
          <w:p w14:paraId="6CAB134A"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t>As of May 31, 2019</w:t>
            </w:r>
          </w:p>
        </w:tc>
        <w:tc>
          <w:tcPr>
            <w:tcW w:w="397" w:type="dxa"/>
            <w:tcBorders>
              <w:top w:val="nil"/>
              <w:left w:val="nil"/>
              <w:bottom w:val="nil"/>
              <w:right w:val="nil"/>
            </w:tcBorders>
            <w:shd w:val="clear" w:color="auto" w:fill="auto"/>
            <w:noWrap/>
            <w:vAlign w:val="bottom"/>
            <w:hideMark/>
          </w:tcPr>
          <w:p w14:paraId="7A0FFF0E" w14:textId="77777777" w:rsidR="00BE236A" w:rsidRPr="00BE236A" w:rsidRDefault="00BE236A" w:rsidP="00BE236A">
            <w:pPr>
              <w:rPr>
                <w:rFonts w:ascii="Calibri" w:hAnsi="Calibri" w:cs="Calibri"/>
                <w:b/>
                <w:bCs/>
                <w:color w:val="000000"/>
                <w:szCs w:val="22"/>
                <w:lang w:val="en-CA" w:eastAsia="en-CA"/>
              </w:rPr>
            </w:pPr>
          </w:p>
        </w:tc>
        <w:tc>
          <w:tcPr>
            <w:tcW w:w="1440" w:type="dxa"/>
            <w:tcBorders>
              <w:top w:val="nil"/>
              <w:left w:val="nil"/>
              <w:bottom w:val="nil"/>
              <w:right w:val="nil"/>
            </w:tcBorders>
            <w:shd w:val="clear" w:color="auto" w:fill="auto"/>
            <w:noWrap/>
            <w:vAlign w:val="bottom"/>
            <w:hideMark/>
          </w:tcPr>
          <w:p w14:paraId="52B8C1FB" w14:textId="77777777" w:rsidR="00BE236A" w:rsidRPr="00BE236A" w:rsidRDefault="00BE236A" w:rsidP="00BE236A">
            <w:pPr>
              <w:rPr>
                <w:rFonts w:ascii="Times New Roman" w:hAnsi="Times New Roman"/>
                <w:sz w:val="20"/>
                <w:szCs w:val="20"/>
                <w:lang w:val="en-CA" w:eastAsia="en-CA"/>
              </w:rPr>
            </w:pPr>
          </w:p>
        </w:tc>
      </w:tr>
      <w:tr w:rsidR="00BE236A" w:rsidRPr="00BE236A" w14:paraId="67EE8BC9" w14:textId="77777777" w:rsidTr="00BE236A">
        <w:trPr>
          <w:trHeight w:val="290"/>
        </w:trPr>
        <w:tc>
          <w:tcPr>
            <w:tcW w:w="397" w:type="dxa"/>
            <w:tcBorders>
              <w:top w:val="nil"/>
              <w:left w:val="nil"/>
              <w:bottom w:val="nil"/>
              <w:right w:val="nil"/>
            </w:tcBorders>
            <w:shd w:val="clear" w:color="auto" w:fill="auto"/>
            <w:noWrap/>
            <w:vAlign w:val="bottom"/>
            <w:hideMark/>
          </w:tcPr>
          <w:p w14:paraId="56035489"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58CEF258" w14:textId="77777777" w:rsidR="00BE236A" w:rsidRPr="00BE236A" w:rsidRDefault="00BE236A" w:rsidP="00BE236A">
            <w:pPr>
              <w:rPr>
                <w:rFonts w:ascii="Times New Roman" w:hAnsi="Times New Roman"/>
                <w:sz w:val="20"/>
                <w:szCs w:val="20"/>
                <w:lang w:val="en-CA" w:eastAsia="en-CA"/>
              </w:rPr>
            </w:pPr>
          </w:p>
        </w:tc>
        <w:tc>
          <w:tcPr>
            <w:tcW w:w="5190" w:type="dxa"/>
            <w:tcBorders>
              <w:top w:val="nil"/>
              <w:left w:val="nil"/>
              <w:bottom w:val="nil"/>
              <w:right w:val="nil"/>
            </w:tcBorders>
            <w:shd w:val="clear" w:color="auto" w:fill="auto"/>
            <w:noWrap/>
            <w:vAlign w:val="bottom"/>
            <w:hideMark/>
          </w:tcPr>
          <w:p w14:paraId="16340D5C"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65F151C5" w14:textId="77777777" w:rsidR="00BE236A" w:rsidRPr="00BE236A" w:rsidRDefault="00BE236A" w:rsidP="00BE236A">
            <w:pPr>
              <w:rPr>
                <w:rFonts w:ascii="Times New Roman" w:hAnsi="Times New Roman"/>
                <w:sz w:val="20"/>
                <w:szCs w:val="20"/>
                <w:lang w:val="en-CA" w:eastAsia="en-CA"/>
              </w:rPr>
            </w:pPr>
          </w:p>
        </w:tc>
        <w:tc>
          <w:tcPr>
            <w:tcW w:w="1440" w:type="dxa"/>
            <w:tcBorders>
              <w:top w:val="nil"/>
              <w:left w:val="nil"/>
              <w:bottom w:val="nil"/>
              <w:right w:val="nil"/>
            </w:tcBorders>
            <w:shd w:val="clear" w:color="auto" w:fill="auto"/>
            <w:noWrap/>
            <w:vAlign w:val="bottom"/>
            <w:hideMark/>
          </w:tcPr>
          <w:p w14:paraId="75DADA1D" w14:textId="77777777" w:rsidR="00BE236A" w:rsidRPr="00BE236A" w:rsidRDefault="00BE236A" w:rsidP="00BE236A">
            <w:pPr>
              <w:rPr>
                <w:rFonts w:ascii="Times New Roman" w:hAnsi="Times New Roman"/>
                <w:sz w:val="20"/>
                <w:szCs w:val="20"/>
                <w:lang w:val="en-CA" w:eastAsia="en-CA"/>
              </w:rPr>
            </w:pPr>
          </w:p>
        </w:tc>
      </w:tr>
      <w:tr w:rsidR="00BE236A" w:rsidRPr="00BE236A" w14:paraId="5691E9C5" w14:textId="77777777" w:rsidTr="00BE236A">
        <w:trPr>
          <w:trHeight w:val="290"/>
        </w:trPr>
        <w:tc>
          <w:tcPr>
            <w:tcW w:w="397" w:type="dxa"/>
            <w:tcBorders>
              <w:top w:val="nil"/>
              <w:left w:val="nil"/>
              <w:bottom w:val="nil"/>
              <w:right w:val="nil"/>
            </w:tcBorders>
            <w:shd w:val="clear" w:color="auto" w:fill="auto"/>
            <w:noWrap/>
            <w:vAlign w:val="bottom"/>
            <w:hideMark/>
          </w:tcPr>
          <w:p w14:paraId="45758499"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486CAE9C" w14:textId="77777777" w:rsidR="00BE236A" w:rsidRPr="00BE236A" w:rsidRDefault="00BE236A" w:rsidP="00BE236A">
            <w:pPr>
              <w:rPr>
                <w:rFonts w:ascii="Times New Roman" w:hAnsi="Times New Roman"/>
                <w:sz w:val="20"/>
                <w:szCs w:val="20"/>
                <w:lang w:val="en-CA" w:eastAsia="en-CA"/>
              </w:rPr>
            </w:pPr>
          </w:p>
        </w:tc>
        <w:tc>
          <w:tcPr>
            <w:tcW w:w="5190" w:type="dxa"/>
            <w:tcBorders>
              <w:top w:val="nil"/>
              <w:left w:val="nil"/>
              <w:bottom w:val="nil"/>
              <w:right w:val="nil"/>
            </w:tcBorders>
            <w:shd w:val="clear" w:color="auto" w:fill="auto"/>
            <w:noWrap/>
            <w:vAlign w:val="bottom"/>
            <w:hideMark/>
          </w:tcPr>
          <w:p w14:paraId="0C736606"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421DB55E" w14:textId="77777777" w:rsidR="00BE236A" w:rsidRPr="00BE236A" w:rsidRDefault="00BE236A" w:rsidP="00BE236A">
            <w:pPr>
              <w:rPr>
                <w:rFonts w:ascii="Times New Roman" w:hAnsi="Times New Roman"/>
                <w:sz w:val="20"/>
                <w:szCs w:val="20"/>
                <w:lang w:val="en-CA" w:eastAsia="en-CA"/>
              </w:rPr>
            </w:pPr>
          </w:p>
        </w:tc>
        <w:tc>
          <w:tcPr>
            <w:tcW w:w="1440" w:type="dxa"/>
            <w:tcBorders>
              <w:top w:val="nil"/>
              <w:left w:val="nil"/>
              <w:bottom w:val="nil"/>
              <w:right w:val="nil"/>
            </w:tcBorders>
            <w:shd w:val="clear" w:color="auto" w:fill="auto"/>
            <w:noWrap/>
            <w:vAlign w:val="bottom"/>
            <w:hideMark/>
          </w:tcPr>
          <w:p w14:paraId="08C3B20A"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May 31, 2019</w:t>
            </w:r>
          </w:p>
        </w:tc>
      </w:tr>
      <w:tr w:rsidR="00BE236A" w:rsidRPr="00BE236A" w14:paraId="37395F6A" w14:textId="77777777" w:rsidTr="00BE236A">
        <w:trPr>
          <w:trHeight w:val="290"/>
        </w:trPr>
        <w:tc>
          <w:tcPr>
            <w:tcW w:w="6381" w:type="dxa"/>
            <w:gridSpan w:val="4"/>
            <w:tcBorders>
              <w:top w:val="nil"/>
              <w:left w:val="nil"/>
              <w:bottom w:val="nil"/>
              <w:right w:val="nil"/>
            </w:tcBorders>
            <w:shd w:val="clear" w:color="auto" w:fill="auto"/>
            <w:noWrap/>
            <w:vAlign w:val="bottom"/>
            <w:hideMark/>
          </w:tcPr>
          <w:p w14:paraId="36C216FD" w14:textId="77777777" w:rsidR="00BE236A" w:rsidRPr="00BE236A" w:rsidRDefault="00BE236A" w:rsidP="00BE236A">
            <w:pPr>
              <w:jc w:val="center"/>
              <w:rPr>
                <w:rFonts w:ascii="Calibri" w:hAnsi="Calibri" w:cs="Calibri"/>
                <w:b/>
                <w:bCs/>
                <w:color w:val="000000"/>
                <w:szCs w:val="22"/>
                <w:lang w:val="en-CA" w:eastAsia="en-CA"/>
              </w:rPr>
            </w:pPr>
            <w:r w:rsidRPr="00BE236A">
              <w:rPr>
                <w:rFonts w:ascii="Calibri" w:hAnsi="Calibri" w:cs="Calibri"/>
                <w:b/>
                <w:bCs/>
                <w:color w:val="000000"/>
                <w:szCs w:val="22"/>
                <w:lang w:val="en-CA" w:eastAsia="en-CA"/>
              </w:rPr>
              <w:t>ASSETS</w:t>
            </w:r>
          </w:p>
        </w:tc>
        <w:tc>
          <w:tcPr>
            <w:tcW w:w="1440" w:type="dxa"/>
            <w:tcBorders>
              <w:top w:val="nil"/>
              <w:left w:val="nil"/>
              <w:bottom w:val="nil"/>
              <w:right w:val="nil"/>
            </w:tcBorders>
            <w:shd w:val="clear" w:color="auto" w:fill="auto"/>
            <w:noWrap/>
            <w:vAlign w:val="bottom"/>
            <w:hideMark/>
          </w:tcPr>
          <w:p w14:paraId="4EF8BB61" w14:textId="77777777" w:rsidR="00BE236A" w:rsidRPr="00BE236A" w:rsidRDefault="00BE236A" w:rsidP="00BE236A">
            <w:pPr>
              <w:jc w:val="center"/>
              <w:rPr>
                <w:rFonts w:ascii="Calibri" w:hAnsi="Calibri" w:cs="Calibri"/>
                <w:b/>
                <w:bCs/>
                <w:color w:val="000000"/>
                <w:szCs w:val="22"/>
                <w:lang w:val="en-CA" w:eastAsia="en-CA"/>
              </w:rPr>
            </w:pPr>
          </w:p>
        </w:tc>
      </w:tr>
      <w:tr w:rsidR="00BE236A" w:rsidRPr="00BE236A" w14:paraId="0E7C1CB6" w14:textId="77777777" w:rsidTr="00BE236A">
        <w:trPr>
          <w:trHeight w:val="290"/>
        </w:trPr>
        <w:tc>
          <w:tcPr>
            <w:tcW w:w="397" w:type="dxa"/>
            <w:tcBorders>
              <w:top w:val="nil"/>
              <w:left w:val="nil"/>
              <w:bottom w:val="nil"/>
              <w:right w:val="nil"/>
            </w:tcBorders>
            <w:shd w:val="clear" w:color="auto" w:fill="auto"/>
            <w:noWrap/>
            <w:vAlign w:val="bottom"/>
            <w:hideMark/>
          </w:tcPr>
          <w:p w14:paraId="2F0E43EB" w14:textId="77777777" w:rsidR="00BE236A" w:rsidRPr="00BE236A" w:rsidRDefault="00BE236A" w:rsidP="00BE236A">
            <w:pPr>
              <w:rPr>
                <w:rFonts w:ascii="Times New Roman" w:hAnsi="Times New Roman"/>
                <w:sz w:val="20"/>
                <w:szCs w:val="20"/>
                <w:lang w:val="en-CA" w:eastAsia="en-CA"/>
              </w:rPr>
            </w:pPr>
          </w:p>
        </w:tc>
        <w:tc>
          <w:tcPr>
            <w:tcW w:w="5984" w:type="dxa"/>
            <w:gridSpan w:val="3"/>
            <w:tcBorders>
              <w:top w:val="nil"/>
              <w:left w:val="nil"/>
              <w:bottom w:val="nil"/>
              <w:right w:val="nil"/>
            </w:tcBorders>
            <w:shd w:val="clear" w:color="auto" w:fill="auto"/>
            <w:noWrap/>
            <w:vAlign w:val="bottom"/>
            <w:hideMark/>
          </w:tcPr>
          <w:p w14:paraId="5150631D"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Current Assets</w:t>
            </w:r>
          </w:p>
        </w:tc>
        <w:tc>
          <w:tcPr>
            <w:tcW w:w="1440" w:type="dxa"/>
            <w:tcBorders>
              <w:top w:val="nil"/>
              <w:left w:val="nil"/>
              <w:bottom w:val="nil"/>
              <w:right w:val="nil"/>
            </w:tcBorders>
            <w:shd w:val="clear" w:color="auto" w:fill="auto"/>
            <w:noWrap/>
            <w:vAlign w:val="bottom"/>
            <w:hideMark/>
          </w:tcPr>
          <w:p w14:paraId="13F73A16" w14:textId="77777777" w:rsidR="00BE236A" w:rsidRPr="00BE236A" w:rsidRDefault="00BE236A" w:rsidP="00BE236A">
            <w:pPr>
              <w:rPr>
                <w:rFonts w:ascii="Calibri" w:hAnsi="Calibri" w:cs="Calibri"/>
                <w:color w:val="000000"/>
                <w:szCs w:val="22"/>
                <w:lang w:val="en-CA" w:eastAsia="en-CA"/>
              </w:rPr>
            </w:pPr>
          </w:p>
        </w:tc>
      </w:tr>
      <w:tr w:rsidR="00BE236A" w:rsidRPr="00BE236A" w14:paraId="26877511" w14:textId="77777777" w:rsidTr="00BE236A">
        <w:trPr>
          <w:trHeight w:val="290"/>
        </w:trPr>
        <w:tc>
          <w:tcPr>
            <w:tcW w:w="397" w:type="dxa"/>
            <w:tcBorders>
              <w:top w:val="nil"/>
              <w:left w:val="nil"/>
              <w:bottom w:val="nil"/>
              <w:right w:val="nil"/>
            </w:tcBorders>
            <w:shd w:val="clear" w:color="auto" w:fill="auto"/>
            <w:noWrap/>
            <w:vAlign w:val="bottom"/>
            <w:hideMark/>
          </w:tcPr>
          <w:p w14:paraId="4A6626DE"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4BEDE7B1"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00DE515D"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Receivables</w:t>
            </w:r>
          </w:p>
        </w:tc>
        <w:tc>
          <w:tcPr>
            <w:tcW w:w="1440" w:type="dxa"/>
            <w:tcBorders>
              <w:top w:val="nil"/>
              <w:left w:val="nil"/>
              <w:bottom w:val="nil"/>
              <w:right w:val="nil"/>
            </w:tcBorders>
            <w:shd w:val="clear" w:color="auto" w:fill="auto"/>
            <w:noWrap/>
            <w:vAlign w:val="bottom"/>
            <w:hideMark/>
          </w:tcPr>
          <w:p w14:paraId="6BE40B03"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7,030</w:t>
            </w:r>
          </w:p>
        </w:tc>
      </w:tr>
      <w:tr w:rsidR="00BE236A" w:rsidRPr="00BE236A" w14:paraId="786AE6B1" w14:textId="77777777" w:rsidTr="00BE236A">
        <w:trPr>
          <w:trHeight w:val="290"/>
        </w:trPr>
        <w:tc>
          <w:tcPr>
            <w:tcW w:w="397" w:type="dxa"/>
            <w:tcBorders>
              <w:top w:val="nil"/>
              <w:left w:val="nil"/>
              <w:bottom w:val="nil"/>
              <w:right w:val="nil"/>
            </w:tcBorders>
            <w:shd w:val="clear" w:color="auto" w:fill="auto"/>
            <w:noWrap/>
            <w:vAlign w:val="bottom"/>
            <w:hideMark/>
          </w:tcPr>
          <w:p w14:paraId="35A2DFAC"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446BA2CD" w14:textId="77777777" w:rsidR="00BE236A" w:rsidRPr="00BE236A" w:rsidRDefault="00BE236A" w:rsidP="00BE236A">
            <w:pPr>
              <w:rPr>
                <w:rFonts w:ascii="Times New Roman" w:hAnsi="Times New Roman"/>
                <w:sz w:val="20"/>
                <w:szCs w:val="20"/>
                <w:lang w:val="en-CA" w:eastAsia="en-CA"/>
              </w:rPr>
            </w:pPr>
          </w:p>
        </w:tc>
        <w:tc>
          <w:tcPr>
            <w:tcW w:w="5190" w:type="dxa"/>
            <w:tcBorders>
              <w:top w:val="nil"/>
              <w:left w:val="nil"/>
              <w:bottom w:val="nil"/>
              <w:right w:val="nil"/>
            </w:tcBorders>
            <w:shd w:val="clear" w:color="auto" w:fill="auto"/>
            <w:noWrap/>
            <w:vAlign w:val="bottom"/>
            <w:hideMark/>
          </w:tcPr>
          <w:p w14:paraId="705159BA"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Bank</w:t>
            </w:r>
          </w:p>
        </w:tc>
        <w:tc>
          <w:tcPr>
            <w:tcW w:w="397" w:type="dxa"/>
            <w:tcBorders>
              <w:top w:val="nil"/>
              <w:left w:val="nil"/>
              <w:bottom w:val="nil"/>
              <w:right w:val="nil"/>
            </w:tcBorders>
            <w:shd w:val="clear" w:color="auto" w:fill="auto"/>
            <w:noWrap/>
            <w:vAlign w:val="bottom"/>
            <w:hideMark/>
          </w:tcPr>
          <w:p w14:paraId="7BEC2ACE" w14:textId="77777777" w:rsidR="00BE236A" w:rsidRPr="00BE236A" w:rsidRDefault="00BE236A" w:rsidP="00BE236A">
            <w:pPr>
              <w:rPr>
                <w:rFonts w:ascii="Calibri" w:hAnsi="Calibri" w:cs="Calibri"/>
                <w:color w:val="000000"/>
                <w:szCs w:val="22"/>
                <w:lang w:val="en-CA" w:eastAsia="en-CA"/>
              </w:rPr>
            </w:pPr>
          </w:p>
        </w:tc>
        <w:tc>
          <w:tcPr>
            <w:tcW w:w="1440" w:type="dxa"/>
            <w:tcBorders>
              <w:top w:val="nil"/>
              <w:left w:val="nil"/>
              <w:bottom w:val="nil"/>
              <w:right w:val="nil"/>
            </w:tcBorders>
            <w:shd w:val="clear" w:color="auto" w:fill="auto"/>
            <w:noWrap/>
            <w:vAlign w:val="bottom"/>
            <w:hideMark/>
          </w:tcPr>
          <w:p w14:paraId="2E3312F4"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4,553</w:t>
            </w:r>
          </w:p>
        </w:tc>
      </w:tr>
      <w:tr w:rsidR="00BE236A" w:rsidRPr="00BE236A" w14:paraId="479D287F" w14:textId="77777777" w:rsidTr="00BE236A">
        <w:trPr>
          <w:trHeight w:val="290"/>
        </w:trPr>
        <w:tc>
          <w:tcPr>
            <w:tcW w:w="397" w:type="dxa"/>
            <w:tcBorders>
              <w:top w:val="nil"/>
              <w:left w:val="nil"/>
              <w:bottom w:val="nil"/>
              <w:right w:val="nil"/>
            </w:tcBorders>
            <w:shd w:val="clear" w:color="auto" w:fill="auto"/>
            <w:noWrap/>
            <w:vAlign w:val="bottom"/>
            <w:hideMark/>
          </w:tcPr>
          <w:p w14:paraId="3820FC27"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647634B7"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25D13470"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Deferred Financing Fee</w:t>
            </w:r>
          </w:p>
        </w:tc>
        <w:tc>
          <w:tcPr>
            <w:tcW w:w="1440" w:type="dxa"/>
            <w:tcBorders>
              <w:top w:val="nil"/>
              <w:left w:val="nil"/>
              <w:bottom w:val="nil"/>
              <w:right w:val="nil"/>
            </w:tcBorders>
            <w:shd w:val="clear" w:color="auto" w:fill="auto"/>
            <w:noWrap/>
            <w:vAlign w:val="bottom"/>
            <w:hideMark/>
          </w:tcPr>
          <w:p w14:paraId="65D56C00"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10,000</w:t>
            </w:r>
          </w:p>
        </w:tc>
      </w:tr>
      <w:tr w:rsidR="00BE236A" w:rsidRPr="00BE236A" w14:paraId="0C33DEDA" w14:textId="77777777" w:rsidTr="00BE236A">
        <w:trPr>
          <w:trHeight w:val="290"/>
        </w:trPr>
        <w:tc>
          <w:tcPr>
            <w:tcW w:w="397" w:type="dxa"/>
            <w:tcBorders>
              <w:top w:val="nil"/>
              <w:left w:val="nil"/>
              <w:bottom w:val="nil"/>
              <w:right w:val="nil"/>
            </w:tcBorders>
            <w:shd w:val="clear" w:color="auto" w:fill="auto"/>
            <w:noWrap/>
            <w:vAlign w:val="bottom"/>
            <w:hideMark/>
          </w:tcPr>
          <w:p w14:paraId="73276A93" w14:textId="77777777" w:rsidR="00BE236A" w:rsidRPr="00BE236A" w:rsidRDefault="00BE236A" w:rsidP="00BE236A">
            <w:pPr>
              <w:jc w:val="right"/>
              <w:rPr>
                <w:rFonts w:ascii="Calibri" w:hAnsi="Calibri" w:cs="Calibri"/>
                <w:color w:val="000000"/>
                <w:szCs w:val="22"/>
                <w:lang w:val="en-CA" w:eastAsia="en-CA"/>
              </w:rPr>
            </w:pPr>
          </w:p>
        </w:tc>
        <w:tc>
          <w:tcPr>
            <w:tcW w:w="5984" w:type="dxa"/>
            <w:gridSpan w:val="3"/>
            <w:tcBorders>
              <w:top w:val="nil"/>
              <w:left w:val="nil"/>
              <w:bottom w:val="nil"/>
              <w:right w:val="nil"/>
            </w:tcBorders>
            <w:shd w:val="clear" w:color="auto" w:fill="auto"/>
            <w:noWrap/>
            <w:vAlign w:val="bottom"/>
            <w:hideMark/>
          </w:tcPr>
          <w:p w14:paraId="4A306C75"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Current Assets</w:t>
            </w:r>
          </w:p>
        </w:tc>
        <w:tc>
          <w:tcPr>
            <w:tcW w:w="1440" w:type="dxa"/>
            <w:tcBorders>
              <w:top w:val="single" w:sz="4" w:space="0" w:color="auto"/>
              <w:left w:val="nil"/>
              <w:bottom w:val="single" w:sz="4" w:space="0" w:color="auto"/>
              <w:right w:val="nil"/>
            </w:tcBorders>
            <w:shd w:val="clear" w:color="auto" w:fill="auto"/>
            <w:noWrap/>
            <w:vAlign w:val="bottom"/>
            <w:hideMark/>
          </w:tcPr>
          <w:p w14:paraId="3EBDA370"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21,583</w:t>
            </w:r>
          </w:p>
        </w:tc>
      </w:tr>
      <w:tr w:rsidR="00BE236A" w:rsidRPr="00BE236A" w14:paraId="37854165" w14:textId="77777777" w:rsidTr="00BE236A">
        <w:trPr>
          <w:trHeight w:val="290"/>
        </w:trPr>
        <w:tc>
          <w:tcPr>
            <w:tcW w:w="397" w:type="dxa"/>
            <w:tcBorders>
              <w:top w:val="nil"/>
              <w:left w:val="nil"/>
              <w:bottom w:val="nil"/>
              <w:right w:val="nil"/>
            </w:tcBorders>
            <w:shd w:val="clear" w:color="auto" w:fill="auto"/>
            <w:noWrap/>
            <w:vAlign w:val="bottom"/>
            <w:hideMark/>
          </w:tcPr>
          <w:p w14:paraId="3CF8F888"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3663611C" w14:textId="77777777" w:rsidR="00BE236A" w:rsidRPr="00BE236A" w:rsidRDefault="00BE236A" w:rsidP="00BE236A">
            <w:pPr>
              <w:rPr>
                <w:rFonts w:ascii="Times New Roman" w:hAnsi="Times New Roman"/>
                <w:sz w:val="20"/>
                <w:szCs w:val="20"/>
                <w:lang w:val="en-CA" w:eastAsia="en-CA"/>
              </w:rPr>
            </w:pPr>
          </w:p>
        </w:tc>
        <w:tc>
          <w:tcPr>
            <w:tcW w:w="5190" w:type="dxa"/>
            <w:tcBorders>
              <w:top w:val="nil"/>
              <w:left w:val="nil"/>
              <w:bottom w:val="nil"/>
              <w:right w:val="nil"/>
            </w:tcBorders>
            <w:shd w:val="clear" w:color="auto" w:fill="auto"/>
            <w:noWrap/>
            <w:vAlign w:val="bottom"/>
            <w:hideMark/>
          </w:tcPr>
          <w:p w14:paraId="1D9131A3"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6629F21C" w14:textId="77777777" w:rsidR="00BE236A" w:rsidRPr="00BE236A" w:rsidRDefault="00BE236A" w:rsidP="00BE236A">
            <w:pPr>
              <w:rPr>
                <w:rFonts w:ascii="Times New Roman" w:hAnsi="Times New Roman"/>
                <w:sz w:val="20"/>
                <w:szCs w:val="20"/>
                <w:lang w:val="en-CA" w:eastAsia="en-CA"/>
              </w:rPr>
            </w:pPr>
          </w:p>
        </w:tc>
        <w:tc>
          <w:tcPr>
            <w:tcW w:w="1440" w:type="dxa"/>
            <w:tcBorders>
              <w:top w:val="nil"/>
              <w:left w:val="nil"/>
              <w:bottom w:val="nil"/>
              <w:right w:val="nil"/>
            </w:tcBorders>
            <w:shd w:val="clear" w:color="auto" w:fill="auto"/>
            <w:noWrap/>
            <w:vAlign w:val="bottom"/>
            <w:hideMark/>
          </w:tcPr>
          <w:p w14:paraId="723A0957" w14:textId="77777777" w:rsidR="00BE236A" w:rsidRPr="00BE236A" w:rsidRDefault="00BE236A" w:rsidP="00BE236A">
            <w:pPr>
              <w:rPr>
                <w:rFonts w:ascii="Times New Roman" w:hAnsi="Times New Roman"/>
                <w:sz w:val="20"/>
                <w:szCs w:val="20"/>
                <w:lang w:val="en-CA" w:eastAsia="en-CA"/>
              </w:rPr>
            </w:pPr>
          </w:p>
        </w:tc>
      </w:tr>
      <w:tr w:rsidR="00BE236A" w:rsidRPr="00BE236A" w14:paraId="29D72664" w14:textId="77777777" w:rsidTr="00BE236A">
        <w:trPr>
          <w:trHeight w:val="290"/>
        </w:trPr>
        <w:tc>
          <w:tcPr>
            <w:tcW w:w="397" w:type="dxa"/>
            <w:tcBorders>
              <w:top w:val="nil"/>
              <w:left w:val="nil"/>
              <w:bottom w:val="nil"/>
              <w:right w:val="nil"/>
            </w:tcBorders>
            <w:shd w:val="clear" w:color="auto" w:fill="auto"/>
            <w:noWrap/>
            <w:vAlign w:val="bottom"/>
            <w:hideMark/>
          </w:tcPr>
          <w:p w14:paraId="0E2AA406"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14E335FA"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Fixed Assets</w:t>
            </w:r>
          </w:p>
        </w:tc>
        <w:tc>
          <w:tcPr>
            <w:tcW w:w="397" w:type="dxa"/>
            <w:tcBorders>
              <w:top w:val="nil"/>
              <w:left w:val="nil"/>
              <w:bottom w:val="nil"/>
              <w:right w:val="nil"/>
            </w:tcBorders>
            <w:shd w:val="clear" w:color="auto" w:fill="auto"/>
            <w:noWrap/>
            <w:vAlign w:val="bottom"/>
            <w:hideMark/>
          </w:tcPr>
          <w:p w14:paraId="6B9A6958" w14:textId="77777777" w:rsidR="00BE236A" w:rsidRPr="00BE236A" w:rsidRDefault="00BE236A" w:rsidP="00BE236A">
            <w:pPr>
              <w:rPr>
                <w:rFonts w:ascii="Calibri" w:hAnsi="Calibri" w:cs="Calibri"/>
                <w:color w:val="000000"/>
                <w:szCs w:val="22"/>
                <w:lang w:val="en-CA" w:eastAsia="en-CA"/>
              </w:rPr>
            </w:pPr>
          </w:p>
        </w:tc>
        <w:tc>
          <w:tcPr>
            <w:tcW w:w="1440" w:type="dxa"/>
            <w:tcBorders>
              <w:top w:val="nil"/>
              <w:left w:val="nil"/>
              <w:bottom w:val="nil"/>
              <w:right w:val="nil"/>
            </w:tcBorders>
            <w:shd w:val="clear" w:color="auto" w:fill="auto"/>
            <w:noWrap/>
            <w:vAlign w:val="bottom"/>
            <w:hideMark/>
          </w:tcPr>
          <w:p w14:paraId="1DC857A5" w14:textId="77777777" w:rsidR="00BE236A" w:rsidRPr="00BE236A" w:rsidRDefault="00BE236A" w:rsidP="00BE236A">
            <w:pPr>
              <w:rPr>
                <w:rFonts w:ascii="Times New Roman" w:hAnsi="Times New Roman"/>
                <w:sz w:val="20"/>
                <w:szCs w:val="20"/>
                <w:lang w:val="en-CA" w:eastAsia="en-CA"/>
              </w:rPr>
            </w:pPr>
          </w:p>
        </w:tc>
      </w:tr>
      <w:tr w:rsidR="00BE236A" w:rsidRPr="00BE236A" w14:paraId="071FDEA5" w14:textId="77777777" w:rsidTr="00BE236A">
        <w:trPr>
          <w:trHeight w:val="290"/>
        </w:trPr>
        <w:tc>
          <w:tcPr>
            <w:tcW w:w="397" w:type="dxa"/>
            <w:tcBorders>
              <w:top w:val="nil"/>
              <w:left w:val="nil"/>
              <w:bottom w:val="nil"/>
              <w:right w:val="nil"/>
            </w:tcBorders>
            <w:shd w:val="clear" w:color="auto" w:fill="auto"/>
            <w:noWrap/>
            <w:vAlign w:val="bottom"/>
            <w:hideMark/>
          </w:tcPr>
          <w:p w14:paraId="3DE88ED0"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1DBB9C27"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41624ECC"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Aura Property</w:t>
            </w:r>
          </w:p>
        </w:tc>
        <w:tc>
          <w:tcPr>
            <w:tcW w:w="1440" w:type="dxa"/>
            <w:tcBorders>
              <w:top w:val="single" w:sz="4" w:space="0" w:color="auto"/>
              <w:left w:val="nil"/>
              <w:bottom w:val="single" w:sz="4" w:space="0" w:color="auto"/>
              <w:right w:val="nil"/>
            </w:tcBorders>
            <w:shd w:val="clear" w:color="auto" w:fill="auto"/>
            <w:noWrap/>
            <w:vAlign w:val="bottom"/>
            <w:hideMark/>
          </w:tcPr>
          <w:p w14:paraId="7375BEA6"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25,527</w:t>
            </w:r>
          </w:p>
        </w:tc>
      </w:tr>
      <w:tr w:rsidR="00BE236A" w:rsidRPr="00BE236A" w14:paraId="5703D73B" w14:textId="77777777" w:rsidTr="00BE236A">
        <w:trPr>
          <w:trHeight w:val="290"/>
        </w:trPr>
        <w:tc>
          <w:tcPr>
            <w:tcW w:w="397" w:type="dxa"/>
            <w:tcBorders>
              <w:top w:val="nil"/>
              <w:left w:val="nil"/>
              <w:bottom w:val="nil"/>
              <w:right w:val="nil"/>
            </w:tcBorders>
            <w:shd w:val="clear" w:color="auto" w:fill="auto"/>
            <w:noWrap/>
            <w:vAlign w:val="bottom"/>
            <w:hideMark/>
          </w:tcPr>
          <w:p w14:paraId="6CAD08A0" w14:textId="77777777" w:rsidR="00BE236A" w:rsidRPr="00BE236A" w:rsidRDefault="00BE236A" w:rsidP="00BE236A">
            <w:pPr>
              <w:jc w:val="right"/>
              <w:rPr>
                <w:rFonts w:ascii="Calibri" w:hAnsi="Calibri" w:cs="Calibri"/>
                <w:color w:val="000000"/>
                <w:szCs w:val="22"/>
                <w:lang w:val="en-CA" w:eastAsia="en-CA"/>
              </w:rPr>
            </w:pPr>
          </w:p>
        </w:tc>
        <w:tc>
          <w:tcPr>
            <w:tcW w:w="5984" w:type="dxa"/>
            <w:gridSpan w:val="3"/>
            <w:tcBorders>
              <w:top w:val="nil"/>
              <w:left w:val="nil"/>
              <w:bottom w:val="nil"/>
              <w:right w:val="nil"/>
            </w:tcBorders>
            <w:shd w:val="clear" w:color="auto" w:fill="auto"/>
            <w:noWrap/>
            <w:vAlign w:val="bottom"/>
            <w:hideMark/>
          </w:tcPr>
          <w:p w14:paraId="4530D42A"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Fixed Assets</w:t>
            </w:r>
          </w:p>
        </w:tc>
        <w:tc>
          <w:tcPr>
            <w:tcW w:w="1440" w:type="dxa"/>
            <w:tcBorders>
              <w:top w:val="nil"/>
              <w:left w:val="nil"/>
              <w:bottom w:val="single" w:sz="4" w:space="0" w:color="auto"/>
              <w:right w:val="nil"/>
            </w:tcBorders>
            <w:shd w:val="clear" w:color="auto" w:fill="auto"/>
            <w:noWrap/>
            <w:vAlign w:val="bottom"/>
            <w:hideMark/>
          </w:tcPr>
          <w:p w14:paraId="7D483AC7"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25,527</w:t>
            </w:r>
          </w:p>
        </w:tc>
      </w:tr>
      <w:tr w:rsidR="00BE236A" w:rsidRPr="00BE236A" w14:paraId="713A49F8" w14:textId="77777777" w:rsidTr="00BE236A">
        <w:trPr>
          <w:trHeight w:val="300"/>
        </w:trPr>
        <w:tc>
          <w:tcPr>
            <w:tcW w:w="6381" w:type="dxa"/>
            <w:gridSpan w:val="4"/>
            <w:tcBorders>
              <w:top w:val="nil"/>
              <w:left w:val="nil"/>
              <w:bottom w:val="nil"/>
              <w:right w:val="nil"/>
            </w:tcBorders>
            <w:shd w:val="clear" w:color="auto" w:fill="auto"/>
            <w:noWrap/>
            <w:vAlign w:val="bottom"/>
            <w:hideMark/>
          </w:tcPr>
          <w:p w14:paraId="4964E4D9"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ASSETS</w:t>
            </w:r>
          </w:p>
        </w:tc>
        <w:tc>
          <w:tcPr>
            <w:tcW w:w="1440" w:type="dxa"/>
            <w:tcBorders>
              <w:top w:val="nil"/>
              <w:left w:val="nil"/>
              <w:bottom w:val="double" w:sz="6" w:space="0" w:color="auto"/>
              <w:right w:val="nil"/>
            </w:tcBorders>
            <w:shd w:val="clear" w:color="auto" w:fill="auto"/>
            <w:noWrap/>
            <w:vAlign w:val="bottom"/>
            <w:hideMark/>
          </w:tcPr>
          <w:p w14:paraId="3EAC40AF"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47,110</w:t>
            </w:r>
          </w:p>
        </w:tc>
      </w:tr>
      <w:tr w:rsidR="00BE236A" w:rsidRPr="00BE236A" w14:paraId="5826BA22" w14:textId="77777777" w:rsidTr="00BE236A">
        <w:trPr>
          <w:trHeight w:val="300"/>
        </w:trPr>
        <w:tc>
          <w:tcPr>
            <w:tcW w:w="397" w:type="dxa"/>
            <w:tcBorders>
              <w:top w:val="nil"/>
              <w:left w:val="nil"/>
              <w:bottom w:val="nil"/>
              <w:right w:val="nil"/>
            </w:tcBorders>
            <w:shd w:val="clear" w:color="auto" w:fill="auto"/>
            <w:noWrap/>
            <w:vAlign w:val="bottom"/>
            <w:hideMark/>
          </w:tcPr>
          <w:p w14:paraId="6434AB79"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53A32EE0" w14:textId="77777777" w:rsidR="00BE236A" w:rsidRPr="00BE236A" w:rsidRDefault="00BE236A" w:rsidP="00BE236A">
            <w:pPr>
              <w:rPr>
                <w:rFonts w:ascii="Times New Roman" w:hAnsi="Times New Roman"/>
                <w:sz w:val="20"/>
                <w:szCs w:val="20"/>
                <w:lang w:val="en-CA" w:eastAsia="en-CA"/>
              </w:rPr>
            </w:pPr>
          </w:p>
        </w:tc>
        <w:tc>
          <w:tcPr>
            <w:tcW w:w="5190" w:type="dxa"/>
            <w:tcBorders>
              <w:top w:val="nil"/>
              <w:left w:val="nil"/>
              <w:bottom w:val="nil"/>
              <w:right w:val="nil"/>
            </w:tcBorders>
            <w:shd w:val="clear" w:color="auto" w:fill="auto"/>
            <w:noWrap/>
            <w:vAlign w:val="bottom"/>
            <w:hideMark/>
          </w:tcPr>
          <w:p w14:paraId="364A331F"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57980DBE" w14:textId="77777777" w:rsidR="00BE236A" w:rsidRPr="00BE236A" w:rsidRDefault="00BE236A" w:rsidP="00BE236A">
            <w:pPr>
              <w:rPr>
                <w:rFonts w:ascii="Times New Roman" w:hAnsi="Times New Roman"/>
                <w:sz w:val="20"/>
                <w:szCs w:val="20"/>
                <w:lang w:val="en-CA" w:eastAsia="en-CA"/>
              </w:rPr>
            </w:pPr>
          </w:p>
        </w:tc>
        <w:tc>
          <w:tcPr>
            <w:tcW w:w="1440" w:type="dxa"/>
            <w:tcBorders>
              <w:top w:val="nil"/>
              <w:left w:val="nil"/>
              <w:bottom w:val="nil"/>
              <w:right w:val="nil"/>
            </w:tcBorders>
            <w:shd w:val="clear" w:color="auto" w:fill="auto"/>
            <w:noWrap/>
            <w:vAlign w:val="bottom"/>
            <w:hideMark/>
          </w:tcPr>
          <w:p w14:paraId="7F5417EC" w14:textId="77777777" w:rsidR="00BE236A" w:rsidRPr="00BE236A" w:rsidRDefault="00BE236A" w:rsidP="00BE236A">
            <w:pPr>
              <w:rPr>
                <w:rFonts w:ascii="Times New Roman" w:hAnsi="Times New Roman"/>
                <w:sz w:val="20"/>
                <w:szCs w:val="20"/>
                <w:lang w:val="en-CA" w:eastAsia="en-CA"/>
              </w:rPr>
            </w:pPr>
          </w:p>
        </w:tc>
      </w:tr>
      <w:tr w:rsidR="00BE236A" w:rsidRPr="00BE236A" w14:paraId="2045C56D" w14:textId="77777777" w:rsidTr="00BE236A">
        <w:trPr>
          <w:trHeight w:val="290"/>
        </w:trPr>
        <w:tc>
          <w:tcPr>
            <w:tcW w:w="6381" w:type="dxa"/>
            <w:gridSpan w:val="4"/>
            <w:tcBorders>
              <w:top w:val="nil"/>
              <w:left w:val="nil"/>
              <w:bottom w:val="nil"/>
              <w:right w:val="nil"/>
            </w:tcBorders>
            <w:shd w:val="clear" w:color="auto" w:fill="auto"/>
            <w:noWrap/>
            <w:vAlign w:val="bottom"/>
            <w:hideMark/>
          </w:tcPr>
          <w:p w14:paraId="60BF9EDD" w14:textId="77777777" w:rsidR="00BE236A" w:rsidRPr="00BE236A" w:rsidRDefault="00BE236A" w:rsidP="00BE236A">
            <w:pPr>
              <w:jc w:val="center"/>
              <w:rPr>
                <w:rFonts w:ascii="Calibri" w:hAnsi="Calibri" w:cs="Calibri"/>
                <w:b/>
                <w:bCs/>
                <w:color w:val="000000"/>
                <w:szCs w:val="22"/>
                <w:lang w:val="en-CA" w:eastAsia="en-CA"/>
              </w:rPr>
            </w:pPr>
            <w:r w:rsidRPr="00BE236A">
              <w:rPr>
                <w:rFonts w:ascii="Calibri" w:hAnsi="Calibri" w:cs="Calibri"/>
                <w:b/>
                <w:bCs/>
                <w:color w:val="000000"/>
                <w:szCs w:val="22"/>
                <w:lang w:val="en-CA" w:eastAsia="en-CA"/>
              </w:rPr>
              <w:t>LIABILITIES &amp; EQUITY</w:t>
            </w:r>
          </w:p>
        </w:tc>
        <w:tc>
          <w:tcPr>
            <w:tcW w:w="1440" w:type="dxa"/>
            <w:tcBorders>
              <w:top w:val="nil"/>
              <w:left w:val="nil"/>
              <w:bottom w:val="nil"/>
              <w:right w:val="nil"/>
            </w:tcBorders>
            <w:shd w:val="clear" w:color="auto" w:fill="auto"/>
            <w:noWrap/>
            <w:vAlign w:val="bottom"/>
            <w:hideMark/>
          </w:tcPr>
          <w:p w14:paraId="323E6F6F" w14:textId="77777777" w:rsidR="00BE236A" w:rsidRPr="00BE236A" w:rsidRDefault="00BE236A" w:rsidP="00BE236A">
            <w:pPr>
              <w:jc w:val="center"/>
              <w:rPr>
                <w:rFonts w:ascii="Calibri" w:hAnsi="Calibri" w:cs="Calibri"/>
                <w:b/>
                <w:bCs/>
                <w:color w:val="000000"/>
                <w:szCs w:val="22"/>
                <w:lang w:val="en-CA" w:eastAsia="en-CA"/>
              </w:rPr>
            </w:pPr>
          </w:p>
        </w:tc>
      </w:tr>
      <w:tr w:rsidR="00BE236A" w:rsidRPr="00BE236A" w14:paraId="233ECF45" w14:textId="77777777" w:rsidTr="00BE236A">
        <w:trPr>
          <w:trHeight w:val="290"/>
        </w:trPr>
        <w:tc>
          <w:tcPr>
            <w:tcW w:w="397" w:type="dxa"/>
            <w:tcBorders>
              <w:top w:val="nil"/>
              <w:left w:val="nil"/>
              <w:bottom w:val="nil"/>
              <w:right w:val="nil"/>
            </w:tcBorders>
            <w:shd w:val="clear" w:color="auto" w:fill="auto"/>
            <w:noWrap/>
            <w:vAlign w:val="bottom"/>
            <w:hideMark/>
          </w:tcPr>
          <w:p w14:paraId="2FB3A0BE"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192A7111" w14:textId="77777777" w:rsidR="00BE236A" w:rsidRPr="00BE236A" w:rsidRDefault="00BE236A" w:rsidP="00BE236A">
            <w:pPr>
              <w:rPr>
                <w:rFonts w:ascii="Times New Roman" w:hAnsi="Times New Roman"/>
                <w:sz w:val="20"/>
                <w:szCs w:val="20"/>
                <w:lang w:val="en-CA" w:eastAsia="en-CA"/>
              </w:rPr>
            </w:pPr>
          </w:p>
        </w:tc>
        <w:tc>
          <w:tcPr>
            <w:tcW w:w="5190" w:type="dxa"/>
            <w:tcBorders>
              <w:top w:val="nil"/>
              <w:left w:val="nil"/>
              <w:bottom w:val="nil"/>
              <w:right w:val="nil"/>
            </w:tcBorders>
            <w:shd w:val="clear" w:color="auto" w:fill="auto"/>
            <w:noWrap/>
            <w:vAlign w:val="bottom"/>
            <w:hideMark/>
          </w:tcPr>
          <w:p w14:paraId="0C405D10"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1C3EF805" w14:textId="77777777" w:rsidR="00BE236A" w:rsidRPr="00BE236A" w:rsidRDefault="00BE236A" w:rsidP="00BE236A">
            <w:pPr>
              <w:rPr>
                <w:rFonts w:ascii="Times New Roman" w:hAnsi="Times New Roman"/>
                <w:sz w:val="20"/>
                <w:szCs w:val="20"/>
                <w:lang w:val="en-CA" w:eastAsia="en-CA"/>
              </w:rPr>
            </w:pPr>
          </w:p>
        </w:tc>
        <w:tc>
          <w:tcPr>
            <w:tcW w:w="1440" w:type="dxa"/>
            <w:tcBorders>
              <w:top w:val="nil"/>
              <w:left w:val="nil"/>
              <w:bottom w:val="nil"/>
              <w:right w:val="nil"/>
            </w:tcBorders>
            <w:shd w:val="clear" w:color="auto" w:fill="auto"/>
            <w:noWrap/>
            <w:vAlign w:val="bottom"/>
            <w:hideMark/>
          </w:tcPr>
          <w:p w14:paraId="36BD9D0D" w14:textId="77777777" w:rsidR="00BE236A" w:rsidRPr="00BE236A" w:rsidRDefault="00BE236A" w:rsidP="00BE236A">
            <w:pPr>
              <w:rPr>
                <w:rFonts w:ascii="Times New Roman" w:hAnsi="Times New Roman"/>
                <w:sz w:val="20"/>
                <w:szCs w:val="20"/>
                <w:lang w:val="en-CA" w:eastAsia="en-CA"/>
              </w:rPr>
            </w:pPr>
          </w:p>
        </w:tc>
      </w:tr>
      <w:tr w:rsidR="00BE236A" w:rsidRPr="00BE236A" w14:paraId="7BC6EE43" w14:textId="77777777" w:rsidTr="00BE236A">
        <w:trPr>
          <w:trHeight w:val="290"/>
        </w:trPr>
        <w:tc>
          <w:tcPr>
            <w:tcW w:w="5984" w:type="dxa"/>
            <w:gridSpan w:val="3"/>
            <w:tcBorders>
              <w:top w:val="nil"/>
              <w:left w:val="nil"/>
              <w:bottom w:val="nil"/>
              <w:right w:val="nil"/>
            </w:tcBorders>
            <w:shd w:val="clear" w:color="auto" w:fill="auto"/>
            <w:noWrap/>
            <w:vAlign w:val="bottom"/>
            <w:hideMark/>
          </w:tcPr>
          <w:p w14:paraId="3BA251D9"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LIABILITIES</w:t>
            </w:r>
          </w:p>
        </w:tc>
        <w:tc>
          <w:tcPr>
            <w:tcW w:w="397" w:type="dxa"/>
            <w:tcBorders>
              <w:top w:val="nil"/>
              <w:left w:val="nil"/>
              <w:bottom w:val="nil"/>
              <w:right w:val="nil"/>
            </w:tcBorders>
            <w:shd w:val="clear" w:color="auto" w:fill="auto"/>
            <w:noWrap/>
            <w:vAlign w:val="bottom"/>
            <w:hideMark/>
          </w:tcPr>
          <w:p w14:paraId="5D2ACC1F" w14:textId="77777777" w:rsidR="00BE236A" w:rsidRPr="00BE236A" w:rsidRDefault="00BE236A" w:rsidP="00BE236A">
            <w:pPr>
              <w:rPr>
                <w:rFonts w:ascii="Calibri" w:hAnsi="Calibri" w:cs="Calibri"/>
                <w:color w:val="000000"/>
                <w:szCs w:val="22"/>
                <w:lang w:val="en-CA" w:eastAsia="en-CA"/>
              </w:rPr>
            </w:pPr>
          </w:p>
        </w:tc>
        <w:tc>
          <w:tcPr>
            <w:tcW w:w="1440" w:type="dxa"/>
            <w:tcBorders>
              <w:top w:val="nil"/>
              <w:left w:val="nil"/>
              <w:bottom w:val="nil"/>
              <w:right w:val="nil"/>
            </w:tcBorders>
            <w:shd w:val="clear" w:color="auto" w:fill="auto"/>
            <w:noWrap/>
            <w:vAlign w:val="bottom"/>
            <w:hideMark/>
          </w:tcPr>
          <w:p w14:paraId="4DE59661" w14:textId="77777777" w:rsidR="00BE236A" w:rsidRPr="00BE236A" w:rsidRDefault="00BE236A" w:rsidP="00BE236A">
            <w:pPr>
              <w:rPr>
                <w:rFonts w:ascii="Times New Roman" w:hAnsi="Times New Roman"/>
                <w:sz w:val="20"/>
                <w:szCs w:val="20"/>
                <w:lang w:val="en-CA" w:eastAsia="en-CA"/>
              </w:rPr>
            </w:pPr>
          </w:p>
        </w:tc>
      </w:tr>
      <w:tr w:rsidR="00BE236A" w:rsidRPr="00BE236A" w14:paraId="29E200E7" w14:textId="77777777" w:rsidTr="00BE236A">
        <w:trPr>
          <w:trHeight w:val="290"/>
        </w:trPr>
        <w:tc>
          <w:tcPr>
            <w:tcW w:w="397" w:type="dxa"/>
            <w:tcBorders>
              <w:top w:val="nil"/>
              <w:left w:val="nil"/>
              <w:bottom w:val="nil"/>
              <w:right w:val="nil"/>
            </w:tcBorders>
            <w:shd w:val="clear" w:color="auto" w:fill="auto"/>
            <w:noWrap/>
            <w:vAlign w:val="bottom"/>
            <w:hideMark/>
          </w:tcPr>
          <w:p w14:paraId="19AF772E" w14:textId="77777777" w:rsidR="00BE236A" w:rsidRPr="00BE236A" w:rsidRDefault="00BE236A" w:rsidP="00BE236A">
            <w:pPr>
              <w:rPr>
                <w:rFonts w:ascii="Times New Roman" w:hAnsi="Times New Roman"/>
                <w:sz w:val="20"/>
                <w:szCs w:val="20"/>
                <w:lang w:val="en-CA" w:eastAsia="en-CA"/>
              </w:rPr>
            </w:pPr>
          </w:p>
        </w:tc>
        <w:tc>
          <w:tcPr>
            <w:tcW w:w="5984" w:type="dxa"/>
            <w:gridSpan w:val="3"/>
            <w:tcBorders>
              <w:top w:val="nil"/>
              <w:left w:val="nil"/>
              <w:bottom w:val="nil"/>
              <w:right w:val="nil"/>
            </w:tcBorders>
            <w:shd w:val="clear" w:color="auto" w:fill="auto"/>
            <w:noWrap/>
            <w:vAlign w:val="bottom"/>
            <w:hideMark/>
          </w:tcPr>
          <w:p w14:paraId="7B7BD67B"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Current Liabilities</w:t>
            </w:r>
          </w:p>
        </w:tc>
        <w:tc>
          <w:tcPr>
            <w:tcW w:w="1440" w:type="dxa"/>
            <w:tcBorders>
              <w:top w:val="nil"/>
              <w:left w:val="nil"/>
              <w:bottom w:val="nil"/>
              <w:right w:val="nil"/>
            </w:tcBorders>
            <w:shd w:val="clear" w:color="auto" w:fill="auto"/>
            <w:noWrap/>
            <w:vAlign w:val="bottom"/>
            <w:hideMark/>
          </w:tcPr>
          <w:p w14:paraId="58E0246B" w14:textId="77777777" w:rsidR="00BE236A" w:rsidRPr="00BE236A" w:rsidRDefault="00BE236A" w:rsidP="00BE236A">
            <w:pPr>
              <w:rPr>
                <w:rFonts w:ascii="Calibri" w:hAnsi="Calibri" w:cs="Calibri"/>
                <w:color w:val="000000"/>
                <w:szCs w:val="22"/>
                <w:lang w:val="en-CA" w:eastAsia="en-CA"/>
              </w:rPr>
            </w:pPr>
          </w:p>
        </w:tc>
      </w:tr>
      <w:tr w:rsidR="00BE236A" w:rsidRPr="00BE236A" w14:paraId="70C28EC5" w14:textId="77777777" w:rsidTr="00BE236A">
        <w:trPr>
          <w:trHeight w:val="290"/>
        </w:trPr>
        <w:tc>
          <w:tcPr>
            <w:tcW w:w="397" w:type="dxa"/>
            <w:tcBorders>
              <w:top w:val="nil"/>
              <w:left w:val="nil"/>
              <w:bottom w:val="nil"/>
              <w:right w:val="nil"/>
            </w:tcBorders>
            <w:shd w:val="clear" w:color="auto" w:fill="auto"/>
            <w:noWrap/>
            <w:vAlign w:val="bottom"/>
            <w:hideMark/>
          </w:tcPr>
          <w:p w14:paraId="5E496433"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4095E0E7"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50E1D8BB"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Accounts Payable</w:t>
            </w:r>
          </w:p>
        </w:tc>
        <w:tc>
          <w:tcPr>
            <w:tcW w:w="1440" w:type="dxa"/>
            <w:tcBorders>
              <w:top w:val="nil"/>
              <w:left w:val="nil"/>
              <w:bottom w:val="single" w:sz="4" w:space="0" w:color="auto"/>
              <w:right w:val="nil"/>
            </w:tcBorders>
            <w:shd w:val="clear" w:color="auto" w:fill="auto"/>
            <w:noWrap/>
            <w:vAlign w:val="bottom"/>
            <w:hideMark/>
          </w:tcPr>
          <w:p w14:paraId="03445D79"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7,117</w:t>
            </w:r>
          </w:p>
        </w:tc>
      </w:tr>
      <w:tr w:rsidR="00BE236A" w:rsidRPr="00BE236A" w14:paraId="53A21E76" w14:textId="77777777" w:rsidTr="00BE236A">
        <w:trPr>
          <w:trHeight w:val="290"/>
        </w:trPr>
        <w:tc>
          <w:tcPr>
            <w:tcW w:w="397" w:type="dxa"/>
            <w:tcBorders>
              <w:top w:val="nil"/>
              <w:left w:val="nil"/>
              <w:bottom w:val="nil"/>
              <w:right w:val="nil"/>
            </w:tcBorders>
            <w:shd w:val="clear" w:color="auto" w:fill="auto"/>
            <w:noWrap/>
            <w:vAlign w:val="bottom"/>
            <w:hideMark/>
          </w:tcPr>
          <w:p w14:paraId="72EC1506"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65EF88E1"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316309C3"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Shareholder Loan</w:t>
            </w:r>
          </w:p>
        </w:tc>
        <w:tc>
          <w:tcPr>
            <w:tcW w:w="1440" w:type="dxa"/>
            <w:tcBorders>
              <w:top w:val="nil"/>
              <w:left w:val="nil"/>
              <w:bottom w:val="nil"/>
              <w:right w:val="nil"/>
            </w:tcBorders>
            <w:shd w:val="clear" w:color="auto" w:fill="auto"/>
            <w:noWrap/>
            <w:vAlign w:val="bottom"/>
            <w:hideMark/>
          </w:tcPr>
          <w:p w14:paraId="3F7A5881"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20,000</w:t>
            </w:r>
          </w:p>
        </w:tc>
      </w:tr>
      <w:tr w:rsidR="00BE236A" w:rsidRPr="00BE236A" w14:paraId="5CABC90F" w14:textId="77777777" w:rsidTr="00BE236A">
        <w:trPr>
          <w:trHeight w:val="290"/>
        </w:trPr>
        <w:tc>
          <w:tcPr>
            <w:tcW w:w="397" w:type="dxa"/>
            <w:tcBorders>
              <w:top w:val="nil"/>
              <w:left w:val="nil"/>
              <w:bottom w:val="nil"/>
              <w:right w:val="nil"/>
            </w:tcBorders>
            <w:shd w:val="clear" w:color="auto" w:fill="auto"/>
            <w:noWrap/>
            <w:vAlign w:val="bottom"/>
            <w:hideMark/>
          </w:tcPr>
          <w:p w14:paraId="0D77674B" w14:textId="77777777" w:rsidR="00BE236A" w:rsidRPr="00BE236A" w:rsidRDefault="00BE236A" w:rsidP="00BE236A">
            <w:pPr>
              <w:jc w:val="right"/>
              <w:rPr>
                <w:rFonts w:ascii="Calibri" w:hAnsi="Calibri" w:cs="Calibri"/>
                <w:color w:val="000000"/>
                <w:szCs w:val="22"/>
                <w:lang w:val="en-CA" w:eastAsia="en-CA"/>
              </w:rPr>
            </w:pPr>
          </w:p>
        </w:tc>
        <w:tc>
          <w:tcPr>
            <w:tcW w:w="5984" w:type="dxa"/>
            <w:gridSpan w:val="3"/>
            <w:tcBorders>
              <w:top w:val="nil"/>
              <w:left w:val="nil"/>
              <w:bottom w:val="nil"/>
              <w:right w:val="nil"/>
            </w:tcBorders>
            <w:shd w:val="clear" w:color="auto" w:fill="auto"/>
            <w:noWrap/>
            <w:vAlign w:val="bottom"/>
            <w:hideMark/>
          </w:tcPr>
          <w:p w14:paraId="38C2543B"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Current Liabilities</w:t>
            </w:r>
          </w:p>
        </w:tc>
        <w:tc>
          <w:tcPr>
            <w:tcW w:w="1440" w:type="dxa"/>
            <w:tcBorders>
              <w:top w:val="nil"/>
              <w:left w:val="nil"/>
              <w:bottom w:val="single" w:sz="4" w:space="0" w:color="auto"/>
              <w:right w:val="nil"/>
            </w:tcBorders>
            <w:shd w:val="clear" w:color="auto" w:fill="auto"/>
            <w:noWrap/>
            <w:vAlign w:val="bottom"/>
            <w:hideMark/>
          </w:tcPr>
          <w:p w14:paraId="122626D1"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27,117</w:t>
            </w:r>
          </w:p>
        </w:tc>
      </w:tr>
      <w:tr w:rsidR="00BE236A" w:rsidRPr="00BE236A" w14:paraId="20563DDE" w14:textId="77777777" w:rsidTr="00BE236A">
        <w:trPr>
          <w:trHeight w:val="300"/>
        </w:trPr>
        <w:tc>
          <w:tcPr>
            <w:tcW w:w="5984" w:type="dxa"/>
            <w:gridSpan w:val="3"/>
            <w:tcBorders>
              <w:top w:val="nil"/>
              <w:left w:val="nil"/>
              <w:bottom w:val="nil"/>
              <w:right w:val="nil"/>
            </w:tcBorders>
            <w:shd w:val="clear" w:color="auto" w:fill="auto"/>
            <w:noWrap/>
            <w:vAlign w:val="bottom"/>
            <w:hideMark/>
          </w:tcPr>
          <w:p w14:paraId="454D39F0"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LIABILITIES</w:t>
            </w:r>
          </w:p>
        </w:tc>
        <w:tc>
          <w:tcPr>
            <w:tcW w:w="397" w:type="dxa"/>
            <w:tcBorders>
              <w:top w:val="nil"/>
              <w:left w:val="nil"/>
              <w:bottom w:val="nil"/>
              <w:right w:val="nil"/>
            </w:tcBorders>
            <w:shd w:val="clear" w:color="auto" w:fill="auto"/>
            <w:noWrap/>
            <w:vAlign w:val="bottom"/>
            <w:hideMark/>
          </w:tcPr>
          <w:p w14:paraId="3EB47ED5" w14:textId="77777777" w:rsidR="00BE236A" w:rsidRPr="00BE236A" w:rsidRDefault="00BE236A" w:rsidP="00BE236A">
            <w:pPr>
              <w:rPr>
                <w:rFonts w:ascii="Calibri" w:hAnsi="Calibri" w:cs="Calibri"/>
                <w:color w:val="000000"/>
                <w:szCs w:val="22"/>
                <w:lang w:val="en-CA" w:eastAsia="en-CA"/>
              </w:rPr>
            </w:pPr>
          </w:p>
        </w:tc>
        <w:tc>
          <w:tcPr>
            <w:tcW w:w="1440" w:type="dxa"/>
            <w:tcBorders>
              <w:top w:val="nil"/>
              <w:left w:val="nil"/>
              <w:bottom w:val="double" w:sz="6" w:space="0" w:color="auto"/>
              <w:right w:val="nil"/>
            </w:tcBorders>
            <w:shd w:val="clear" w:color="auto" w:fill="auto"/>
            <w:noWrap/>
            <w:vAlign w:val="bottom"/>
            <w:hideMark/>
          </w:tcPr>
          <w:p w14:paraId="2D7298A2"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27,117</w:t>
            </w:r>
          </w:p>
        </w:tc>
      </w:tr>
      <w:tr w:rsidR="00BE236A" w:rsidRPr="00BE236A" w14:paraId="7D41CA3B" w14:textId="77777777" w:rsidTr="00BE236A">
        <w:trPr>
          <w:trHeight w:val="300"/>
        </w:trPr>
        <w:tc>
          <w:tcPr>
            <w:tcW w:w="397" w:type="dxa"/>
            <w:tcBorders>
              <w:top w:val="nil"/>
              <w:left w:val="nil"/>
              <w:bottom w:val="nil"/>
              <w:right w:val="nil"/>
            </w:tcBorders>
            <w:shd w:val="clear" w:color="auto" w:fill="auto"/>
            <w:noWrap/>
            <w:vAlign w:val="bottom"/>
            <w:hideMark/>
          </w:tcPr>
          <w:p w14:paraId="27903E46"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63B1C7FD" w14:textId="77777777" w:rsidR="00BE236A" w:rsidRPr="00BE236A" w:rsidRDefault="00BE236A" w:rsidP="00BE236A">
            <w:pPr>
              <w:rPr>
                <w:rFonts w:ascii="Times New Roman" w:hAnsi="Times New Roman"/>
                <w:sz w:val="20"/>
                <w:szCs w:val="20"/>
                <w:lang w:val="en-CA" w:eastAsia="en-CA"/>
              </w:rPr>
            </w:pPr>
          </w:p>
        </w:tc>
        <w:tc>
          <w:tcPr>
            <w:tcW w:w="5190" w:type="dxa"/>
            <w:tcBorders>
              <w:top w:val="nil"/>
              <w:left w:val="nil"/>
              <w:bottom w:val="nil"/>
              <w:right w:val="nil"/>
            </w:tcBorders>
            <w:shd w:val="clear" w:color="auto" w:fill="auto"/>
            <w:noWrap/>
            <w:vAlign w:val="bottom"/>
            <w:hideMark/>
          </w:tcPr>
          <w:p w14:paraId="36521678"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0634C01B" w14:textId="77777777" w:rsidR="00BE236A" w:rsidRPr="00BE236A" w:rsidRDefault="00BE236A" w:rsidP="00BE236A">
            <w:pPr>
              <w:rPr>
                <w:rFonts w:ascii="Times New Roman" w:hAnsi="Times New Roman"/>
                <w:sz w:val="20"/>
                <w:szCs w:val="20"/>
                <w:lang w:val="en-CA" w:eastAsia="en-CA"/>
              </w:rPr>
            </w:pPr>
          </w:p>
        </w:tc>
        <w:tc>
          <w:tcPr>
            <w:tcW w:w="1440" w:type="dxa"/>
            <w:tcBorders>
              <w:top w:val="nil"/>
              <w:left w:val="nil"/>
              <w:bottom w:val="nil"/>
              <w:right w:val="nil"/>
            </w:tcBorders>
            <w:shd w:val="clear" w:color="auto" w:fill="auto"/>
            <w:noWrap/>
            <w:vAlign w:val="bottom"/>
            <w:hideMark/>
          </w:tcPr>
          <w:p w14:paraId="30BA7C5D" w14:textId="77777777" w:rsidR="00BE236A" w:rsidRPr="00BE236A" w:rsidRDefault="00BE236A" w:rsidP="00BE236A">
            <w:pPr>
              <w:rPr>
                <w:rFonts w:ascii="Times New Roman" w:hAnsi="Times New Roman"/>
                <w:sz w:val="20"/>
                <w:szCs w:val="20"/>
                <w:lang w:val="en-CA" w:eastAsia="en-CA"/>
              </w:rPr>
            </w:pPr>
          </w:p>
        </w:tc>
      </w:tr>
      <w:tr w:rsidR="00BE236A" w:rsidRPr="00BE236A" w14:paraId="08D120C3" w14:textId="77777777" w:rsidTr="00BE236A">
        <w:trPr>
          <w:trHeight w:val="290"/>
        </w:trPr>
        <w:tc>
          <w:tcPr>
            <w:tcW w:w="794" w:type="dxa"/>
            <w:gridSpan w:val="2"/>
            <w:tcBorders>
              <w:top w:val="nil"/>
              <w:left w:val="nil"/>
              <w:bottom w:val="nil"/>
              <w:right w:val="nil"/>
            </w:tcBorders>
            <w:shd w:val="clear" w:color="auto" w:fill="auto"/>
            <w:noWrap/>
            <w:vAlign w:val="bottom"/>
            <w:hideMark/>
          </w:tcPr>
          <w:p w14:paraId="5FF84074"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EQUITY</w:t>
            </w:r>
          </w:p>
        </w:tc>
        <w:tc>
          <w:tcPr>
            <w:tcW w:w="5190" w:type="dxa"/>
            <w:tcBorders>
              <w:top w:val="nil"/>
              <w:left w:val="nil"/>
              <w:bottom w:val="nil"/>
              <w:right w:val="nil"/>
            </w:tcBorders>
            <w:shd w:val="clear" w:color="auto" w:fill="auto"/>
            <w:noWrap/>
            <w:vAlign w:val="bottom"/>
            <w:hideMark/>
          </w:tcPr>
          <w:p w14:paraId="51CD8844" w14:textId="77777777" w:rsidR="00BE236A" w:rsidRPr="00BE236A" w:rsidRDefault="00BE236A" w:rsidP="00BE236A">
            <w:pPr>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54F188A5" w14:textId="77777777" w:rsidR="00BE236A" w:rsidRPr="00BE236A" w:rsidRDefault="00BE236A" w:rsidP="00BE236A">
            <w:pPr>
              <w:rPr>
                <w:rFonts w:ascii="Times New Roman" w:hAnsi="Times New Roman"/>
                <w:sz w:val="20"/>
                <w:szCs w:val="20"/>
                <w:lang w:val="en-CA" w:eastAsia="en-CA"/>
              </w:rPr>
            </w:pPr>
          </w:p>
        </w:tc>
        <w:tc>
          <w:tcPr>
            <w:tcW w:w="1440" w:type="dxa"/>
            <w:tcBorders>
              <w:top w:val="nil"/>
              <w:left w:val="nil"/>
              <w:bottom w:val="nil"/>
              <w:right w:val="nil"/>
            </w:tcBorders>
            <w:shd w:val="clear" w:color="auto" w:fill="auto"/>
            <w:noWrap/>
            <w:vAlign w:val="bottom"/>
            <w:hideMark/>
          </w:tcPr>
          <w:p w14:paraId="51140A04" w14:textId="77777777" w:rsidR="00BE236A" w:rsidRPr="00BE236A" w:rsidRDefault="00BE236A" w:rsidP="00BE236A">
            <w:pPr>
              <w:rPr>
                <w:rFonts w:ascii="Times New Roman" w:hAnsi="Times New Roman"/>
                <w:sz w:val="20"/>
                <w:szCs w:val="20"/>
                <w:lang w:val="en-CA" w:eastAsia="en-CA"/>
              </w:rPr>
            </w:pPr>
          </w:p>
        </w:tc>
      </w:tr>
      <w:tr w:rsidR="00BE236A" w:rsidRPr="00BE236A" w14:paraId="5BA7BC1F" w14:textId="77777777" w:rsidTr="00BE236A">
        <w:trPr>
          <w:trHeight w:val="290"/>
        </w:trPr>
        <w:tc>
          <w:tcPr>
            <w:tcW w:w="397" w:type="dxa"/>
            <w:tcBorders>
              <w:top w:val="nil"/>
              <w:left w:val="nil"/>
              <w:bottom w:val="nil"/>
              <w:right w:val="nil"/>
            </w:tcBorders>
            <w:shd w:val="clear" w:color="auto" w:fill="auto"/>
            <w:noWrap/>
            <w:vAlign w:val="bottom"/>
            <w:hideMark/>
          </w:tcPr>
          <w:p w14:paraId="59E27C21" w14:textId="77777777" w:rsidR="00BE236A" w:rsidRPr="00BE236A" w:rsidRDefault="00BE236A" w:rsidP="00BE236A">
            <w:pPr>
              <w:rPr>
                <w:rFonts w:ascii="Times New Roman" w:hAnsi="Times New Roman"/>
                <w:sz w:val="20"/>
                <w:szCs w:val="20"/>
                <w:lang w:val="en-CA" w:eastAsia="en-CA"/>
              </w:rPr>
            </w:pPr>
          </w:p>
        </w:tc>
        <w:tc>
          <w:tcPr>
            <w:tcW w:w="397" w:type="dxa"/>
            <w:tcBorders>
              <w:top w:val="nil"/>
              <w:left w:val="nil"/>
              <w:bottom w:val="nil"/>
              <w:right w:val="nil"/>
            </w:tcBorders>
            <w:shd w:val="clear" w:color="auto" w:fill="auto"/>
            <w:noWrap/>
            <w:vAlign w:val="bottom"/>
            <w:hideMark/>
          </w:tcPr>
          <w:p w14:paraId="60C0ED08"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64522D16"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Capital Stock</w:t>
            </w:r>
          </w:p>
        </w:tc>
        <w:tc>
          <w:tcPr>
            <w:tcW w:w="1440" w:type="dxa"/>
            <w:tcBorders>
              <w:top w:val="nil"/>
              <w:left w:val="nil"/>
              <w:bottom w:val="nil"/>
              <w:right w:val="nil"/>
            </w:tcBorders>
            <w:shd w:val="clear" w:color="auto" w:fill="auto"/>
            <w:noWrap/>
            <w:vAlign w:val="bottom"/>
            <w:hideMark/>
          </w:tcPr>
          <w:p w14:paraId="3F989563"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194,333</w:t>
            </w:r>
          </w:p>
        </w:tc>
      </w:tr>
      <w:tr w:rsidR="00BE236A" w:rsidRPr="00BE236A" w14:paraId="20D3699D" w14:textId="77777777" w:rsidTr="00BE236A">
        <w:trPr>
          <w:trHeight w:val="290"/>
        </w:trPr>
        <w:tc>
          <w:tcPr>
            <w:tcW w:w="397" w:type="dxa"/>
            <w:tcBorders>
              <w:top w:val="nil"/>
              <w:left w:val="nil"/>
              <w:bottom w:val="nil"/>
              <w:right w:val="nil"/>
            </w:tcBorders>
            <w:shd w:val="clear" w:color="auto" w:fill="auto"/>
            <w:noWrap/>
            <w:vAlign w:val="bottom"/>
            <w:hideMark/>
          </w:tcPr>
          <w:p w14:paraId="4CE8E434"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1D876ACC"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6F18C7A8"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Retained Earnings</w:t>
            </w:r>
          </w:p>
        </w:tc>
        <w:tc>
          <w:tcPr>
            <w:tcW w:w="1440" w:type="dxa"/>
            <w:tcBorders>
              <w:top w:val="nil"/>
              <w:left w:val="nil"/>
              <w:bottom w:val="nil"/>
              <w:right w:val="nil"/>
            </w:tcBorders>
            <w:shd w:val="clear" w:color="auto" w:fill="auto"/>
            <w:noWrap/>
            <w:vAlign w:val="bottom"/>
            <w:hideMark/>
          </w:tcPr>
          <w:p w14:paraId="24B07709"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-138,673</w:t>
            </w:r>
          </w:p>
        </w:tc>
      </w:tr>
      <w:tr w:rsidR="00BE236A" w:rsidRPr="00BE236A" w14:paraId="0105C69F" w14:textId="77777777" w:rsidTr="00BE236A">
        <w:trPr>
          <w:trHeight w:val="290"/>
        </w:trPr>
        <w:tc>
          <w:tcPr>
            <w:tcW w:w="397" w:type="dxa"/>
            <w:tcBorders>
              <w:top w:val="nil"/>
              <w:left w:val="nil"/>
              <w:bottom w:val="nil"/>
              <w:right w:val="nil"/>
            </w:tcBorders>
            <w:shd w:val="clear" w:color="auto" w:fill="auto"/>
            <w:noWrap/>
            <w:vAlign w:val="bottom"/>
            <w:hideMark/>
          </w:tcPr>
          <w:p w14:paraId="6987819A" w14:textId="77777777" w:rsidR="00BE236A" w:rsidRPr="00BE236A" w:rsidRDefault="00BE236A" w:rsidP="00BE236A">
            <w:pPr>
              <w:jc w:val="right"/>
              <w:rPr>
                <w:rFonts w:ascii="Calibri" w:hAnsi="Calibri" w:cs="Calibri"/>
                <w:color w:val="000000"/>
                <w:szCs w:val="22"/>
                <w:lang w:val="en-CA" w:eastAsia="en-CA"/>
              </w:rPr>
            </w:pPr>
          </w:p>
        </w:tc>
        <w:tc>
          <w:tcPr>
            <w:tcW w:w="397" w:type="dxa"/>
            <w:tcBorders>
              <w:top w:val="nil"/>
              <w:left w:val="nil"/>
              <w:bottom w:val="nil"/>
              <w:right w:val="nil"/>
            </w:tcBorders>
            <w:shd w:val="clear" w:color="auto" w:fill="auto"/>
            <w:noWrap/>
            <w:vAlign w:val="bottom"/>
            <w:hideMark/>
          </w:tcPr>
          <w:p w14:paraId="0E83DB6C" w14:textId="77777777" w:rsidR="00BE236A" w:rsidRPr="00BE236A" w:rsidRDefault="00BE236A" w:rsidP="00BE236A">
            <w:pPr>
              <w:rPr>
                <w:rFonts w:ascii="Times New Roman" w:hAnsi="Times New Roman"/>
                <w:sz w:val="20"/>
                <w:szCs w:val="20"/>
                <w:lang w:val="en-CA" w:eastAsia="en-CA"/>
              </w:rPr>
            </w:pPr>
          </w:p>
        </w:tc>
        <w:tc>
          <w:tcPr>
            <w:tcW w:w="5587" w:type="dxa"/>
            <w:gridSpan w:val="2"/>
            <w:tcBorders>
              <w:top w:val="nil"/>
              <w:left w:val="nil"/>
              <w:bottom w:val="nil"/>
              <w:right w:val="nil"/>
            </w:tcBorders>
            <w:shd w:val="clear" w:color="auto" w:fill="auto"/>
            <w:noWrap/>
            <w:vAlign w:val="bottom"/>
            <w:hideMark/>
          </w:tcPr>
          <w:p w14:paraId="738575FA"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Net Income</w:t>
            </w:r>
          </w:p>
        </w:tc>
        <w:tc>
          <w:tcPr>
            <w:tcW w:w="1440" w:type="dxa"/>
            <w:tcBorders>
              <w:top w:val="nil"/>
              <w:left w:val="nil"/>
              <w:bottom w:val="nil"/>
              <w:right w:val="nil"/>
            </w:tcBorders>
            <w:shd w:val="clear" w:color="auto" w:fill="auto"/>
            <w:noWrap/>
            <w:vAlign w:val="bottom"/>
            <w:hideMark/>
          </w:tcPr>
          <w:p w14:paraId="620BFD6A"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-35,666</w:t>
            </w:r>
          </w:p>
        </w:tc>
      </w:tr>
      <w:tr w:rsidR="00BE236A" w:rsidRPr="00BE236A" w14:paraId="69F2B821" w14:textId="77777777" w:rsidTr="00BE236A">
        <w:trPr>
          <w:trHeight w:val="290"/>
        </w:trPr>
        <w:tc>
          <w:tcPr>
            <w:tcW w:w="397" w:type="dxa"/>
            <w:tcBorders>
              <w:top w:val="nil"/>
              <w:left w:val="nil"/>
              <w:bottom w:val="nil"/>
              <w:right w:val="nil"/>
            </w:tcBorders>
            <w:shd w:val="clear" w:color="auto" w:fill="auto"/>
            <w:noWrap/>
            <w:vAlign w:val="bottom"/>
            <w:hideMark/>
          </w:tcPr>
          <w:p w14:paraId="55A15F95" w14:textId="77777777" w:rsidR="00BE236A" w:rsidRPr="00BE236A" w:rsidRDefault="00BE236A" w:rsidP="00BE236A">
            <w:pPr>
              <w:jc w:val="right"/>
              <w:rPr>
                <w:rFonts w:ascii="Calibri" w:hAnsi="Calibri" w:cs="Calibri"/>
                <w:color w:val="000000"/>
                <w:szCs w:val="22"/>
                <w:lang w:val="en-CA" w:eastAsia="en-CA"/>
              </w:rPr>
            </w:pPr>
          </w:p>
        </w:tc>
        <w:tc>
          <w:tcPr>
            <w:tcW w:w="5587" w:type="dxa"/>
            <w:gridSpan w:val="2"/>
            <w:tcBorders>
              <w:top w:val="nil"/>
              <w:left w:val="nil"/>
              <w:bottom w:val="nil"/>
              <w:right w:val="nil"/>
            </w:tcBorders>
            <w:shd w:val="clear" w:color="auto" w:fill="auto"/>
            <w:noWrap/>
            <w:vAlign w:val="bottom"/>
            <w:hideMark/>
          </w:tcPr>
          <w:p w14:paraId="2ADCBC36"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Equity</w:t>
            </w:r>
          </w:p>
        </w:tc>
        <w:tc>
          <w:tcPr>
            <w:tcW w:w="397" w:type="dxa"/>
            <w:tcBorders>
              <w:top w:val="nil"/>
              <w:left w:val="nil"/>
              <w:bottom w:val="nil"/>
              <w:right w:val="nil"/>
            </w:tcBorders>
            <w:shd w:val="clear" w:color="auto" w:fill="auto"/>
            <w:noWrap/>
            <w:vAlign w:val="bottom"/>
            <w:hideMark/>
          </w:tcPr>
          <w:p w14:paraId="712D23D4" w14:textId="77777777" w:rsidR="00BE236A" w:rsidRPr="00BE236A" w:rsidRDefault="00BE236A" w:rsidP="00BE236A">
            <w:pPr>
              <w:rPr>
                <w:rFonts w:ascii="Calibri" w:hAnsi="Calibri" w:cs="Calibri"/>
                <w:color w:val="000000"/>
                <w:szCs w:val="22"/>
                <w:lang w:val="en-CA" w:eastAsia="en-CA"/>
              </w:rPr>
            </w:pPr>
          </w:p>
        </w:tc>
        <w:tc>
          <w:tcPr>
            <w:tcW w:w="1440" w:type="dxa"/>
            <w:tcBorders>
              <w:top w:val="nil"/>
              <w:left w:val="nil"/>
              <w:bottom w:val="single" w:sz="4" w:space="0" w:color="auto"/>
              <w:right w:val="nil"/>
            </w:tcBorders>
            <w:shd w:val="clear" w:color="auto" w:fill="auto"/>
            <w:noWrap/>
            <w:vAlign w:val="bottom"/>
            <w:hideMark/>
          </w:tcPr>
          <w:p w14:paraId="6BC46F67"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19,994</w:t>
            </w:r>
          </w:p>
        </w:tc>
      </w:tr>
      <w:tr w:rsidR="00BE236A" w:rsidRPr="00BE236A" w14:paraId="0D8ECE36" w14:textId="77777777" w:rsidTr="00BE236A">
        <w:trPr>
          <w:trHeight w:val="300"/>
        </w:trPr>
        <w:tc>
          <w:tcPr>
            <w:tcW w:w="6381" w:type="dxa"/>
            <w:gridSpan w:val="4"/>
            <w:tcBorders>
              <w:top w:val="nil"/>
              <w:left w:val="nil"/>
              <w:bottom w:val="nil"/>
              <w:right w:val="nil"/>
            </w:tcBorders>
            <w:shd w:val="clear" w:color="auto" w:fill="auto"/>
            <w:noWrap/>
            <w:vAlign w:val="bottom"/>
            <w:hideMark/>
          </w:tcPr>
          <w:p w14:paraId="1F8EB19E"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LIABILITIES &amp; EQUITY</w:t>
            </w:r>
          </w:p>
        </w:tc>
        <w:tc>
          <w:tcPr>
            <w:tcW w:w="1440" w:type="dxa"/>
            <w:tcBorders>
              <w:top w:val="nil"/>
              <w:left w:val="nil"/>
              <w:bottom w:val="double" w:sz="6" w:space="0" w:color="auto"/>
              <w:right w:val="nil"/>
            </w:tcBorders>
            <w:shd w:val="clear" w:color="auto" w:fill="auto"/>
            <w:noWrap/>
            <w:vAlign w:val="bottom"/>
            <w:hideMark/>
          </w:tcPr>
          <w:p w14:paraId="4040B5E4"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47,110</w:t>
            </w:r>
          </w:p>
        </w:tc>
      </w:tr>
    </w:tbl>
    <w:p w14:paraId="3A89B40D" w14:textId="77777777" w:rsidR="007317E0" w:rsidRPr="009F7745" w:rsidRDefault="007317E0" w:rsidP="007317E0">
      <w:pPr>
        <w:tabs>
          <w:tab w:val="right" w:pos="8550"/>
        </w:tabs>
        <w:jc w:val="both"/>
        <w:rPr>
          <w:rFonts w:asciiTheme="minorHAnsi" w:hAnsiTheme="minorHAnsi" w:cstheme="minorHAnsi"/>
          <w:szCs w:val="22"/>
          <w:u w:val="single"/>
        </w:rPr>
      </w:pPr>
    </w:p>
    <w:p w14:paraId="4FCD26AC" w14:textId="77777777" w:rsidR="007317E0" w:rsidRPr="009F7745" w:rsidRDefault="007317E0" w:rsidP="007317E0">
      <w:pPr>
        <w:pStyle w:val="BodyArial"/>
        <w:rPr>
          <w:rFonts w:asciiTheme="minorHAnsi" w:hAnsiTheme="minorHAnsi" w:cstheme="minorHAnsi"/>
          <w:sz w:val="22"/>
        </w:rPr>
      </w:pPr>
      <w:r w:rsidRPr="009F7745">
        <w:rPr>
          <w:rFonts w:asciiTheme="minorHAnsi" w:hAnsiTheme="minorHAnsi" w:cstheme="minorHAnsi"/>
          <w:sz w:val="22"/>
        </w:rPr>
        <w:t>Approved on behalf of the Board of Directors</w:t>
      </w:r>
    </w:p>
    <w:p w14:paraId="0C51670F" w14:textId="77777777" w:rsidR="007317E0" w:rsidRPr="009F7745" w:rsidRDefault="007317E0" w:rsidP="007317E0">
      <w:pPr>
        <w:pStyle w:val="BodyArial"/>
        <w:rPr>
          <w:rFonts w:asciiTheme="minorHAnsi" w:hAnsiTheme="minorHAnsi" w:cstheme="minorHAnsi"/>
          <w:i/>
          <w:sz w:val="22"/>
        </w:rPr>
      </w:pPr>
      <w:r w:rsidRPr="009F7745">
        <w:rPr>
          <w:rFonts w:asciiTheme="minorHAnsi" w:hAnsiTheme="minorHAnsi" w:cstheme="minorHAnsi"/>
          <w:sz w:val="22"/>
        </w:rPr>
        <w:t>“</w:t>
      </w:r>
      <w:r w:rsidRPr="009F7745">
        <w:rPr>
          <w:rFonts w:asciiTheme="minorHAnsi" w:hAnsiTheme="minorHAnsi" w:cstheme="minorHAnsi"/>
          <w:i/>
          <w:sz w:val="22"/>
        </w:rPr>
        <w:t>Ron Shenton”</w:t>
      </w:r>
      <w:r w:rsidRPr="009F7745">
        <w:rPr>
          <w:rFonts w:asciiTheme="minorHAnsi" w:hAnsiTheme="minorHAnsi" w:cstheme="minorHAnsi"/>
          <w:i/>
          <w:sz w:val="22"/>
        </w:rPr>
        <w:tab/>
      </w:r>
      <w:r w:rsidRPr="009F7745">
        <w:rPr>
          <w:rFonts w:asciiTheme="minorHAnsi" w:hAnsiTheme="minorHAnsi" w:cstheme="minorHAnsi"/>
          <w:i/>
          <w:sz w:val="22"/>
        </w:rPr>
        <w:tab/>
      </w:r>
      <w:r w:rsidRPr="009F7745">
        <w:rPr>
          <w:rFonts w:asciiTheme="minorHAnsi" w:hAnsiTheme="minorHAnsi" w:cstheme="minorHAnsi"/>
          <w:i/>
          <w:sz w:val="22"/>
        </w:rPr>
        <w:tab/>
      </w:r>
      <w:r w:rsidRPr="009F7745">
        <w:rPr>
          <w:rFonts w:asciiTheme="minorHAnsi" w:hAnsiTheme="minorHAnsi" w:cstheme="minorHAnsi"/>
          <w:i/>
          <w:sz w:val="22"/>
        </w:rPr>
        <w:tab/>
      </w:r>
      <w:r w:rsidRPr="009F7745">
        <w:rPr>
          <w:rFonts w:asciiTheme="minorHAnsi" w:hAnsiTheme="minorHAnsi" w:cstheme="minorHAnsi"/>
          <w:i/>
          <w:sz w:val="22"/>
        </w:rPr>
        <w:tab/>
      </w:r>
      <w:r w:rsidR="00977581" w:rsidRPr="009F7745">
        <w:rPr>
          <w:rFonts w:asciiTheme="minorHAnsi" w:hAnsiTheme="minorHAnsi" w:cstheme="minorHAnsi"/>
          <w:i/>
          <w:sz w:val="22"/>
        </w:rPr>
        <w:tab/>
      </w:r>
      <w:r w:rsidRPr="009F7745">
        <w:rPr>
          <w:rFonts w:asciiTheme="minorHAnsi" w:hAnsiTheme="minorHAnsi" w:cstheme="minorHAnsi"/>
          <w:i/>
          <w:sz w:val="22"/>
        </w:rPr>
        <w:t>“Brian Roberts”</w:t>
      </w:r>
    </w:p>
    <w:p w14:paraId="29EB645F" w14:textId="77777777" w:rsidR="007317E0" w:rsidRPr="009F7745" w:rsidRDefault="007317E0" w:rsidP="007317E0">
      <w:pPr>
        <w:pStyle w:val="BodyArial"/>
        <w:rPr>
          <w:rFonts w:asciiTheme="minorHAnsi" w:hAnsiTheme="minorHAnsi" w:cstheme="minorHAnsi"/>
          <w:sz w:val="22"/>
        </w:rPr>
      </w:pPr>
      <w:r w:rsidRPr="009F7745">
        <w:rPr>
          <w:rFonts w:asciiTheme="minorHAnsi" w:hAnsiTheme="minorHAnsi" w:cstheme="minorHAnsi"/>
          <w:sz w:val="22"/>
        </w:rPr>
        <w:t>_____________________________________</w:t>
      </w:r>
      <w:r w:rsidRPr="009F7745">
        <w:rPr>
          <w:rFonts w:asciiTheme="minorHAnsi" w:hAnsiTheme="minorHAnsi" w:cstheme="minorHAnsi"/>
          <w:sz w:val="22"/>
        </w:rPr>
        <w:tab/>
      </w:r>
      <w:r w:rsidRPr="009F7745">
        <w:rPr>
          <w:rFonts w:asciiTheme="minorHAnsi" w:hAnsiTheme="minorHAnsi" w:cstheme="minorHAnsi"/>
          <w:sz w:val="22"/>
        </w:rPr>
        <w:tab/>
        <w:t>_________________________________</w:t>
      </w:r>
      <w:r w:rsidRPr="009F7745">
        <w:rPr>
          <w:rFonts w:asciiTheme="minorHAnsi" w:hAnsiTheme="minorHAnsi" w:cstheme="minorHAnsi"/>
          <w:sz w:val="22"/>
        </w:rPr>
        <w:tab/>
      </w:r>
      <w:r w:rsidRPr="009F7745">
        <w:rPr>
          <w:rFonts w:asciiTheme="minorHAnsi" w:hAnsiTheme="minorHAnsi" w:cstheme="minorHAnsi"/>
          <w:sz w:val="22"/>
        </w:rPr>
        <w:br/>
        <w:t>Chief Executive Officer &amp; Director</w:t>
      </w:r>
      <w:r w:rsidRPr="009F7745">
        <w:rPr>
          <w:rFonts w:asciiTheme="minorHAnsi" w:hAnsiTheme="minorHAnsi" w:cstheme="minorHAnsi"/>
          <w:sz w:val="22"/>
        </w:rPr>
        <w:tab/>
      </w:r>
      <w:r w:rsidRPr="009F7745">
        <w:rPr>
          <w:rFonts w:asciiTheme="minorHAnsi" w:hAnsiTheme="minorHAnsi" w:cstheme="minorHAnsi"/>
          <w:sz w:val="22"/>
        </w:rPr>
        <w:tab/>
      </w:r>
      <w:r w:rsidRPr="009F7745">
        <w:rPr>
          <w:rFonts w:asciiTheme="minorHAnsi" w:hAnsiTheme="minorHAnsi" w:cstheme="minorHAnsi"/>
          <w:sz w:val="22"/>
        </w:rPr>
        <w:tab/>
        <w:t>Chief Financial Officer &amp;Director</w:t>
      </w:r>
    </w:p>
    <w:p w14:paraId="467653A6" w14:textId="77777777" w:rsidR="00977581" w:rsidRPr="009F7745" w:rsidRDefault="00977581">
      <w:pPr>
        <w:spacing w:after="160" w:line="259" w:lineRule="auto"/>
        <w:rPr>
          <w:rFonts w:asciiTheme="minorHAnsi" w:hAnsiTheme="minorHAnsi" w:cstheme="minorHAnsi"/>
          <w:szCs w:val="22"/>
        </w:rPr>
      </w:pPr>
      <w:r w:rsidRPr="009F7745">
        <w:rPr>
          <w:rFonts w:asciiTheme="minorHAnsi" w:hAnsiTheme="minorHAnsi" w:cstheme="minorHAnsi"/>
          <w:szCs w:val="22"/>
        </w:rPr>
        <w:br w:type="page"/>
      </w:r>
    </w:p>
    <w:tbl>
      <w:tblPr>
        <w:tblW w:w="9450" w:type="dxa"/>
        <w:tblLook w:val="04A0" w:firstRow="1" w:lastRow="0" w:firstColumn="1" w:lastColumn="0" w:noHBand="0" w:noVBand="1"/>
      </w:tblPr>
      <w:tblGrid>
        <w:gridCol w:w="222"/>
        <w:gridCol w:w="5268"/>
        <w:gridCol w:w="1840"/>
        <w:gridCol w:w="420"/>
        <w:gridCol w:w="1700"/>
      </w:tblGrid>
      <w:tr w:rsidR="00BE236A" w:rsidRPr="00BE236A" w14:paraId="013951AD" w14:textId="77777777" w:rsidTr="00BE236A">
        <w:trPr>
          <w:trHeight w:val="290"/>
        </w:trPr>
        <w:tc>
          <w:tcPr>
            <w:tcW w:w="5490" w:type="dxa"/>
            <w:gridSpan w:val="2"/>
            <w:tcBorders>
              <w:top w:val="nil"/>
              <w:left w:val="nil"/>
              <w:bottom w:val="nil"/>
              <w:right w:val="nil"/>
            </w:tcBorders>
            <w:shd w:val="clear" w:color="auto" w:fill="auto"/>
            <w:noWrap/>
            <w:vAlign w:val="bottom"/>
            <w:hideMark/>
          </w:tcPr>
          <w:p w14:paraId="4473D78E"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lastRenderedPageBreak/>
              <w:t>Project One Resources Ltd.</w:t>
            </w:r>
          </w:p>
        </w:tc>
        <w:tc>
          <w:tcPr>
            <w:tcW w:w="1840" w:type="dxa"/>
            <w:tcBorders>
              <w:top w:val="nil"/>
              <w:left w:val="nil"/>
              <w:bottom w:val="nil"/>
              <w:right w:val="nil"/>
            </w:tcBorders>
            <w:shd w:val="clear" w:color="auto" w:fill="auto"/>
            <w:noWrap/>
            <w:vAlign w:val="bottom"/>
            <w:hideMark/>
          </w:tcPr>
          <w:p w14:paraId="2B212AAB" w14:textId="77777777" w:rsidR="00BE236A" w:rsidRPr="00BE236A" w:rsidRDefault="00BE236A" w:rsidP="00BE236A">
            <w:pPr>
              <w:rPr>
                <w:rFonts w:ascii="Calibri" w:hAnsi="Calibri" w:cs="Calibri"/>
                <w:b/>
                <w:bCs/>
                <w:color w:val="000000"/>
                <w:szCs w:val="22"/>
                <w:lang w:val="en-CA" w:eastAsia="en-CA"/>
              </w:rPr>
            </w:pPr>
          </w:p>
        </w:tc>
        <w:tc>
          <w:tcPr>
            <w:tcW w:w="420" w:type="dxa"/>
            <w:tcBorders>
              <w:top w:val="nil"/>
              <w:left w:val="nil"/>
              <w:bottom w:val="nil"/>
              <w:right w:val="nil"/>
            </w:tcBorders>
            <w:shd w:val="clear" w:color="auto" w:fill="auto"/>
            <w:noWrap/>
            <w:vAlign w:val="bottom"/>
            <w:hideMark/>
          </w:tcPr>
          <w:p w14:paraId="326EB1EC"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5BAC6F5E" w14:textId="77777777" w:rsidR="00BE236A" w:rsidRPr="00BE236A" w:rsidRDefault="00BE236A" w:rsidP="00BE236A">
            <w:pPr>
              <w:rPr>
                <w:rFonts w:ascii="Times New Roman" w:hAnsi="Times New Roman"/>
                <w:sz w:val="20"/>
                <w:szCs w:val="20"/>
                <w:lang w:val="en-CA" w:eastAsia="en-CA"/>
              </w:rPr>
            </w:pPr>
          </w:p>
        </w:tc>
      </w:tr>
      <w:tr w:rsidR="00BE236A" w:rsidRPr="00BE236A" w14:paraId="5F0BED0A" w14:textId="77777777" w:rsidTr="00BE236A">
        <w:trPr>
          <w:trHeight w:val="290"/>
        </w:trPr>
        <w:tc>
          <w:tcPr>
            <w:tcW w:w="5490" w:type="dxa"/>
            <w:gridSpan w:val="2"/>
            <w:tcBorders>
              <w:top w:val="nil"/>
              <w:left w:val="nil"/>
              <w:bottom w:val="nil"/>
              <w:right w:val="nil"/>
            </w:tcBorders>
            <w:shd w:val="clear" w:color="auto" w:fill="auto"/>
            <w:noWrap/>
            <w:vAlign w:val="bottom"/>
            <w:hideMark/>
          </w:tcPr>
          <w:p w14:paraId="0EFF1C3D"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t>CONDENSED INTERIM STATEMENT OF COMPREHENSIVE LOSS</w:t>
            </w:r>
          </w:p>
        </w:tc>
        <w:tc>
          <w:tcPr>
            <w:tcW w:w="1840" w:type="dxa"/>
            <w:tcBorders>
              <w:top w:val="nil"/>
              <w:left w:val="nil"/>
              <w:bottom w:val="nil"/>
              <w:right w:val="nil"/>
            </w:tcBorders>
            <w:shd w:val="clear" w:color="auto" w:fill="auto"/>
            <w:noWrap/>
            <w:vAlign w:val="bottom"/>
            <w:hideMark/>
          </w:tcPr>
          <w:p w14:paraId="6BEB0116" w14:textId="77777777" w:rsidR="00BE236A" w:rsidRPr="00BE236A" w:rsidRDefault="00BE236A" w:rsidP="00BE236A">
            <w:pPr>
              <w:rPr>
                <w:rFonts w:ascii="Calibri" w:hAnsi="Calibri" w:cs="Calibri"/>
                <w:b/>
                <w:bCs/>
                <w:color w:val="000000"/>
                <w:szCs w:val="22"/>
                <w:lang w:val="en-CA" w:eastAsia="en-CA"/>
              </w:rPr>
            </w:pPr>
          </w:p>
        </w:tc>
        <w:tc>
          <w:tcPr>
            <w:tcW w:w="420" w:type="dxa"/>
            <w:tcBorders>
              <w:top w:val="nil"/>
              <w:left w:val="nil"/>
              <w:bottom w:val="nil"/>
              <w:right w:val="nil"/>
            </w:tcBorders>
            <w:shd w:val="clear" w:color="auto" w:fill="auto"/>
            <w:noWrap/>
            <w:vAlign w:val="bottom"/>
            <w:hideMark/>
          </w:tcPr>
          <w:p w14:paraId="3195A5C9"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5505EAC2" w14:textId="77777777" w:rsidR="00BE236A" w:rsidRPr="00BE236A" w:rsidRDefault="00BE236A" w:rsidP="00BE236A">
            <w:pPr>
              <w:rPr>
                <w:rFonts w:ascii="Times New Roman" w:hAnsi="Times New Roman"/>
                <w:sz w:val="20"/>
                <w:szCs w:val="20"/>
                <w:lang w:val="en-CA" w:eastAsia="en-CA"/>
              </w:rPr>
            </w:pPr>
          </w:p>
        </w:tc>
      </w:tr>
      <w:tr w:rsidR="00BE236A" w:rsidRPr="00BE236A" w14:paraId="5BAEA095" w14:textId="77777777" w:rsidTr="00BE236A">
        <w:trPr>
          <w:trHeight w:val="290"/>
        </w:trPr>
        <w:tc>
          <w:tcPr>
            <w:tcW w:w="5490" w:type="dxa"/>
            <w:gridSpan w:val="2"/>
            <w:tcBorders>
              <w:top w:val="nil"/>
              <w:left w:val="nil"/>
              <w:bottom w:val="nil"/>
              <w:right w:val="nil"/>
            </w:tcBorders>
            <w:shd w:val="clear" w:color="auto" w:fill="auto"/>
            <w:noWrap/>
            <w:vAlign w:val="bottom"/>
            <w:hideMark/>
          </w:tcPr>
          <w:p w14:paraId="67918D4B"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t>(Expressed in Canadian Dollars)</w:t>
            </w:r>
          </w:p>
        </w:tc>
        <w:tc>
          <w:tcPr>
            <w:tcW w:w="1840" w:type="dxa"/>
            <w:tcBorders>
              <w:top w:val="nil"/>
              <w:left w:val="nil"/>
              <w:bottom w:val="nil"/>
              <w:right w:val="nil"/>
            </w:tcBorders>
            <w:shd w:val="clear" w:color="auto" w:fill="auto"/>
            <w:noWrap/>
            <w:vAlign w:val="bottom"/>
            <w:hideMark/>
          </w:tcPr>
          <w:p w14:paraId="55E66F54" w14:textId="77777777" w:rsidR="00BE236A" w:rsidRPr="00BE236A" w:rsidRDefault="00BE236A" w:rsidP="00BE236A">
            <w:pPr>
              <w:rPr>
                <w:rFonts w:ascii="Calibri" w:hAnsi="Calibri" w:cs="Calibri"/>
                <w:b/>
                <w:bCs/>
                <w:color w:val="000000"/>
                <w:szCs w:val="22"/>
                <w:lang w:val="en-CA" w:eastAsia="en-CA"/>
              </w:rPr>
            </w:pPr>
          </w:p>
        </w:tc>
        <w:tc>
          <w:tcPr>
            <w:tcW w:w="420" w:type="dxa"/>
            <w:tcBorders>
              <w:top w:val="nil"/>
              <w:left w:val="nil"/>
              <w:bottom w:val="nil"/>
              <w:right w:val="nil"/>
            </w:tcBorders>
            <w:shd w:val="clear" w:color="auto" w:fill="auto"/>
            <w:noWrap/>
            <w:vAlign w:val="bottom"/>
            <w:hideMark/>
          </w:tcPr>
          <w:p w14:paraId="0449D7BD"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1FE6288E" w14:textId="77777777" w:rsidR="00BE236A" w:rsidRPr="00BE236A" w:rsidRDefault="00BE236A" w:rsidP="00BE236A">
            <w:pPr>
              <w:rPr>
                <w:rFonts w:ascii="Times New Roman" w:hAnsi="Times New Roman"/>
                <w:sz w:val="20"/>
                <w:szCs w:val="20"/>
                <w:lang w:val="en-CA" w:eastAsia="en-CA"/>
              </w:rPr>
            </w:pPr>
          </w:p>
        </w:tc>
      </w:tr>
      <w:tr w:rsidR="00BE236A" w:rsidRPr="00BE236A" w14:paraId="7873C3B1" w14:textId="77777777" w:rsidTr="00BE236A">
        <w:trPr>
          <w:trHeight w:val="290"/>
        </w:trPr>
        <w:tc>
          <w:tcPr>
            <w:tcW w:w="5490" w:type="dxa"/>
            <w:gridSpan w:val="2"/>
            <w:tcBorders>
              <w:top w:val="nil"/>
              <w:left w:val="nil"/>
              <w:bottom w:val="nil"/>
              <w:right w:val="nil"/>
            </w:tcBorders>
            <w:shd w:val="clear" w:color="auto" w:fill="auto"/>
            <w:noWrap/>
            <w:vAlign w:val="bottom"/>
            <w:hideMark/>
          </w:tcPr>
          <w:p w14:paraId="55535B87"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t>(Unaudited)</w:t>
            </w:r>
          </w:p>
        </w:tc>
        <w:tc>
          <w:tcPr>
            <w:tcW w:w="1840" w:type="dxa"/>
            <w:tcBorders>
              <w:top w:val="nil"/>
              <w:left w:val="nil"/>
              <w:bottom w:val="nil"/>
              <w:right w:val="nil"/>
            </w:tcBorders>
            <w:shd w:val="clear" w:color="auto" w:fill="auto"/>
            <w:noWrap/>
            <w:vAlign w:val="bottom"/>
            <w:hideMark/>
          </w:tcPr>
          <w:p w14:paraId="79EB3D5B" w14:textId="77777777" w:rsidR="00BE236A" w:rsidRPr="00BE236A" w:rsidRDefault="00BE236A" w:rsidP="00BE236A">
            <w:pPr>
              <w:rPr>
                <w:rFonts w:ascii="Calibri" w:hAnsi="Calibri" w:cs="Calibri"/>
                <w:b/>
                <w:bCs/>
                <w:color w:val="000000"/>
                <w:szCs w:val="22"/>
                <w:lang w:val="en-CA" w:eastAsia="en-CA"/>
              </w:rPr>
            </w:pPr>
          </w:p>
        </w:tc>
        <w:tc>
          <w:tcPr>
            <w:tcW w:w="420" w:type="dxa"/>
            <w:tcBorders>
              <w:top w:val="nil"/>
              <w:left w:val="nil"/>
              <w:bottom w:val="nil"/>
              <w:right w:val="nil"/>
            </w:tcBorders>
            <w:shd w:val="clear" w:color="auto" w:fill="auto"/>
            <w:noWrap/>
            <w:vAlign w:val="bottom"/>
            <w:hideMark/>
          </w:tcPr>
          <w:p w14:paraId="509DBACD"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4E14364B" w14:textId="77777777" w:rsidR="00BE236A" w:rsidRPr="00BE236A" w:rsidRDefault="00BE236A" w:rsidP="00BE236A">
            <w:pPr>
              <w:rPr>
                <w:rFonts w:ascii="Times New Roman" w:hAnsi="Times New Roman"/>
                <w:sz w:val="20"/>
                <w:szCs w:val="20"/>
                <w:lang w:val="en-CA" w:eastAsia="en-CA"/>
              </w:rPr>
            </w:pPr>
          </w:p>
        </w:tc>
      </w:tr>
      <w:tr w:rsidR="00BE236A" w:rsidRPr="00BE236A" w14:paraId="2D9C0955" w14:textId="77777777" w:rsidTr="00BE236A">
        <w:trPr>
          <w:trHeight w:val="290"/>
        </w:trPr>
        <w:tc>
          <w:tcPr>
            <w:tcW w:w="5490" w:type="dxa"/>
            <w:gridSpan w:val="2"/>
            <w:tcBorders>
              <w:top w:val="nil"/>
              <w:left w:val="nil"/>
              <w:bottom w:val="nil"/>
              <w:right w:val="nil"/>
            </w:tcBorders>
            <w:shd w:val="clear" w:color="auto" w:fill="auto"/>
            <w:noWrap/>
            <w:vAlign w:val="bottom"/>
            <w:hideMark/>
          </w:tcPr>
          <w:p w14:paraId="0C276573" w14:textId="77777777" w:rsidR="00BE236A" w:rsidRPr="00BE236A" w:rsidRDefault="00BE236A" w:rsidP="00BE236A">
            <w:pPr>
              <w:rPr>
                <w:rFonts w:ascii="Calibri" w:hAnsi="Calibri" w:cs="Calibri"/>
                <w:b/>
                <w:bCs/>
                <w:color w:val="000000"/>
                <w:szCs w:val="22"/>
                <w:lang w:val="en-CA" w:eastAsia="en-CA"/>
              </w:rPr>
            </w:pPr>
            <w:r w:rsidRPr="00BE236A">
              <w:rPr>
                <w:rFonts w:ascii="Calibri" w:hAnsi="Calibri" w:cs="Calibri"/>
                <w:b/>
                <w:bCs/>
                <w:color w:val="000000"/>
                <w:szCs w:val="22"/>
                <w:lang w:val="en-CA" w:eastAsia="en-CA"/>
              </w:rPr>
              <w:t>Three and Nine Month Periods Ended May 31, 2019</w:t>
            </w:r>
          </w:p>
        </w:tc>
        <w:tc>
          <w:tcPr>
            <w:tcW w:w="1840" w:type="dxa"/>
            <w:tcBorders>
              <w:top w:val="nil"/>
              <w:left w:val="nil"/>
              <w:bottom w:val="nil"/>
              <w:right w:val="nil"/>
            </w:tcBorders>
            <w:shd w:val="clear" w:color="auto" w:fill="auto"/>
            <w:noWrap/>
            <w:vAlign w:val="bottom"/>
            <w:hideMark/>
          </w:tcPr>
          <w:p w14:paraId="5E6BA1E6" w14:textId="77777777" w:rsidR="00BE236A" w:rsidRPr="00BE236A" w:rsidRDefault="00BE236A" w:rsidP="00BE236A">
            <w:pPr>
              <w:rPr>
                <w:rFonts w:ascii="Calibri" w:hAnsi="Calibri" w:cs="Calibri"/>
                <w:b/>
                <w:bCs/>
                <w:color w:val="000000"/>
                <w:szCs w:val="22"/>
                <w:lang w:val="en-CA" w:eastAsia="en-CA"/>
              </w:rPr>
            </w:pPr>
          </w:p>
        </w:tc>
        <w:tc>
          <w:tcPr>
            <w:tcW w:w="420" w:type="dxa"/>
            <w:tcBorders>
              <w:top w:val="nil"/>
              <w:left w:val="nil"/>
              <w:bottom w:val="nil"/>
              <w:right w:val="nil"/>
            </w:tcBorders>
            <w:shd w:val="clear" w:color="auto" w:fill="auto"/>
            <w:noWrap/>
            <w:vAlign w:val="bottom"/>
            <w:hideMark/>
          </w:tcPr>
          <w:p w14:paraId="622EEC70"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3D317681" w14:textId="77777777" w:rsidR="00BE236A" w:rsidRPr="00BE236A" w:rsidRDefault="00BE236A" w:rsidP="00BE236A">
            <w:pPr>
              <w:rPr>
                <w:rFonts w:ascii="Times New Roman" w:hAnsi="Times New Roman"/>
                <w:sz w:val="20"/>
                <w:szCs w:val="20"/>
                <w:lang w:val="en-CA" w:eastAsia="en-CA"/>
              </w:rPr>
            </w:pPr>
          </w:p>
        </w:tc>
      </w:tr>
      <w:tr w:rsidR="00BE236A" w:rsidRPr="00BE236A" w14:paraId="3F8A08A3" w14:textId="77777777" w:rsidTr="00BE236A">
        <w:trPr>
          <w:trHeight w:val="290"/>
        </w:trPr>
        <w:tc>
          <w:tcPr>
            <w:tcW w:w="222" w:type="dxa"/>
            <w:tcBorders>
              <w:top w:val="nil"/>
              <w:left w:val="nil"/>
              <w:bottom w:val="nil"/>
              <w:right w:val="nil"/>
            </w:tcBorders>
            <w:shd w:val="clear" w:color="auto" w:fill="auto"/>
            <w:noWrap/>
            <w:vAlign w:val="bottom"/>
            <w:hideMark/>
          </w:tcPr>
          <w:p w14:paraId="561ECCE2" w14:textId="77777777" w:rsidR="00BE236A" w:rsidRPr="00BE236A" w:rsidRDefault="00BE236A" w:rsidP="00BE236A">
            <w:pPr>
              <w:rPr>
                <w:rFonts w:ascii="Times New Roman" w:hAnsi="Times New Roman"/>
                <w:sz w:val="20"/>
                <w:szCs w:val="20"/>
                <w:lang w:val="en-CA" w:eastAsia="en-CA"/>
              </w:rPr>
            </w:pPr>
          </w:p>
        </w:tc>
        <w:tc>
          <w:tcPr>
            <w:tcW w:w="5268" w:type="dxa"/>
            <w:tcBorders>
              <w:top w:val="nil"/>
              <w:left w:val="nil"/>
              <w:bottom w:val="nil"/>
              <w:right w:val="nil"/>
            </w:tcBorders>
            <w:shd w:val="clear" w:color="auto" w:fill="auto"/>
            <w:noWrap/>
            <w:vAlign w:val="bottom"/>
            <w:hideMark/>
          </w:tcPr>
          <w:p w14:paraId="76A6CD1E"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nil"/>
              <w:right w:val="nil"/>
            </w:tcBorders>
            <w:shd w:val="clear" w:color="auto" w:fill="auto"/>
            <w:noWrap/>
            <w:vAlign w:val="bottom"/>
            <w:hideMark/>
          </w:tcPr>
          <w:p w14:paraId="781801FD" w14:textId="77777777" w:rsidR="00BE236A" w:rsidRPr="00BE236A" w:rsidRDefault="00BE236A" w:rsidP="00BE236A">
            <w:pPr>
              <w:rPr>
                <w:rFonts w:ascii="Times New Roman" w:hAnsi="Times New Roman"/>
                <w:sz w:val="20"/>
                <w:szCs w:val="20"/>
                <w:lang w:val="en-CA" w:eastAsia="en-CA"/>
              </w:rPr>
            </w:pPr>
          </w:p>
        </w:tc>
        <w:tc>
          <w:tcPr>
            <w:tcW w:w="420" w:type="dxa"/>
            <w:tcBorders>
              <w:top w:val="nil"/>
              <w:left w:val="nil"/>
              <w:bottom w:val="nil"/>
              <w:right w:val="nil"/>
            </w:tcBorders>
            <w:shd w:val="clear" w:color="auto" w:fill="auto"/>
            <w:noWrap/>
            <w:vAlign w:val="bottom"/>
            <w:hideMark/>
          </w:tcPr>
          <w:p w14:paraId="4C113E1F"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4C8904CD" w14:textId="77777777" w:rsidR="00BE236A" w:rsidRPr="00BE236A" w:rsidRDefault="00BE236A" w:rsidP="00BE236A">
            <w:pPr>
              <w:rPr>
                <w:rFonts w:ascii="Times New Roman" w:hAnsi="Times New Roman"/>
                <w:sz w:val="20"/>
                <w:szCs w:val="20"/>
                <w:lang w:val="en-CA" w:eastAsia="en-CA"/>
              </w:rPr>
            </w:pPr>
          </w:p>
        </w:tc>
      </w:tr>
      <w:tr w:rsidR="00BE236A" w:rsidRPr="00BE236A" w14:paraId="7481EAD8" w14:textId="77777777" w:rsidTr="00BE236A">
        <w:trPr>
          <w:trHeight w:val="290"/>
        </w:trPr>
        <w:tc>
          <w:tcPr>
            <w:tcW w:w="222" w:type="dxa"/>
            <w:tcBorders>
              <w:top w:val="nil"/>
              <w:left w:val="nil"/>
              <w:bottom w:val="nil"/>
              <w:right w:val="nil"/>
            </w:tcBorders>
            <w:shd w:val="clear" w:color="auto" w:fill="auto"/>
            <w:noWrap/>
            <w:vAlign w:val="bottom"/>
            <w:hideMark/>
          </w:tcPr>
          <w:p w14:paraId="2D7A18BA" w14:textId="77777777" w:rsidR="00BE236A" w:rsidRPr="00BE236A" w:rsidRDefault="00BE236A" w:rsidP="00BE236A">
            <w:pPr>
              <w:rPr>
                <w:rFonts w:ascii="Times New Roman" w:hAnsi="Times New Roman"/>
                <w:sz w:val="20"/>
                <w:szCs w:val="20"/>
                <w:lang w:val="en-CA" w:eastAsia="en-CA"/>
              </w:rPr>
            </w:pPr>
          </w:p>
        </w:tc>
        <w:tc>
          <w:tcPr>
            <w:tcW w:w="5268" w:type="dxa"/>
            <w:tcBorders>
              <w:top w:val="nil"/>
              <w:left w:val="nil"/>
              <w:bottom w:val="nil"/>
              <w:right w:val="nil"/>
            </w:tcBorders>
            <w:shd w:val="clear" w:color="auto" w:fill="auto"/>
            <w:noWrap/>
            <w:vAlign w:val="bottom"/>
            <w:hideMark/>
          </w:tcPr>
          <w:p w14:paraId="4013644C"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nil"/>
              <w:right w:val="nil"/>
            </w:tcBorders>
            <w:shd w:val="clear" w:color="auto" w:fill="auto"/>
            <w:noWrap/>
            <w:vAlign w:val="bottom"/>
            <w:hideMark/>
          </w:tcPr>
          <w:p w14:paraId="42FB9173" w14:textId="77777777" w:rsidR="00BE236A" w:rsidRPr="00BE236A" w:rsidRDefault="00BE236A" w:rsidP="00BE236A">
            <w:pPr>
              <w:rPr>
                <w:rFonts w:ascii="Times New Roman" w:hAnsi="Times New Roman"/>
                <w:sz w:val="20"/>
                <w:szCs w:val="20"/>
                <w:lang w:val="en-CA" w:eastAsia="en-CA"/>
              </w:rPr>
            </w:pPr>
          </w:p>
        </w:tc>
        <w:tc>
          <w:tcPr>
            <w:tcW w:w="420" w:type="dxa"/>
            <w:tcBorders>
              <w:top w:val="nil"/>
              <w:left w:val="nil"/>
              <w:bottom w:val="nil"/>
              <w:right w:val="nil"/>
            </w:tcBorders>
            <w:shd w:val="clear" w:color="auto" w:fill="auto"/>
            <w:noWrap/>
            <w:vAlign w:val="bottom"/>
            <w:hideMark/>
          </w:tcPr>
          <w:p w14:paraId="4807BA73"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6B88A72A" w14:textId="77777777" w:rsidR="00BE236A" w:rsidRPr="00BE236A" w:rsidRDefault="00BE236A" w:rsidP="00BE236A">
            <w:pPr>
              <w:rPr>
                <w:rFonts w:ascii="Times New Roman" w:hAnsi="Times New Roman"/>
                <w:sz w:val="20"/>
                <w:szCs w:val="20"/>
                <w:lang w:val="en-CA" w:eastAsia="en-CA"/>
              </w:rPr>
            </w:pPr>
          </w:p>
        </w:tc>
      </w:tr>
      <w:tr w:rsidR="00BE236A" w:rsidRPr="00BE236A" w14:paraId="39227933" w14:textId="77777777" w:rsidTr="00BE236A">
        <w:trPr>
          <w:trHeight w:val="290"/>
        </w:trPr>
        <w:tc>
          <w:tcPr>
            <w:tcW w:w="222" w:type="dxa"/>
            <w:tcBorders>
              <w:top w:val="nil"/>
              <w:left w:val="nil"/>
              <w:bottom w:val="nil"/>
              <w:right w:val="nil"/>
            </w:tcBorders>
            <w:shd w:val="clear" w:color="auto" w:fill="auto"/>
            <w:noWrap/>
            <w:vAlign w:val="bottom"/>
            <w:hideMark/>
          </w:tcPr>
          <w:p w14:paraId="371B5296" w14:textId="77777777" w:rsidR="00BE236A" w:rsidRPr="00BE236A" w:rsidRDefault="00BE236A" w:rsidP="00BE236A">
            <w:pPr>
              <w:rPr>
                <w:rFonts w:ascii="Times New Roman" w:hAnsi="Times New Roman"/>
                <w:sz w:val="20"/>
                <w:szCs w:val="20"/>
                <w:lang w:val="en-CA" w:eastAsia="en-CA"/>
              </w:rPr>
            </w:pPr>
          </w:p>
        </w:tc>
        <w:tc>
          <w:tcPr>
            <w:tcW w:w="5268" w:type="dxa"/>
            <w:tcBorders>
              <w:top w:val="nil"/>
              <w:left w:val="nil"/>
              <w:bottom w:val="nil"/>
              <w:right w:val="nil"/>
            </w:tcBorders>
            <w:shd w:val="clear" w:color="auto" w:fill="auto"/>
            <w:noWrap/>
            <w:vAlign w:val="bottom"/>
            <w:hideMark/>
          </w:tcPr>
          <w:p w14:paraId="2E3C108C"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nil"/>
              <w:right w:val="nil"/>
            </w:tcBorders>
            <w:shd w:val="clear" w:color="auto" w:fill="auto"/>
            <w:noWrap/>
            <w:vAlign w:val="bottom"/>
            <w:hideMark/>
          </w:tcPr>
          <w:p w14:paraId="51538C59"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For the</w:t>
            </w:r>
          </w:p>
        </w:tc>
        <w:tc>
          <w:tcPr>
            <w:tcW w:w="420" w:type="dxa"/>
            <w:tcBorders>
              <w:top w:val="nil"/>
              <w:left w:val="nil"/>
              <w:bottom w:val="nil"/>
              <w:right w:val="nil"/>
            </w:tcBorders>
            <w:shd w:val="clear" w:color="auto" w:fill="auto"/>
            <w:noWrap/>
            <w:vAlign w:val="bottom"/>
            <w:hideMark/>
          </w:tcPr>
          <w:p w14:paraId="0D3C02BC" w14:textId="77777777" w:rsidR="00BE236A" w:rsidRPr="00BE236A" w:rsidRDefault="00BE236A" w:rsidP="00BE236A">
            <w:pPr>
              <w:jc w:val="center"/>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524195F3"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For the</w:t>
            </w:r>
          </w:p>
        </w:tc>
      </w:tr>
      <w:tr w:rsidR="00BE236A" w:rsidRPr="00BE236A" w14:paraId="7FF2C1C5" w14:textId="77777777" w:rsidTr="00BE236A">
        <w:trPr>
          <w:trHeight w:val="290"/>
        </w:trPr>
        <w:tc>
          <w:tcPr>
            <w:tcW w:w="222" w:type="dxa"/>
            <w:tcBorders>
              <w:top w:val="nil"/>
              <w:left w:val="nil"/>
              <w:bottom w:val="nil"/>
              <w:right w:val="nil"/>
            </w:tcBorders>
            <w:shd w:val="clear" w:color="auto" w:fill="auto"/>
            <w:noWrap/>
            <w:vAlign w:val="bottom"/>
            <w:hideMark/>
          </w:tcPr>
          <w:p w14:paraId="7A905EE8" w14:textId="77777777" w:rsidR="00BE236A" w:rsidRPr="00BE236A" w:rsidRDefault="00BE236A" w:rsidP="00BE236A">
            <w:pPr>
              <w:jc w:val="center"/>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0F95F221"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nil"/>
              <w:right w:val="nil"/>
            </w:tcBorders>
            <w:shd w:val="clear" w:color="auto" w:fill="auto"/>
            <w:noWrap/>
            <w:vAlign w:val="bottom"/>
            <w:hideMark/>
          </w:tcPr>
          <w:p w14:paraId="06769B9B"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3 Months Ended</w:t>
            </w:r>
          </w:p>
        </w:tc>
        <w:tc>
          <w:tcPr>
            <w:tcW w:w="420" w:type="dxa"/>
            <w:tcBorders>
              <w:top w:val="nil"/>
              <w:left w:val="nil"/>
              <w:bottom w:val="nil"/>
              <w:right w:val="nil"/>
            </w:tcBorders>
            <w:shd w:val="clear" w:color="auto" w:fill="auto"/>
            <w:noWrap/>
            <w:vAlign w:val="bottom"/>
            <w:hideMark/>
          </w:tcPr>
          <w:p w14:paraId="0F3C44F4" w14:textId="77777777" w:rsidR="00BE236A" w:rsidRPr="00BE236A" w:rsidRDefault="00BE236A" w:rsidP="00BE236A">
            <w:pPr>
              <w:jc w:val="center"/>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162E0E99"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9 Months Ended</w:t>
            </w:r>
          </w:p>
        </w:tc>
      </w:tr>
      <w:tr w:rsidR="00BE236A" w:rsidRPr="00BE236A" w14:paraId="3546462B" w14:textId="77777777" w:rsidTr="00BE236A">
        <w:trPr>
          <w:trHeight w:val="290"/>
        </w:trPr>
        <w:tc>
          <w:tcPr>
            <w:tcW w:w="222" w:type="dxa"/>
            <w:tcBorders>
              <w:top w:val="nil"/>
              <w:left w:val="nil"/>
              <w:bottom w:val="nil"/>
              <w:right w:val="nil"/>
            </w:tcBorders>
            <w:shd w:val="clear" w:color="auto" w:fill="auto"/>
            <w:noWrap/>
            <w:vAlign w:val="bottom"/>
            <w:hideMark/>
          </w:tcPr>
          <w:p w14:paraId="1F0099A1" w14:textId="77777777" w:rsidR="00BE236A" w:rsidRPr="00BE236A" w:rsidRDefault="00BE236A" w:rsidP="00BE236A">
            <w:pPr>
              <w:jc w:val="center"/>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75128117"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nil"/>
              <w:right w:val="nil"/>
            </w:tcBorders>
            <w:shd w:val="clear" w:color="auto" w:fill="auto"/>
            <w:noWrap/>
            <w:vAlign w:val="bottom"/>
            <w:hideMark/>
          </w:tcPr>
          <w:p w14:paraId="61EF33C2"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May 31, 2019</w:t>
            </w:r>
          </w:p>
        </w:tc>
        <w:tc>
          <w:tcPr>
            <w:tcW w:w="420" w:type="dxa"/>
            <w:tcBorders>
              <w:top w:val="nil"/>
              <w:left w:val="nil"/>
              <w:bottom w:val="nil"/>
              <w:right w:val="nil"/>
            </w:tcBorders>
            <w:shd w:val="clear" w:color="auto" w:fill="auto"/>
            <w:noWrap/>
            <w:vAlign w:val="bottom"/>
            <w:hideMark/>
          </w:tcPr>
          <w:p w14:paraId="30A1829A" w14:textId="77777777" w:rsidR="00BE236A" w:rsidRPr="00BE236A" w:rsidRDefault="00BE236A" w:rsidP="00BE236A">
            <w:pPr>
              <w:jc w:val="center"/>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3F1C21B7"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May 31, 2019</w:t>
            </w:r>
          </w:p>
        </w:tc>
      </w:tr>
      <w:tr w:rsidR="00BE236A" w:rsidRPr="00BE236A" w14:paraId="0D10C120" w14:textId="77777777" w:rsidTr="00BE236A">
        <w:trPr>
          <w:trHeight w:val="290"/>
        </w:trPr>
        <w:tc>
          <w:tcPr>
            <w:tcW w:w="222" w:type="dxa"/>
            <w:tcBorders>
              <w:top w:val="nil"/>
              <w:left w:val="nil"/>
              <w:bottom w:val="nil"/>
              <w:right w:val="nil"/>
            </w:tcBorders>
            <w:shd w:val="clear" w:color="auto" w:fill="auto"/>
            <w:noWrap/>
            <w:vAlign w:val="bottom"/>
            <w:hideMark/>
          </w:tcPr>
          <w:p w14:paraId="63FEAD8B" w14:textId="77777777" w:rsidR="00BE236A" w:rsidRPr="00BE236A" w:rsidRDefault="00BE236A" w:rsidP="00BE236A">
            <w:pPr>
              <w:jc w:val="center"/>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3C54AA1A"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single" w:sz="4" w:space="0" w:color="auto"/>
              <w:right w:val="nil"/>
            </w:tcBorders>
            <w:shd w:val="clear" w:color="auto" w:fill="auto"/>
            <w:noWrap/>
            <w:vAlign w:val="bottom"/>
            <w:hideMark/>
          </w:tcPr>
          <w:p w14:paraId="170E83E9"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w:t>
            </w:r>
          </w:p>
        </w:tc>
        <w:tc>
          <w:tcPr>
            <w:tcW w:w="420" w:type="dxa"/>
            <w:tcBorders>
              <w:top w:val="nil"/>
              <w:left w:val="nil"/>
              <w:bottom w:val="nil"/>
              <w:right w:val="nil"/>
            </w:tcBorders>
            <w:shd w:val="clear" w:color="auto" w:fill="auto"/>
            <w:noWrap/>
            <w:vAlign w:val="bottom"/>
            <w:hideMark/>
          </w:tcPr>
          <w:p w14:paraId="22E73AAB" w14:textId="77777777" w:rsidR="00BE236A" w:rsidRPr="00BE236A" w:rsidRDefault="00BE236A" w:rsidP="00BE236A">
            <w:pPr>
              <w:jc w:val="center"/>
              <w:rPr>
                <w:rFonts w:ascii="Calibri" w:hAnsi="Calibri" w:cs="Calibri"/>
                <w:color w:val="000000"/>
                <w:szCs w:val="22"/>
                <w:lang w:val="en-CA" w:eastAsia="en-CA"/>
              </w:rPr>
            </w:pPr>
          </w:p>
        </w:tc>
        <w:tc>
          <w:tcPr>
            <w:tcW w:w="1700" w:type="dxa"/>
            <w:tcBorders>
              <w:top w:val="nil"/>
              <w:left w:val="nil"/>
              <w:bottom w:val="single" w:sz="4" w:space="0" w:color="auto"/>
              <w:right w:val="nil"/>
            </w:tcBorders>
            <w:shd w:val="clear" w:color="auto" w:fill="auto"/>
            <w:noWrap/>
            <w:vAlign w:val="bottom"/>
            <w:hideMark/>
          </w:tcPr>
          <w:p w14:paraId="1BC26E5E" w14:textId="77777777" w:rsidR="00BE236A" w:rsidRPr="00BE236A" w:rsidRDefault="00BE236A" w:rsidP="00BE236A">
            <w:pPr>
              <w:jc w:val="center"/>
              <w:rPr>
                <w:rFonts w:ascii="Calibri" w:hAnsi="Calibri" w:cs="Calibri"/>
                <w:color w:val="000000"/>
                <w:szCs w:val="22"/>
                <w:lang w:val="en-CA" w:eastAsia="en-CA"/>
              </w:rPr>
            </w:pPr>
            <w:r w:rsidRPr="00BE236A">
              <w:rPr>
                <w:rFonts w:ascii="Calibri" w:hAnsi="Calibri" w:cs="Calibri"/>
                <w:color w:val="000000"/>
                <w:szCs w:val="22"/>
                <w:lang w:val="en-CA" w:eastAsia="en-CA"/>
              </w:rPr>
              <w:t>$</w:t>
            </w:r>
          </w:p>
        </w:tc>
      </w:tr>
      <w:tr w:rsidR="00BE236A" w:rsidRPr="00BE236A" w14:paraId="39E6C1F6" w14:textId="77777777" w:rsidTr="00BE236A">
        <w:trPr>
          <w:trHeight w:val="290"/>
        </w:trPr>
        <w:tc>
          <w:tcPr>
            <w:tcW w:w="222" w:type="dxa"/>
            <w:tcBorders>
              <w:top w:val="nil"/>
              <w:left w:val="nil"/>
              <w:bottom w:val="nil"/>
              <w:right w:val="nil"/>
            </w:tcBorders>
            <w:shd w:val="clear" w:color="auto" w:fill="auto"/>
            <w:noWrap/>
            <w:vAlign w:val="bottom"/>
            <w:hideMark/>
          </w:tcPr>
          <w:p w14:paraId="56CDAC36" w14:textId="77777777" w:rsidR="00BE236A" w:rsidRPr="00BE236A" w:rsidRDefault="00BE236A" w:rsidP="00BE236A">
            <w:pPr>
              <w:jc w:val="center"/>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2B546750"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nil"/>
              <w:right w:val="nil"/>
            </w:tcBorders>
            <w:shd w:val="clear" w:color="auto" w:fill="auto"/>
            <w:noWrap/>
            <w:vAlign w:val="bottom"/>
            <w:hideMark/>
          </w:tcPr>
          <w:p w14:paraId="600C3DC7" w14:textId="77777777" w:rsidR="00BE236A" w:rsidRPr="00BE236A" w:rsidRDefault="00BE236A" w:rsidP="00BE236A">
            <w:pPr>
              <w:rPr>
                <w:rFonts w:ascii="Times New Roman" w:hAnsi="Times New Roman"/>
                <w:sz w:val="20"/>
                <w:szCs w:val="20"/>
                <w:lang w:val="en-CA" w:eastAsia="en-CA"/>
              </w:rPr>
            </w:pPr>
          </w:p>
        </w:tc>
        <w:tc>
          <w:tcPr>
            <w:tcW w:w="420" w:type="dxa"/>
            <w:tcBorders>
              <w:top w:val="nil"/>
              <w:left w:val="nil"/>
              <w:bottom w:val="nil"/>
              <w:right w:val="nil"/>
            </w:tcBorders>
            <w:shd w:val="clear" w:color="auto" w:fill="auto"/>
            <w:noWrap/>
            <w:vAlign w:val="bottom"/>
            <w:hideMark/>
          </w:tcPr>
          <w:p w14:paraId="50AAF3B4"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49541642" w14:textId="77777777" w:rsidR="00BE236A" w:rsidRPr="00BE236A" w:rsidRDefault="00BE236A" w:rsidP="00BE236A">
            <w:pPr>
              <w:rPr>
                <w:rFonts w:ascii="Times New Roman" w:hAnsi="Times New Roman"/>
                <w:sz w:val="20"/>
                <w:szCs w:val="20"/>
                <w:lang w:val="en-CA" w:eastAsia="en-CA"/>
              </w:rPr>
            </w:pPr>
          </w:p>
        </w:tc>
      </w:tr>
      <w:tr w:rsidR="00BE236A" w:rsidRPr="00BE236A" w14:paraId="53B4BFD2" w14:textId="77777777" w:rsidTr="00BE236A">
        <w:trPr>
          <w:trHeight w:val="290"/>
        </w:trPr>
        <w:tc>
          <w:tcPr>
            <w:tcW w:w="5490" w:type="dxa"/>
            <w:gridSpan w:val="2"/>
            <w:tcBorders>
              <w:top w:val="nil"/>
              <w:left w:val="nil"/>
              <w:bottom w:val="nil"/>
              <w:right w:val="nil"/>
            </w:tcBorders>
            <w:shd w:val="clear" w:color="auto" w:fill="auto"/>
            <w:noWrap/>
            <w:vAlign w:val="bottom"/>
            <w:hideMark/>
          </w:tcPr>
          <w:p w14:paraId="64ABC7FE"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Expenses</w:t>
            </w:r>
          </w:p>
        </w:tc>
        <w:tc>
          <w:tcPr>
            <w:tcW w:w="1840" w:type="dxa"/>
            <w:tcBorders>
              <w:top w:val="nil"/>
              <w:left w:val="nil"/>
              <w:bottom w:val="nil"/>
              <w:right w:val="nil"/>
            </w:tcBorders>
            <w:shd w:val="clear" w:color="auto" w:fill="auto"/>
            <w:noWrap/>
            <w:vAlign w:val="bottom"/>
            <w:hideMark/>
          </w:tcPr>
          <w:p w14:paraId="2D243C02" w14:textId="77777777" w:rsidR="00BE236A" w:rsidRPr="00BE236A" w:rsidRDefault="00BE236A" w:rsidP="00BE236A">
            <w:pPr>
              <w:rPr>
                <w:rFonts w:ascii="Calibri" w:hAnsi="Calibri" w:cs="Calibri"/>
                <w:color w:val="000000"/>
                <w:szCs w:val="22"/>
                <w:lang w:val="en-CA" w:eastAsia="en-CA"/>
              </w:rPr>
            </w:pPr>
          </w:p>
        </w:tc>
        <w:tc>
          <w:tcPr>
            <w:tcW w:w="420" w:type="dxa"/>
            <w:tcBorders>
              <w:top w:val="nil"/>
              <w:left w:val="nil"/>
              <w:bottom w:val="nil"/>
              <w:right w:val="nil"/>
            </w:tcBorders>
            <w:shd w:val="clear" w:color="auto" w:fill="auto"/>
            <w:noWrap/>
            <w:vAlign w:val="bottom"/>
            <w:hideMark/>
          </w:tcPr>
          <w:p w14:paraId="621EDF4F"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5569B795" w14:textId="77777777" w:rsidR="00BE236A" w:rsidRPr="00BE236A" w:rsidRDefault="00BE236A" w:rsidP="00BE236A">
            <w:pPr>
              <w:rPr>
                <w:rFonts w:ascii="Times New Roman" w:hAnsi="Times New Roman"/>
                <w:sz w:val="20"/>
                <w:szCs w:val="20"/>
                <w:lang w:val="en-CA" w:eastAsia="en-CA"/>
              </w:rPr>
            </w:pPr>
          </w:p>
        </w:tc>
      </w:tr>
      <w:tr w:rsidR="00BE236A" w:rsidRPr="00BE236A" w14:paraId="2E51F793" w14:textId="77777777" w:rsidTr="00BE236A">
        <w:trPr>
          <w:trHeight w:val="290"/>
        </w:trPr>
        <w:tc>
          <w:tcPr>
            <w:tcW w:w="222" w:type="dxa"/>
            <w:tcBorders>
              <w:top w:val="nil"/>
              <w:left w:val="nil"/>
              <w:bottom w:val="nil"/>
              <w:right w:val="nil"/>
            </w:tcBorders>
            <w:shd w:val="clear" w:color="auto" w:fill="auto"/>
            <w:noWrap/>
            <w:vAlign w:val="bottom"/>
            <w:hideMark/>
          </w:tcPr>
          <w:p w14:paraId="582FBC52" w14:textId="77777777" w:rsidR="00BE236A" w:rsidRPr="00BE236A" w:rsidRDefault="00BE236A" w:rsidP="00BE236A">
            <w:pPr>
              <w:rPr>
                <w:rFonts w:ascii="Times New Roman" w:hAnsi="Times New Roman"/>
                <w:sz w:val="20"/>
                <w:szCs w:val="20"/>
                <w:lang w:val="en-CA" w:eastAsia="en-CA"/>
              </w:rPr>
            </w:pPr>
          </w:p>
        </w:tc>
        <w:tc>
          <w:tcPr>
            <w:tcW w:w="5268" w:type="dxa"/>
            <w:tcBorders>
              <w:top w:val="nil"/>
              <w:left w:val="nil"/>
              <w:bottom w:val="nil"/>
              <w:right w:val="nil"/>
            </w:tcBorders>
            <w:shd w:val="clear" w:color="auto" w:fill="auto"/>
            <w:noWrap/>
            <w:vAlign w:val="bottom"/>
            <w:hideMark/>
          </w:tcPr>
          <w:p w14:paraId="3A58783F"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Consulting</w:t>
            </w:r>
          </w:p>
        </w:tc>
        <w:tc>
          <w:tcPr>
            <w:tcW w:w="1840" w:type="dxa"/>
            <w:tcBorders>
              <w:top w:val="nil"/>
              <w:left w:val="nil"/>
              <w:bottom w:val="nil"/>
              <w:right w:val="nil"/>
            </w:tcBorders>
            <w:shd w:val="clear" w:color="auto" w:fill="auto"/>
            <w:noWrap/>
            <w:vAlign w:val="bottom"/>
            <w:hideMark/>
          </w:tcPr>
          <w:p w14:paraId="6F09D649"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10,060 </w:t>
            </w:r>
          </w:p>
        </w:tc>
        <w:tc>
          <w:tcPr>
            <w:tcW w:w="420" w:type="dxa"/>
            <w:tcBorders>
              <w:top w:val="nil"/>
              <w:left w:val="nil"/>
              <w:bottom w:val="nil"/>
              <w:right w:val="nil"/>
            </w:tcBorders>
            <w:shd w:val="clear" w:color="auto" w:fill="auto"/>
            <w:noWrap/>
            <w:vAlign w:val="bottom"/>
            <w:hideMark/>
          </w:tcPr>
          <w:p w14:paraId="676EA0B5"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1A183911"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17,160 </w:t>
            </w:r>
          </w:p>
        </w:tc>
      </w:tr>
      <w:tr w:rsidR="00BE236A" w:rsidRPr="00BE236A" w14:paraId="3787E2A7" w14:textId="77777777" w:rsidTr="00BE236A">
        <w:trPr>
          <w:trHeight w:val="290"/>
        </w:trPr>
        <w:tc>
          <w:tcPr>
            <w:tcW w:w="222" w:type="dxa"/>
            <w:tcBorders>
              <w:top w:val="nil"/>
              <w:left w:val="nil"/>
              <w:bottom w:val="nil"/>
              <w:right w:val="nil"/>
            </w:tcBorders>
            <w:shd w:val="clear" w:color="auto" w:fill="auto"/>
            <w:noWrap/>
            <w:vAlign w:val="bottom"/>
            <w:hideMark/>
          </w:tcPr>
          <w:p w14:paraId="1993974C"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4E2010BB"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Rent</w:t>
            </w:r>
          </w:p>
        </w:tc>
        <w:tc>
          <w:tcPr>
            <w:tcW w:w="1840" w:type="dxa"/>
            <w:tcBorders>
              <w:top w:val="nil"/>
              <w:left w:val="nil"/>
              <w:bottom w:val="nil"/>
              <w:right w:val="nil"/>
            </w:tcBorders>
            <w:shd w:val="clear" w:color="auto" w:fill="auto"/>
            <w:noWrap/>
            <w:vAlign w:val="bottom"/>
            <w:hideMark/>
          </w:tcPr>
          <w:p w14:paraId="3F2EB2C5"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1,500 </w:t>
            </w:r>
          </w:p>
        </w:tc>
        <w:tc>
          <w:tcPr>
            <w:tcW w:w="420" w:type="dxa"/>
            <w:tcBorders>
              <w:top w:val="nil"/>
              <w:left w:val="nil"/>
              <w:bottom w:val="nil"/>
              <w:right w:val="nil"/>
            </w:tcBorders>
            <w:shd w:val="clear" w:color="auto" w:fill="auto"/>
            <w:noWrap/>
            <w:vAlign w:val="bottom"/>
            <w:hideMark/>
          </w:tcPr>
          <w:p w14:paraId="7D8D0B6D"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26FC48F7"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4,500 </w:t>
            </w:r>
          </w:p>
        </w:tc>
      </w:tr>
      <w:tr w:rsidR="00BE236A" w:rsidRPr="00BE236A" w14:paraId="5102BBBA" w14:textId="77777777" w:rsidTr="00BE236A">
        <w:trPr>
          <w:trHeight w:val="290"/>
        </w:trPr>
        <w:tc>
          <w:tcPr>
            <w:tcW w:w="222" w:type="dxa"/>
            <w:tcBorders>
              <w:top w:val="nil"/>
              <w:left w:val="nil"/>
              <w:bottom w:val="nil"/>
              <w:right w:val="nil"/>
            </w:tcBorders>
            <w:shd w:val="clear" w:color="auto" w:fill="auto"/>
            <w:noWrap/>
            <w:vAlign w:val="bottom"/>
            <w:hideMark/>
          </w:tcPr>
          <w:p w14:paraId="730EFFF9"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217EF576"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Shareholder promotion</w:t>
            </w:r>
          </w:p>
        </w:tc>
        <w:tc>
          <w:tcPr>
            <w:tcW w:w="1840" w:type="dxa"/>
            <w:tcBorders>
              <w:top w:val="nil"/>
              <w:left w:val="nil"/>
              <w:bottom w:val="nil"/>
              <w:right w:val="nil"/>
            </w:tcBorders>
            <w:shd w:val="clear" w:color="auto" w:fill="auto"/>
            <w:noWrap/>
            <w:vAlign w:val="bottom"/>
            <w:hideMark/>
          </w:tcPr>
          <w:p w14:paraId="1E9B690A"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0 </w:t>
            </w:r>
          </w:p>
        </w:tc>
        <w:tc>
          <w:tcPr>
            <w:tcW w:w="420" w:type="dxa"/>
            <w:tcBorders>
              <w:top w:val="nil"/>
              <w:left w:val="nil"/>
              <w:bottom w:val="nil"/>
              <w:right w:val="nil"/>
            </w:tcBorders>
            <w:shd w:val="clear" w:color="auto" w:fill="auto"/>
            <w:noWrap/>
            <w:vAlign w:val="bottom"/>
            <w:hideMark/>
          </w:tcPr>
          <w:p w14:paraId="4B196ED0"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29BCF4A9"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291 </w:t>
            </w:r>
          </w:p>
        </w:tc>
      </w:tr>
      <w:tr w:rsidR="00BE236A" w:rsidRPr="00BE236A" w14:paraId="6D9B6B2E" w14:textId="77777777" w:rsidTr="00BE236A">
        <w:trPr>
          <w:trHeight w:val="290"/>
        </w:trPr>
        <w:tc>
          <w:tcPr>
            <w:tcW w:w="222" w:type="dxa"/>
            <w:tcBorders>
              <w:top w:val="nil"/>
              <w:left w:val="nil"/>
              <w:bottom w:val="nil"/>
              <w:right w:val="nil"/>
            </w:tcBorders>
            <w:shd w:val="clear" w:color="auto" w:fill="auto"/>
            <w:noWrap/>
            <w:vAlign w:val="bottom"/>
            <w:hideMark/>
          </w:tcPr>
          <w:p w14:paraId="70E8C195"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2C576A5D"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Transfer agent</w:t>
            </w:r>
          </w:p>
        </w:tc>
        <w:tc>
          <w:tcPr>
            <w:tcW w:w="1840" w:type="dxa"/>
            <w:tcBorders>
              <w:top w:val="nil"/>
              <w:left w:val="nil"/>
              <w:bottom w:val="nil"/>
              <w:right w:val="nil"/>
            </w:tcBorders>
            <w:shd w:val="clear" w:color="auto" w:fill="auto"/>
            <w:noWrap/>
            <w:vAlign w:val="bottom"/>
            <w:hideMark/>
          </w:tcPr>
          <w:p w14:paraId="309847BB"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1,125 </w:t>
            </w:r>
          </w:p>
        </w:tc>
        <w:tc>
          <w:tcPr>
            <w:tcW w:w="420" w:type="dxa"/>
            <w:tcBorders>
              <w:top w:val="nil"/>
              <w:left w:val="nil"/>
              <w:bottom w:val="nil"/>
              <w:right w:val="nil"/>
            </w:tcBorders>
            <w:shd w:val="clear" w:color="auto" w:fill="auto"/>
            <w:noWrap/>
            <w:vAlign w:val="bottom"/>
            <w:hideMark/>
          </w:tcPr>
          <w:p w14:paraId="5D049185"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134F8B30"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1,256 </w:t>
            </w:r>
          </w:p>
        </w:tc>
      </w:tr>
      <w:tr w:rsidR="00BE236A" w:rsidRPr="00BE236A" w14:paraId="2E8FA078" w14:textId="77777777" w:rsidTr="00BE236A">
        <w:trPr>
          <w:trHeight w:val="290"/>
        </w:trPr>
        <w:tc>
          <w:tcPr>
            <w:tcW w:w="222" w:type="dxa"/>
            <w:tcBorders>
              <w:top w:val="nil"/>
              <w:left w:val="nil"/>
              <w:bottom w:val="nil"/>
              <w:right w:val="nil"/>
            </w:tcBorders>
            <w:shd w:val="clear" w:color="auto" w:fill="auto"/>
            <w:noWrap/>
            <w:vAlign w:val="bottom"/>
            <w:hideMark/>
          </w:tcPr>
          <w:p w14:paraId="7E6BAD22"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03DDE113"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Accounting and legal</w:t>
            </w:r>
          </w:p>
        </w:tc>
        <w:tc>
          <w:tcPr>
            <w:tcW w:w="1840" w:type="dxa"/>
            <w:tcBorders>
              <w:top w:val="nil"/>
              <w:left w:val="nil"/>
              <w:bottom w:val="nil"/>
              <w:right w:val="nil"/>
            </w:tcBorders>
            <w:shd w:val="clear" w:color="auto" w:fill="auto"/>
            <w:noWrap/>
            <w:vAlign w:val="bottom"/>
            <w:hideMark/>
          </w:tcPr>
          <w:p w14:paraId="721042C8"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10,500 </w:t>
            </w:r>
          </w:p>
        </w:tc>
        <w:tc>
          <w:tcPr>
            <w:tcW w:w="420" w:type="dxa"/>
            <w:tcBorders>
              <w:top w:val="nil"/>
              <w:left w:val="nil"/>
              <w:bottom w:val="nil"/>
              <w:right w:val="nil"/>
            </w:tcBorders>
            <w:shd w:val="clear" w:color="auto" w:fill="auto"/>
            <w:noWrap/>
            <w:vAlign w:val="bottom"/>
            <w:hideMark/>
          </w:tcPr>
          <w:p w14:paraId="74DEEB4A"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26F560CF"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35,613 </w:t>
            </w:r>
          </w:p>
        </w:tc>
      </w:tr>
      <w:tr w:rsidR="00BE236A" w:rsidRPr="00BE236A" w14:paraId="12349135" w14:textId="77777777" w:rsidTr="00BE236A">
        <w:trPr>
          <w:trHeight w:val="290"/>
        </w:trPr>
        <w:tc>
          <w:tcPr>
            <w:tcW w:w="222" w:type="dxa"/>
            <w:tcBorders>
              <w:top w:val="nil"/>
              <w:left w:val="nil"/>
              <w:bottom w:val="nil"/>
              <w:right w:val="nil"/>
            </w:tcBorders>
            <w:shd w:val="clear" w:color="auto" w:fill="auto"/>
            <w:noWrap/>
            <w:vAlign w:val="bottom"/>
            <w:hideMark/>
          </w:tcPr>
          <w:p w14:paraId="570BE912"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7EF92A55"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Public company costs</w:t>
            </w:r>
          </w:p>
        </w:tc>
        <w:tc>
          <w:tcPr>
            <w:tcW w:w="1840" w:type="dxa"/>
            <w:tcBorders>
              <w:top w:val="nil"/>
              <w:left w:val="nil"/>
              <w:bottom w:val="nil"/>
              <w:right w:val="nil"/>
            </w:tcBorders>
            <w:shd w:val="clear" w:color="auto" w:fill="auto"/>
            <w:noWrap/>
            <w:vAlign w:val="bottom"/>
            <w:hideMark/>
          </w:tcPr>
          <w:p w14:paraId="37D9F411"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0 </w:t>
            </w:r>
          </w:p>
        </w:tc>
        <w:tc>
          <w:tcPr>
            <w:tcW w:w="420" w:type="dxa"/>
            <w:tcBorders>
              <w:top w:val="nil"/>
              <w:left w:val="nil"/>
              <w:bottom w:val="nil"/>
              <w:right w:val="nil"/>
            </w:tcBorders>
            <w:shd w:val="clear" w:color="auto" w:fill="auto"/>
            <w:noWrap/>
            <w:vAlign w:val="bottom"/>
            <w:hideMark/>
          </w:tcPr>
          <w:p w14:paraId="3F750D50"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088C8770"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12,999 </w:t>
            </w:r>
          </w:p>
        </w:tc>
      </w:tr>
      <w:tr w:rsidR="00BE236A" w:rsidRPr="00BE236A" w14:paraId="3E74F00C" w14:textId="77777777" w:rsidTr="00BE236A">
        <w:trPr>
          <w:trHeight w:val="290"/>
        </w:trPr>
        <w:tc>
          <w:tcPr>
            <w:tcW w:w="222" w:type="dxa"/>
            <w:tcBorders>
              <w:top w:val="nil"/>
              <w:left w:val="nil"/>
              <w:bottom w:val="nil"/>
              <w:right w:val="nil"/>
            </w:tcBorders>
            <w:shd w:val="clear" w:color="auto" w:fill="auto"/>
            <w:noWrap/>
            <w:vAlign w:val="bottom"/>
            <w:hideMark/>
          </w:tcPr>
          <w:p w14:paraId="05B3569B"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4C0E1C33"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Printing</w:t>
            </w:r>
          </w:p>
        </w:tc>
        <w:tc>
          <w:tcPr>
            <w:tcW w:w="1840" w:type="dxa"/>
            <w:tcBorders>
              <w:top w:val="nil"/>
              <w:left w:val="nil"/>
              <w:bottom w:val="nil"/>
              <w:right w:val="nil"/>
            </w:tcBorders>
            <w:shd w:val="clear" w:color="auto" w:fill="auto"/>
            <w:noWrap/>
            <w:vAlign w:val="bottom"/>
            <w:hideMark/>
          </w:tcPr>
          <w:p w14:paraId="545CAA97"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936 </w:t>
            </w:r>
          </w:p>
        </w:tc>
        <w:tc>
          <w:tcPr>
            <w:tcW w:w="420" w:type="dxa"/>
            <w:tcBorders>
              <w:top w:val="nil"/>
              <w:left w:val="nil"/>
              <w:bottom w:val="nil"/>
              <w:right w:val="nil"/>
            </w:tcBorders>
            <w:shd w:val="clear" w:color="auto" w:fill="auto"/>
            <w:noWrap/>
            <w:vAlign w:val="bottom"/>
            <w:hideMark/>
          </w:tcPr>
          <w:p w14:paraId="02094970"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3952F45A"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936 </w:t>
            </w:r>
          </w:p>
        </w:tc>
      </w:tr>
      <w:tr w:rsidR="00BE236A" w:rsidRPr="00BE236A" w14:paraId="2944F65B" w14:textId="77777777" w:rsidTr="00BE236A">
        <w:trPr>
          <w:trHeight w:val="290"/>
        </w:trPr>
        <w:tc>
          <w:tcPr>
            <w:tcW w:w="222" w:type="dxa"/>
            <w:tcBorders>
              <w:top w:val="nil"/>
              <w:left w:val="nil"/>
              <w:bottom w:val="nil"/>
              <w:right w:val="nil"/>
            </w:tcBorders>
            <w:shd w:val="clear" w:color="auto" w:fill="auto"/>
            <w:noWrap/>
            <w:vAlign w:val="bottom"/>
            <w:hideMark/>
          </w:tcPr>
          <w:p w14:paraId="2729D48D"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0ACBF70C" w14:textId="77777777" w:rsidR="00BE236A" w:rsidRPr="00BE236A" w:rsidRDefault="00BE236A" w:rsidP="00BE236A">
            <w:pPr>
              <w:rPr>
                <w:rFonts w:ascii="Calibri" w:hAnsi="Calibri" w:cs="Calibri"/>
                <w:color w:val="000000"/>
                <w:szCs w:val="22"/>
                <w:lang w:val="en-CA" w:eastAsia="en-CA"/>
              </w:rPr>
            </w:pPr>
            <w:proofErr w:type="spellStart"/>
            <w:r w:rsidRPr="00BE236A">
              <w:rPr>
                <w:rFonts w:ascii="Calibri" w:hAnsi="Calibri" w:cs="Calibri"/>
                <w:color w:val="000000"/>
                <w:szCs w:val="22"/>
                <w:lang w:val="en-CA" w:eastAsia="en-CA"/>
              </w:rPr>
              <w:t>Sedar</w:t>
            </w:r>
            <w:proofErr w:type="spellEnd"/>
            <w:r w:rsidRPr="00BE236A">
              <w:rPr>
                <w:rFonts w:ascii="Calibri" w:hAnsi="Calibri" w:cs="Calibri"/>
                <w:color w:val="000000"/>
                <w:szCs w:val="22"/>
                <w:lang w:val="en-CA" w:eastAsia="en-CA"/>
              </w:rPr>
              <w:t xml:space="preserve"> filing fees</w:t>
            </w:r>
          </w:p>
        </w:tc>
        <w:tc>
          <w:tcPr>
            <w:tcW w:w="1840" w:type="dxa"/>
            <w:tcBorders>
              <w:top w:val="nil"/>
              <w:left w:val="nil"/>
              <w:bottom w:val="nil"/>
              <w:right w:val="nil"/>
            </w:tcBorders>
            <w:shd w:val="clear" w:color="auto" w:fill="auto"/>
            <w:noWrap/>
            <w:vAlign w:val="bottom"/>
            <w:hideMark/>
          </w:tcPr>
          <w:p w14:paraId="4DD14852"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71 </w:t>
            </w:r>
          </w:p>
        </w:tc>
        <w:tc>
          <w:tcPr>
            <w:tcW w:w="420" w:type="dxa"/>
            <w:tcBorders>
              <w:top w:val="nil"/>
              <w:left w:val="nil"/>
              <w:bottom w:val="nil"/>
              <w:right w:val="nil"/>
            </w:tcBorders>
            <w:shd w:val="clear" w:color="auto" w:fill="auto"/>
            <w:noWrap/>
            <w:vAlign w:val="bottom"/>
            <w:hideMark/>
          </w:tcPr>
          <w:p w14:paraId="70D05E22"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04B83138"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71 </w:t>
            </w:r>
          </w:p>
        </w:tc>
      </w:tr>
      <w:tr w:rsidR="00BE236A" w:rsidRPr="00BE236A" w14:paraId="678C84C4" w14:textId="77777777" w:rsidTr="00BE236A">
        <w:trPr>
          <w:trHeight w:val="290"/>
        </w:trPr>
        <w:tc>
          <w:tcPr>
            <w:tcW w:w="222" w:type="dxa"/>
            <w:tcBorders>
              <w:top w:val="nil"/>
              <w:left w:val="nil"/>
              <w:bottom w:val="nil"/>
              <w:right w:val="nil"/>
            </w:tcBorders>
            <w:shd w:val="clear" w:color="auto" w:fill="auto"/>
            <w:noWrap/>
            <w:vAlign w:val="bottom"/>
            <w:hideMark/>
          </w:tcPr>
          <w:p w14:paraId="55ABBFB3"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38E60A2C"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Canadian Stock Exchange fees</w:t>
            </w:r>
          </w:p>
        </w:tc>
        <w:tc>
          <w:tcPr>
            <w:tcW w:w="1840" w:type="dxa"/>
            <w:tcBorders>
              <w:top w:val="nil"/>
              <w:left w:val="nil"/>
              <w:bottom w:val="nil"/>
              <w:right w:val="nil"/>
            </w:tcBorders>
            <w:shd w:val="clear" w:color="auto" w:fill="auto"/>
            <w:noWrap/>
            <w:vAlign w:val="bottom"/>
            <w:hideMark/>
          </w:tcPr>
          <w:p w14:paraId="6C211326"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0 </w:t>
            </w:r>
          </w:p>
        </w:tc>
        <w:tc>
          <w:tcPr>
            <w:tcW w:w="420" w:type="dxa"/>
            <w:tcBorders>
              <w:top w:val="nil"/>
              <w:left w:val="nil"/>
              <w:bottom w:val="nil"/>
              <w:right w:val="nil"/>
            </w:tcBorders>
            <w:shd w:val="clear" w:color="auto" w:fill="auto"/>
            <w:noWrap/>
            <w:vAlign w:val="bottom"/>
            <w:hideMark/>
          </w:tcPr>
          <w:p w14:paraId="4BE8787D"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30632B9A"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3,500 </w:t>
            </w:r>
          </w:p>
        </w:tc>
      </w:tr>
      <w:tr w:rsidR="00BE236A" w:rsidRPr="00BE236A" w14:paraId="59B0C759" w14:textId="77777777" w:rsidTr="00BE236A">
        <w:trPr>
          <w:trHeight w:val="290"/>
        </w:trPr>
        <w:tc>
          <w:tcPr>
            <w:tcW w:w="222" w:type="dxa"/>
            <w:tcBorders>
              <w:top w:val="nil"/>
              <w:left w:val="nil"/>
              <w:bottom w:val="nil"/>
              <w:right w:val="nil"/>
            </w:tcBorders>
            <w:shd w:val="clear" w:color="auto" w:fill="auto"/>
            <w:noWrap/>
            <w:vAlign w:val="bottom"/>
            <w:hideMark/>
          </w:tcPr>
          <w:p w14:paraId="14CE3A88"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46A83964"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Supplies and services</w:t>
            </w:r>
          </w:p>
        </w:tc>
        <w:tc>
          <w:tcPr>
            <w:tcW w:w="1840" w:type="dxa"/>
            <w:tcBorders>
              <w:top w:val="nil"/>
              <w:left w:val="nil"/>
              <w:bottom w:val="nil"/>
              <w:right w:val="nil"/>
            </w:tcBorders>
            <w:shd w:val="clear" w:color="auto" w:fill="auto"/>
            <w:noWrap/>
            <w:vAlign w:val="bottom"/>
            <w:hideMark/>
          </w:tcPr>
          <w:p w14:paraId="3EAE7DD5"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228 </w:t>
            </w:r>
          </w:p>
        </w:tc>
        <w:tc>
          <w:tcPr>
            <w:tcW w:w="420" w:type="dxa"/>
            <w:tcBorders>
              <w:top w:val="nil"/>
              <w:left w:val="nil"/>
              <w:bottom w:val="nil"/>
              <w:right w:val="nil"/>
            </w:tcBorders>
            <w:shd w:val="clear" w:color="auto" w:fill="auto"/>
            <w:noWrap/>
            <w:vAlign w:val="bottom"/>
            <w:hideMark/>
          </w:tcPr>
          <w:p w14:paraId="471E1950"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68BDF018"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500 </w:t>
            </w:r>
          </w:p>
        </w:tc>
      </w:tr>
      <w:tr w:rsidR="00BE236A" w:rsidRPr="00BE236A" w14:paraId="6B3EA40C" w14:textId="77777777" w:rsidTr="00BE236A">
        <w:trPr>
          <w:trHeight w:val="290"/>
        </w:trPr>
        <w:tc>
          <w:tcPr>
            <w:tcW w:w="222" w:type="dxa"/>
            <w:tcBorders>
              <w:top w:val="nil"/>
              <w:left w:val="nil"/>
              <w:bottom w:val="nil"/>
              <w:right w:val="nil"/>
            </w:tcBorders>
            <w:shd w:val="clear" w:color="auto" w:fill="auto"/>
            <w:noWrap/>
            <w:vAlign w:val="bottom"/>
            <w:hideMark/>
          </w:tcPr>
          <w:p w14:paraId="6DDC7A1F"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3E45DA78"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Travel</w:t>
            </w:r>
          </w:p>
        </w:tc>
        <w:tc>
          <w:tcPr>
            <w:tcW w:w="1840" w:type="dxa"/>
            <w:tcBorders>
              <w:top w:val="nil"/>
              <w:left w:val="nil"/>
              <w:bottom w:val="nil"/>
              <w:right w:val="nil"/>
            </w:tcBorders>
            <w:shd w:val="clear" w:color="auto" w:fill="auto"/>
            <w:noWrap/>
            <w:vAlign w:val="bottom"/>
            <w:hideMark/>
          </w:tcPr>
          <w:p w14:paraId="18DAF3F4"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2,599 </w:t>
            </w:r>
          </w:p>
        </w:tc>
        <w:tc>
          <w:tcPr>
            <w:tcW w:w="420" w:type="dxa"/>
            <w:tcBorders>
              <w:top w:val="nil"/>
              <w:left w:val="nil"/>
              <w:bottom w:val="nil"/>
              <w:right w:val="nil"/>
            </w:tcBorders>
            <w:shd w:val="clear" w:color="auto" w:fill="auto"/>
            <w:noWrap/>
            <w:vAlign w:val="bottom"/>
            <w:hideMark/>
          </w:tcPr>
          <w:p w14:paraId="22CDA09F"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4597CA74"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3,517 </w:t>
            </w:r>
          </w:p>
        </w:tc>
      </w:tr>
      <w:tr w:rsidR="00BE236A" w:rsidRPr="00BE236A" w14:paraId="7171DD6A" w14:textId="77777777" w:rsidTr="00BE236A">
        <w:trPr>
          <w:trHeight w:val="290"/>
        </w:trPr>
        <w:tc>
          <w:tcPr>
            <w:tcW w:w="222" w:type="dxa"/>
            <w:tcBorders>
              <w:top w:val="nil"/>
              <w:left w:val="nil"/>
              <w:bottom w:val="nil"/>
              <w:right w:val="nil"/>
            </w:tcBorders>
            <w:shd w:val="clear" w:color="auto" w:fill="auto"/>
            <w:noWrap/>
            <w:vAlign w:val="bottom"/>
            <w:hideMark/>
          </w:tcPr>
          <w:p w14:paraId="5D284D61"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6E2D672A"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Bank charges and office</w:t>
            </w:r>
          </w:p>
        </w:tc>
        <w:tc>
          <w:tcPr>
            <w:tcW w:w="1840" w:type="dxa"/>
            <w:tcBorders>
              <w:top w:val="nil"/>
              <w:left w:val="nil"/>
              <w:bottom w:val="nil"/>
              <w:right w:val="nil"/>
            </w:tcBorders>
            <w:shd w:val="clear" w:color="auto" w:fill="auto"/>
            <w:noWrap/>
            <w:vAlign w:val="bottom"/>
            <w:hideMark/>
          </w:tcPr>
          <w:p w14:paraId="5EDBA9CC"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69 </w:t>
            </w:r>
          </w:p>
        </w:tc>
        <w:tc>
          <w:tcPr>
            <w:tcW w:w="420" w:type="dxa"/>
            <w:tcBorders>
              <w:top w:val="nil"/>
              <w:left w:val="nil"/>
              <w:bottom w:val="nil"/>
              <w:right w:val="nil"/>
            </w:tcBorders>
            <w:shd w:val="clear" w:color="auto" w:fill="auto"/>
            <w:noWrap/>
            <w:vAlign w:val="bottom"/>
            <w:hideMark/>
          </w:tcPr>
          <w:p w14:paraId="2C0DD48C"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299FC5BE"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142 </w:t>
            </w:r>
          </w:p>
        </w:tc>
      </w:tr>
      <w:tr w:rsidR="00BE236A" w:rsidRPr="00BE236A" w14:paraId="6DEE4B8B" w14:textId="77777777" w:rsidTr="00BE236A">
        <w:trPr>
          <w:trHeight w:val="290"/>
        </w:trPr>
        <w:tc>
          <w:tcPr>
            <w:tcW w:w="222" w:type="dxa"/>
            <w:tcBorders>
              <w:top w:val="nil"/>
              <w:left w:val="nil"/>
              <w:bottom w:val="nil"/>
              <w:right w:val="nil"/>
            </w:tcBorders>
            <w:shd w:val="clear" w:color="auto" w:fill="auto"/>
            <w:noWrap/>
            <w:vAlign w:val="bottom"/>
            <w:hideMark/>
          </w:tcPr>
          <w:p w14:paraId="38483214"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44B60BCC"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Website</w:t>
            </w:r>
          </w:p>
        </w:tc>
        <w:tc>
          <w:tcPr>
            <w:tcW w:w="1840" w:type="dxa"/>
            <w:tcBorders>
              <w:top w:val="nil"/>
              <w:left w:val="nil"/>
              <w:bottom w:val="nil"/>
              <w:right w:val="nil"/>
            </w:tcBorders>
            <w:shd w:val="clear" w:color="auto" w:fill="auto"/>
            <w:noWrap/>
            <w:vAlign w:val="bottom"/>
            <w:hideMark/>
          </w:tcPr>
          <w:p w14:paraId="16EF657B"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462 </w:t>
            </w:r>
          </w:p>
        </w:tc>
        <w:tc>
          <w:tcPr>
            <w:tcW w:w="420" w:type="dxa"/>
            <w:tcBorders>
              <w:top w:val="nil"/>
              <w:left w:val="nil"/>
              <w:bottom w:val="nil"/>
              <w:right w:val="nil"/>
            </w:tcBorders>
            <w:shd w:val="clear" w:color="auto" w:fill="auto"/>
            <w:noWrap/>
            <w:vAlign w:val="bottom"/>
            <w:hideMark/>
          </w:tcPr>
          <w:p w14:paraId="7914E763"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nil"/>
              <w:right w:val="nil"/>
            </w:tcBorders>
            <w:shd w:val="clear" w:color="auto" w:fill="auto"/>
            <w:noWrap/>
            <w:vAlign w:val="bottom"/>
            <w:hideMark/>
          </w:tcPr>
          <w:p w14:paraId="31FDBAA6"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1,146 </w:t>
            </w:r>
          </w:p>
        </w:tc>
      </w:tr>
      <w:tr w:rsidR="00BE236A" w:rsidRPr="00BE236A" w14:paraId="45CB355C" w14:textId="77777777" w:rsidTr="00BE236A">
        <w:trPr>
          <w:trHeight w:val="300"/>
        </w:trPr>
        <w:tc>
          <w:tcPr>
            <w:tcW w:w="222" w:type="dxa"/>
            <w:tcBorders>
              <w:top w:val="nil"/>
              <w:left w:val="nil"/>
              <w:bottom w:val="nil"/>
              <w:right w:val="nil"/>
            </w:tcBorders>
            <w:shd w:val="clear" w:color="auto" w:fill="auto"/>
            <w:noWrap/>
            <w:vAlign w:val="bottom"/>
            <w:hideMark/>
          </w:tcPr>
          <w:p w14:paraId="69D4FA25"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2A8D57F3"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Expenses</w:t>
            </w:r>
          </w:p>
        </w:tc>
        <w:tc>
          <w:tcPr>
            <w:tcW w:w="1840" w:type="dxa"/>
            <w:tcBorders>
              <w:top w:val="single" w:sz="4" w:space="0" w:color="auto"/>
              <w:left w:val="nil"/>
              <w:bottom w:val="double" w:sz="6" w:space="0" w:color="auto"/>
              <w:right w:val="nil"/>
            </w:tcBorders>
            <w:shd w:val="clear" w:color="auto" w:fill="auto"/>
            <w:noWrap/>
            <w:vAlign w:val="bottom"/>
            <w:hideMark/>
          </w:tcPr>
          <w:p w14:paraId="0B73DE72"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27,550 </w:t>
            </w:r>
          </w:p>
        </w:tc>
        <w:tc>
          <w:tcPr>
            <w:tcW w:w="420" w:type="dxa"/>
            <w:tcBorders>
              <w:top w:val="nil"/>
              <w:left w:val="nil"/>
              <w:bottom w:val="nil"/>
              <w:right w:val="nil"/>
            </w:tcBorders>
            <w:shd w:val="clear" w:color="auto" w:fill="auto"/>
            <w:noWrap/>
            <w:vAlign w:val="bottom"/>
            <w:hideMark/>
          </w:tcPr>
          <w:p w14:paraId="772974BB"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single" w:sz="4" w:space="0" w:color="auto"/>
              <w:left w:val="nil"/>
              <w:bottom w:val="double" w:sz="6" w:space="0" w:color="auto"/>
              <w:right w:val="nil"/>
            </w:tcBorders>
            <w:shd w:val="clear" w:color="auto" w:fill="auto"/>
            <w:noWrap/>
            <w:vAlign w:val="bottom"/>
            <w:hideMark/>
          </w:tcPr>
          <w:p w14:paraId="0C70286B"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81,631 </w:t>
            </w:r>
          </w:p>
        </w:tc>
      </w:tr>
      <w:tr w:rsidR="00BE236A" w:rsidRPr="00BE236A" w14:paraId="6A3EC5EA" w14:textId="77777777" w:rsidTr="00BE236A">
        <w:trPr>
          <w:trHeight w:val="300"/>
        </w:trPr>
        <w:tc>
          <w:tcPr>
            <w:tcW w:w="222" w:type="dxa"/>
            <w:tcBorders>
              <w:top w:val="nil"/>
              <w:left w:val="nil"/>
              <w:bottom w:val="nil"/>
              <w:right w:val="nil"/>
            </w:tcBorders>
            <w:shd w:val="clear" w:color="auto" w:fill="auto"/>
            <w:noWrap/>
            <w:vAlign w:val="bottom"/>
            <w:hideMark/>
          </w:tcPr>
          <w:p w14:paraId="1FCAF5DF" w14:textId="77777777" w:rsidR="00BE236A" w:rsidRPr="00BE236A" w:rsidRDefault="00BE236A" w:rsidP="00BE236A">
            <w:pPr>
              <w:jc w:val="right"/>
              <w:rPr>
                <w:rFonts w:ascii="Calibri" w:hAnsi="Calibri" w:cs="Calibri"/>
                <w:color w:val="000000"/>
                <w:szCs w:val="22"/>
                <w:lang w:val="en-CA" w:eastAsia="en-CA"/>
              </w:rPr>
            </w:pPr>
          </w:p>
        </w:tc>
        <w:tc>
          <w:tcPr>
            <w:tcW w:w="5268" w:type="dxa"/>
            <w:tcBorders>
              <w:top w:val="nil"/>
              <w:left w:val="nil"/>
              <w:bottom w:val="nil"/>
              <w:right w:val="nil"/>
            </w:tcBorders>
            <w:shd w:val="clear" w:color="auto" w:fill="auto"/>
            <w:noWrap/>
            <w:vAlign w:val="bottom"/>
            <w:hideMark/>
          </w:tcPr>
          <w:p w14:paraId="4847319F" w14:textId="77777777" w:rsidR="00BE236A" w:rsidRPr="00BE236A" w:rsidRDefault="00BE236A" w:rsidP="00BE236A">
            <w:pPr>
              <w:rPr>
                <w:rFonts w:ascii="Times New Roman" w:hAnsi="Times New Roman"/>
                <w:sz w:val="20"/>
                <w:szCs w:val="20"/>
                <w:lang w:val="en-CA" w:eastAsia="en-CA"/>
              </w:rPr>
            </w:pPr>
          </w:p>
        </w:tc>
        <w:tc>
          <w:tcPr>
            <w:tcW w:w="1840" w:type="dxa"/>
            <w:tcBorders>
              <w:top w:val="nil"/>
              <w:left w:val="nil"/>
              <w:bottom w:val="nil"/>
              <w:right w:val="nil"/>
            </w:tcBorders>
            <w:shd w:val="clear" w:color="auto" w:fill="auto"/>
            <w:noWrap/>
            <w:vAlign w:val="bottom"/>
            <w:hideMark/>
          </w:tcPr>
          <w:p w14:paraId="6E4770C8" w14:textId="77777777" w:rsidR="00BE236A" w:rsidRPr="00BE236A" w:rsidRDefault="00BE236A" w:rsidP="00BE236A">
            <w:pPr>
              <w:rPr>
                <w:rFonts w:ascii="Times New Roman" w:hAnsi="Times New Roman"/>
                <w:sz w:val="20"/>
                <w:szCs w:val="20"/>
                <w:lang w:val="en-CA" w:eastAsia="en-CA"/>
              </w:rPr>
            </w:pPr>
          </w:p>
        </w:tc>
        <w:tc>
          <w:tcPr>
            <w:tcW w:w="420" w:type="dxa"/>
            <w:tcBorders>
              <w:top w:val="nil"/>
              <w:left w:val="nil"/>
              <w:bottom w:val="nil"/>
              <w:right w:val="nil"/>
            </w:tcBorders>
            <w:shd w:val="clear" w:color="auto" w:fill="auto"/>
            <w:noWrap/>
            <w:vAlign w:val="bottom"/>
            <w:hideMark/>
          </w:tcPr>
          <w:p w14:paraId="45BEA88F" w14:textId="77777777" w:rsidR="00BE236A" w:rsidRPr="00BE236A" w:rsidRDefault="00BE236A" w:rsidP="00BE236A">
            <w:pPr>
              <w:rPr>
                <w:rFonts w:ascii="Times New Roman" w:hAnsi="Times New Roman"/>
                <w:sz w:val="20"/>
                <w:szCs w:val="20"/>
                <w:lang w:val="en-CA" w:eastAsia="en-CA"/>
              </w:rPr>
            </w:pPr>
          </w:p>
        </w:tc>
        <w:tc>
          <w:tcPr>
            <w:tcW w:w="1700" w:type="dxa"/>
            <w:tcBorders>
              <w:top w:val="nil"/>
              <w:left w:val="nil"/>
              <w:bottom w:val="nil"/>
              <w:right w:val="nil"/>
            </w:tcBorders>
            <w:shd w:val="clear" w:color="auto" w:fill="auto"/>
            <w:noWrap/>
            <w:vAlign w:val="bottom"/>
            <w:hideMark/>
          </w:tcPr>
          <w:p w14:paraId="3E555230" w14:textId="77777777" w:rsidR="00BE236A" w:rsidRPr="00BE236A" w:rsidRDefault="00BE236A" w:rsidP="00BE236A">
            <w:pPr>
              <w:rPr>
                <w:rFonts w:ascii="Times New Roman" w:hAnsi="Times New Roman"/>
                <w:sz w:val="20"/>
                <w:szCs w:val="20"/>
                <w:lang w:val="en-CA" w:eastAsia="en-CA"/>
              </w:rPr>
            </w:pPr>
          </w:p>
        </w:tc>
      </w:tr>
      <w:tr w:rsidR="00BE236A" w:rsidRPr="00BE236A" w14:paraId="6185F810" w14:textId="77777777" w:rsidTr="00BE236A">
        <w:trPr>
          <w:trHeight w:val="300"/>
        </w:trPr>
        <w:tc>
          <w:tcPr>
            <w:tcW w:w="5490" w:type="dxa"/>
            <w:gridSpan w:val="2"/>
            <w:tcBorders>
              <w:top w:val="nil"/>
              <w:left w:val="nil"/>
              <w:bottom w:val="nil"/>
              <w:right w:val="nil"/>
            </w:tcBorders>
            <w:shd w:val="clear" w:color="auto" w:fill="auto"/>
            <w:noWrap/>
            <w:vAlign w:val="bottom"/>
            <w:hideMark/>
          </w:tcPr>
          <w:p w14:paraId="053B90FB" w14:textId="77777777" w:rsidR="00BE236A" w:rsidRPr="00BE236A" w:rsidRDefault="00BE236A" w:rsidP="00BE236A">
            <w:pPr>
              <w:rPr>
                <w:rFonts w:ascii="Calibri" w:hAnsi="Calibri" w:cs="Calibri"/>
                <w:color w:val="000000"/>
                <w:szCs w:val="22"/>
                <w:lang w:val="en-CA" w:eastAsia="en-CA"/>
              </w:rPr>
            </w:pPr>
            <w:r w:rsidRPr="00BE236A">
              <w:rPr>
                <w:rFonts w:ascii="Calibri" w:hAnsi="Calibri" w:cs="Calibri"/>
                <w:color w:val="000000"/>
                <w:szCs w:val="22"/>
                <w:lang w:val="en-CA" w:eastAsia="en-CA"/>
              </w:rPr>
              <w:t>Total Income</w:t>
            </w:r>
          </w:p>
        </w:tc>
        <w:tc>
          <w:tcPr>
            <w:tcW w:w="1840" w:type="dxa"/>
            <w:tcBorders>
              <w:top w:val="nil"/>
              <w:left w:val="nil"/>
              <w:bottom w:val="double" w:sz="6" w:space="0" w:color="auto"/>
              <w:right w:val="nil"/>
            </w:tcBorders>
            <w:shd w:val="clear" w:color="auto" w:fill="auto"/>
            <w:noWrap/>
            <w:vAlign w:val="bottom"/>
            <w:hideMark/>
          </w:tcPr>
          <w:p w14:paraId="5935A108"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-27,550 </w:t>
            </w:r>
          </w:p>
        </w:tc>
        <w:tc>
          <w:tcPr>
            <w:tcW w:w="420" w:type="dxa"/>
            <w:tcBorders>
              <w:top w:val="nil"/>
              <w:left w:val="nil"/>
              <w:bottom w:val="nil"/>
              <w:right w:val="nil"/>
            </w:tcBorders>
            <w:shd w:val="clear" w:color="auto" w:fill="auto"/>
            <w:noWrap/>
            <w:vAlign w:val="bottom"/>
            <w:hideMark/>
          </w:tcPr>
          <w:p w14:paraId="796FA46B" w14:textId="77777777" w:rsidR="00BE236A" w:rsidRPr="00BE236A" w:rsidRDefault="00BE236A" w:rsidP="00BE236A">
            <w:pPr>
              <w:jc w:val="right"/>
              <w:rPr>
                <w:rFonts w:ascii="Calibri" w:hAnsi="Calibri" w:cs="Calibri"/>
                <w:color w:val="000000"/>
                <w:szCs w:val="22"/>
                <w:lang w:val="en-CA" w:eastAsia="en-CA"/>
              </w:rPr>
            </w:pPr>
          </w:p>
        </w:tc>
        <w:tc>
          <w:tcPr>
            <w:tcW w:w="1700" w:type="dxa"/>
            <w:tcBorders>
              <w:top w:val="nil"/>
              <w:left w:val="nil"/>
              <w:bottom w:val="double" w:sz="6" w:space="0" w:color="auto"/>
              <w:right w:val="nil"/>
            </w:tcBorders>
            <w:shd w:val="clear" w:color="auto" w:fill="auto"/>
            <w:noWrap/>
            <w:vAlign w:val="bottom"/>
            <w:hideMark/>
          </w:tcPr>
          <w:p w14:paraId="4B038805" w14:textId="77777777" w:rsidR="00BE236A" w:rsidRPr="00BE236A" w:rsidRDefault="00BE236A" w:rsidP="00BE236A">
            <w:pPr>
              <w:jc w:val="right"/>
              <w:rPr>
                <w:rFonts w:ascii="Calibri" w:hAnsi="Calibri" w:cs="Calibri"/>
                <w:color w:val="000000"/>
                <w:szCs w:val="22"/>
                <w:lang w:val="en-CA" w:eastAsia="en-CA"/>
              </w:rPr>
            </w:pPr>
            <w:r w:rsidRPr="00BE236A">
              <w:rPr>
                <w:rFonts w:ascii="Calibri" w:hAnsi="Calibri" w:cs="Calibri"/>
                <w:color w:val="000000"/>
                <w:szCs w:val="22"/>
                <w:lang w:val="en-CA" w:eastAsia="en-CA"/>
              </w:rPr>
              <w:t xml:space="preserve">-81,631 </w:t>
            </w:r>
          </w:p>
        </w:tc>
      </w:tr>
    </w:tbl>
    <w:p w14:paraId="6B8A6C41" w14:textId="77777777" w:rsidR="00BE236A" w:rsidRDefault="00BE236A">
      <w:r>
        <w:br w:type="page"/>
      </w:r>
    </w:p>
    <w:p w14:paraId="3867EFC7" w14:textId="0A00EFF2" w:rsidR="00BE236A" w:rsidRDefault="00BE236A"/>
    <w:tbl>
      <w:tblPr>
        <w:tblW w:w="9045" w:type="dxa"/>
        <w:tblLook w:val="04A0" w:firstRow="1" w:lastRow="0" w:firstColumn="1" w:lastColumn="0" w:noHBand="0" w:noVBand="1"/>
      </w:tblPr>
      <w:tblGrid>
        <w:gridCol w:w="864"/>
        <w:gridCol w:w="904"/>
        <w:gridCol w:w="903"/>
        <w:gridCol w:w="903"/>
        <w:gridCol w:w="994"/>
        <w:gridCol w:w="1282"/>
        <w:gridCol w:w="829"/>
        <w:gridCol w:w="530"/>
        <w:gridCol w:w="1306"/>
        <w:gridCol w:w="530"/>
      </w:tblGrid>
      <w:tr w:rsidR="004A08E0" w:rsidRPr="004A08E0" w14:paraId="5A12EBDD" w14:textId="77777777" w:rsidTr="00BE236A">
        <w:trPr>
          <w:trHeight w:val="290"/>
        </w:trPr>
        <w:tc>
          <w:tcPr>
            <w:tcW w:w="3574" w:type="dxa"/>
            <w:gridSpan w:val="4"/>
            <w:tcBorders>
              <w:top w:val="nil"/>
              <w:left w:val="nil"/>
              <w:bottom w:val="nil"/>
              <w:right w:val="nil"/>
            </w:tcBorders>
            <w:shd w:val="clear" w:color="auto" w:fill="auto"/>
            <w:noWrap/>
            <w:vAlign w:val="bottom"/>
            <w:hideMark/>
          </w:tcPr>
          <w:p w14:paraId="06666A02"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noProof/>
                <w:color w:val="000000"/>
                <w:szCs w:val="22"/>
                <w:lang w:val="en-CA" w:eastAsia="en-CA"/>
              </w:rPr>
              <w:drawing>
                <wp:anchor distT="0" distB="0" distL="114300" distR="114300" simplePos="0" relativeHeight="251657216" behindDoc="0" locked="0" layoutInCell="1" allowOverlap="1" wp14:anchorId="3919EA70" wp14:editId="3243A128">
                  <wp:simplePos x="0" y="0"/>
                  <wp:positionH relativeFrom="column">
                    <wp:posOffset>0</wp:posOffset>
                  </wp:positionH>
                  <wp:positionV relativeFrom="paragraph">
                    <wp:posOffset>0</wp:posOffset>
                  </wp:positionV>
                  <wp:extent cx="914400" cy="228600"/>
                  <wp:effectExtent l="0" t="0" r="0" b="0"/>
                  <wp:wrapNone/>
                  <wp:docPr id="1" name="Picture 1"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4A08E0">
              <w:rPr>
                <w:rFonts w:ascii="Calibri" w:hAnsi="Calibri" w:cs="Calibri"/>
                <w:b/>
                <w:bCs/>
                <w:noProof/>
                <w:color w:val="000000"/>
                <w:szCs w:val="22"/>
                <w:lang w:val="en-CA" w:eastAsia="en-CA"/>
              </w:rPr>
              <w:drawing>
                <wp:anchor distT="0" distB="0" distL="114300" distR="114300" simplePos="0" relativeHeight="251658240" behindDoc="0" locked="0" layoutInCell="1" allowOverlap="1" wp14:anchorId="678A4688" wp14:editId="3EC0C8CA">
                  <wp:simplePos x="0" y="0"/>
                  <wp:positionH relativeFrom="column">
                    <wp:posOffset>0</wp:posOffset>
                  </wp:positionH>
                  <wp:positionV relativeFrom="paragraph">
                    <wp:posOffset>0</wp:posOffset>
                  </wp:positionV>
                  <wp:extent cx="914400" cy="228600"/>
                  <wp:effectExtent l="0" t="0" r="0" b="0"/>
                  <wp:wrapNone/>
                  <wp:docPr id="2" name="Picture 2"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1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100-000002040000}"/>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4A08E0">
              <w:rPr>
                <w:rFonts w:ascii="Calibri" w:hAnsi="Calibri" w:cs="Calibri"/>
                <w:b/>
                <w:bCs/>
                <w:color w:val="000000"/>
                <w:szCs w:val="22"/>
                <w:lang w:val="en-CA" w:eastAsia="en-CA"/>
              </w:rPr>
              <w:t>Project One Resources Ltd.</w:t>
            </w:r>
          </w:p>
        </w:tc>
        <w:tc>
          <w:tcPr>
            <w:tcW w:w="994" w:type="dxa"/>
            <w:tcBorders>
              <w:top w:val="nil"/>
              <w:left w:val="nil"/>
              <w:bottom w:val="nil"/>
              <w:right w:val="nil"/>
            </w:tcBorders>
            <w:shd w:val="clear" w:color="auto" w:fill="auto"/>
            <w:noWrap/>
            <w:vAlign w:val="bottom"/>
            <w:hideMark/>
          </w:tcPr>
          <w:p w14:paraId="21FD717F" w14:textId="77777777" w:rsidR="004A08E0" w:rsidRPr="004A08E0" w:rsidRDefault="004A08E0" w:rsidP="004A08E0">
            <w:pPr>
              <w:rPr>
                <w:rFonts w:ascii="Calibri" w:hAnsi="Calibri" w:cs="Calibri"/>
                <w:b/>
                <w:bCs/>
                <w:color w:val="000000"/>
                <w:szCs w:val="22"/>
                <w:lang w:val="en-CA" w:eastAsia="en-CA"/>
              </w:rPr>
            </w:pPr>
          </w:p>
        </w:tc>
        <w:tc>
          <w:tcPr>
            <w:tcW w:w="1282" w:type="dxa"/>
            <w:tcBorders>
              <w:top w:val="nil"/>
              <w:left w:val="nil"/>
              <w:bottom w:val="nil"/>
              <w:right w:val="nil"/>
            </w:tcBorders>
            <w:shd w:val="clear" w:color="auto" w:fill="auto"/>
            <w:noWrap/>
            <w:vAlign w:val="bottom"/>
            <w:hideMark/>
          </w:tcPr>
          <w:p w14:paraId="12F7D368"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4875EE15"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6F3B8965" w14:textId="77777777" w:rsidR="004A08E0" w:rsidRPr="004A08E0" w:rsidRDefault="004A08E0" w:rsidP="004A08E0">
            <w:pPr>
              <w:rPr>
                <w:rFonts w:ascii="Times New Roman" w:hAnsi="Times New Roman"/>
                <w:sz w:val="20"/>
                <w:szCs w:val="20"/>
                <w:lang w:val="en-CA" w:eastAsia="en-CA"/>
              </w:rPr>
            </w:pPr>
          </w:p>
        </w:tc>
      </w:tr>
      <w:tr w:rsidR="00BE236A" w:rsidRPr="004A08E0" w14:paraId="455A85CC" w14:textId="77777777" w:rsidTr="00BE236A">
        <w:trPr>
          <w:trHeight w:val="290"/>
        </w:trPr>
        <w:tc>
          <w:tcPr>
            <w:tcW w:w="3574" w:type="dxa"/>
            <w:gridSpan w:val="4"/>
            <w:tcBorders>
              <w:top w:val="nil"/>
              <w:left w:val="nil"/>
              <w:bottom w:val="nil"/>
              <w:right w:val="nil"/>
            </w:tcBorders>
            <w:shd w:val="clear" w:color="auto" w:fill="auto"/>
            <w:noWrap/>
            <w:vAlign w:val="bottom"/>
          </w:tcPr>
          <w:p w14:paraId="22EF6703" w14:textId="77777777" w:rsidR="00BE236A" w:rsidRPr="004A08E0" w:rsidRDefault="00BE236A" w:rsidP="004A08E0">
            <w:pPr>
              <w:rPr>
                <w:rFonts w:ascii="Calibri" w:hAnsi="Calibri" w:cs="Calibri"/>
                <w:b/>
                <w:bCs/>
                <w:noProof/>
                <w:color w:val="000000"/>
                <w:szCs w:val="22"/>
                <w:lang w:val="en-CA" w:eastAsia="en-CA"/>
              </w:rPr>
            </w:pPr>
          </w:p>
        </w:tc>
        <w:tc>
          <w:tcPr>
            <w:tcW w:w="994" w:type="dxa"/>
            <w:tcBorders>
              <w:top w:val="nil"/>
              <w:left w:val="nil"/>
              <w:bottom w:val="nil"/>
              <w:right w:val="nil"/>
            </w:tcBorders>
            <w:shd w:val="clear" w:color="auto" w:fill="auto"/>
            <w:noWrap/>
            <w:vAlign w:val="bottom"/>
          </w:tcPr>
          <w:p w14:paraId="554F9CE1" w14:textId="77777777" w:rsidR="00BE236A" w:rsidRPr="004A08E0" w:rsidRDefault="00BE236A" w:rsidP="004A08E0">
            <w:pPr>
              <w:rPr>
                <w:rFonts w:ascii="Calibri" w:hAnsi="Calibri" w:cs="Calibri"/>
                <w:b/>
                <w:bCs/>
                <w:color w:val="000000"/>
                <w:szCs w:val="22"/>
                <w:lang w:val="en-CA" w:eastAsia="en-CA"/>
              </w:rPr>
            </w:pPr>
          </w:p>
        </w:tc>
        <w:tc>
          <w:tcPr>
            <w:tcW w:w="1282" w:type="dxa"/>
            <w:tcBorders>
              <w:top w:val="nil"/>
              <w:left w:val="nil"/>
              <w:bottom w:val="nil"/>
              <w:right w:val="nil"/>
            </w:tcBorders>
            <w:shd w:val="clear" w:color="auto" w:fill="auto"/>
            <w:noWrap/>
            <w:vAlign w:val="bottom"/>
          </w:tcPr>
          <w:p w14:paraId="6A4245D1" w14:textId="77777777" w:rsidR="00BE236A" w:rsidRPr="004A08E0" w:rsidRDefault="00BE236A"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tcPr>
          <w:p w14:paraId="0B7D5A37" w14:textId="77777777" w:rsidR="00BE236A" w:rsidRPr="004A08E0" w:rsidRDefault="00BE236A"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tcPr>
          <w:p w14:paraId="62FAAA0C" w14:textId="77777777" w:rsidR="00BE236A" w:rsidRPr="004A08E0" w:rsidRDefault="00BE236A" w:rsidP="004A08E0">
            <w:pPr>
              <w:rPr>
                <w:rFonts w:ascii="Times New Roman" w:hAnsi="Times New Roman"/>
                <w:sz w:val="20"/>
                <w:szCs w:val="20"/>
                <w:lang w:val="en-CA" w:eastAsia="en-CA"/>
              </w:rPr>
            </w:pPr>
          </w:p>
        </w:tc>
      </w:tr>
      <w:tr w:rsidR="004A08E0" w:rsidRPr="004A08E0" w14:paraId="7209FC22" w14:textId="77777777" w:rsidTr="00BE236A">
        <w:trPr>
          <w:trHeight w:val="290"/>
        </w:trPr>
        <w:tc>
          <w:tcPr>
            <w:tcW w:w="4568" w:type="dxa"/>
            <w:gridSpan w:val="5"/>
            <w:tcBorders>
              <w:top w:val="nil"/>
              <w:left w:val="nil"/>
              <w:bottom w:val="nil"/>
              <w:right w:val="nil"/>
            </w:tcBorders>
            <w:shd w:val="clear" w:color="auto" w:fill="auto"/>
            <w:noWrap/>
            <w:vAlign w:val="bottom"/>
            <w:hideMark/>
          </w:tcPr>
          <w:p w14:paraId="3CCBAB1E"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Condensed Interim Statement of Cash Flows</w:t>
            </w:r>
          </w:p>
        </w:tc>
        <w:tc>
          <w:tcPr>
            <w:tcW w:w="1282" w:type="dxa"/>
            <w:tcBorders>
              <w:top w:val="nil"/>
              <w:left w:val="nil"/>
              <w:bottom w:val="nil"/>
              <w:right w:val="nil"/>
            </w:tcBorders>
            <w:shd w:val="clear" w:color="auto" w:fill="auto"/>
            <w:noWrap/>
            <w:vAlign w:val="bottom"/>
            <w:hideMark/>
          </w:tcPr>
          <w:p w14:paraId="6C7066BA" w14:textId="77777777" w:rsidR="004A08E0" w:rsidRPr="004A08E0" w:rsidRDefault="004A08E0" w:rsidP="004A08E0">
            <w:pPr>
              <w:rPr>
                <w:rFonts w:ascii="Calibri" w:hAnsi="Calibri" w:cs="Calibri"/>
                <w:b/>
                <w:bCs/>
                <w:color w:val="000000"/>
                <w:szCs w:val="22"/>
                <w:lang w:val="en-CA" w:eastAsia="en-CA"/>
              </w:rPr>
            </w:pPr>
          </w:p>
        </w:tc>
        <w:tc>
          <w:tcPr>
            <w:tcW w:w="1359" w:type="dxa"/>
            <w:gridSpan w:val="2"/>
            <w:tcBorders>
              <w:top w:val="nil"/>
              <w:left w:val="nil"/>
              <w:bottom w:val="nil"/>
              <w:right w:val="nil"/>
            </w:tcBorders>
            <w:shd w:val="clear" w:color="auto" w:fill="auto"/>
            <w:noWrap/>
            <w:vAlign w:val="bottom"/>
            <w:hideMark/>
          </w:tcPr>
          <w:p w14:paraId="2F21DCB1"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411C342A" w14:textId="77777777" w:rsidR="004A08E0" w:rsidRPr="004A08E0" w:rsidRDefault="004A08E0" w:rsidP="004A08E0">
            <w:pPr>
              <w:rPr>
                <w:rFonts w:ascii="Times New Roman" w:hAnsi="Times New Roman"/>
                <w:sz w:val="20"/>
                <w:szCs w:val="20"/>
                <w:lang w:val="en-CA" w:eastAsia="en-CA"/>
              </w:rPr>
            </w:pPr>
          </w:p>
        </w:tc>
      </w:tr>
      <w:tr w:rsidR="004A08E0" w:rsidRPr="004A08E0" w14:paraId="75CA3855" w14:textId="77777777" w:rsidTr="00BE236A">
        <w:trPr>
          <w:trHeight w:val="290"/>
        </w:trPr>
        <w:tc>
          <w:tcPr>
            <w:tcW w:w="3574" w:type="dxa"/>
            <w:gridSpan w:val="4"/>
            <w:tcBorders>
              <w:top w:val="nil"/>
              <w:left w:val="nil"/>
              <w:bottom w:val="nil"/>
              <w:right w:val="nil"/>
            </w:tcBorders>
            <w:shd w:val="clear" w:color="auto" w:fill="auto"/>
            <w:noWrap/>
            <w:vAlign w:val="bottom"/>
            <w:hideMark/>
          </w:tcPr>
          <w:p w14:paraId="041A8C22"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(Expressed in Canadian Dollars)</w:t>
            </w:r>
          </w:p>
        </w:tc>
        <w:tc>
          <w:tcPr>
            <w:tcW w:w="994" w:type="dxa"/>
            <w:tcBorders>
              <w:top w:val="nil"/>
              <w:left w:val="nil"/>
              <w:bottom w:val="nil"/>
              <w:right w:val="nil"/>
            </w:tcBorders>
            <w:shd w:val="clear" w:color="auto" w:fill="auto"/>
            <w:noWrap/>
            <w:vAlign w:val="bottom"/>
            <w:hideMark/>
          </w:tcPr>
          <w:p w14:paraId="097E977F" w14:textId="77777777" w:rsidR="004A08E0" w:rsidRPr="004A08E0" w:rsidRDefault="004A08E0" w:rsidP="004A08E0">
            <w:pPr>
              <w:rPr>
                <w:rFonts w:ascii="Calibri" w:hAnsi="Calibri" w:cs="Calibri"/>
                <w:b/>
                <w:bCs/>
                <w:color w:val="000000"/>
                <w:szCs w:val="22"/>
                <w:lang w:val="en-CA" w:eastAsia="en-CA"/>
              </w:rPr>
            </w:pPr>
          </w:p>
        </w:tc>
        <w:tc>
          <w:tcPr>
            <w:tcW w:w="1282" w:type="dxa"/>
            <w:tcBorders>
              <w:top w:val="nil"/>
              <w:left w:val="nil"/>
              <w:bottom w:val="nil"/>
              <w:right w:val="nil"/>
            </w:tcBorders>
            <w:shd w:val="clear" w:color="auto" w:fill="auto"/>
            <w:noWrap/>
            <w:vAlign w:val="bottom"/>
            <w:hideMark/>
          </w:tcPr>
          <w:p w14:paraId="58869DE1"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3F63AA2A"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6D83D689" w14:textId="77777777" w:rsidR="004A08E0" w:rsidRPr="004A08E0" w:rsidRDefault="004A08E0" w:rsidP="004A08E0">
            <w:pPr>
              <w:rPr>
                <w:rFonts w:ascii="Times New Roman" w:hAnsi="Times New Roman"/>
                <w:sz w:val="20"/>
                <w:szCs w:val="20"/>
                <w:lang w:val="en-CA" w:eastAsia="en-CA"/>
              </w:rPr>
            </w:pPr>
          </w:p>
        </w:tc>
      </w:tr>
      <w:tr w:rsidR="004A08E0" w:rsidRPr="004A08E0" w14:paraId="7881BFAC" w14:textId="77777777" w:rsidTr="00BE236A">
        <w:trPr>
          <w:trHeight w:val="290"/>
        </w:trPr>
        <w:tc>
          <w:tcPr>
            <w:tcW w:w="1768" w:type="dxa"/>
            <w:gridSpan w:val="2"/>
            <w:tcBorders>
              <w:top w:val="nil"/>
              <w:left w:val="nil"/>
              <w:bottom w:val="nil"/>
              <w:right w:val="nil"/>
            </w:tcBorders>
            <w:shd w:val="clear" w:color="auto" w:fill="auto"/>
            <w:noWrap/>
            <w:vAlign w:val="bottom"/>
            <w:hideMark/>
          </w:tcPr>
          <w:p w14:paraId="69E00ABD"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(Unaudited)</w:t>
            </w:r>
          </w:p>
        </w:tc>
        <w:tc>
          <w:tcPr>
            <w:tcW w:w="903" w:type="dxa"/>
            <w:tcBorders>
              <w:top w:val="nil"/>
              <w:left w:val="nil"/>
              <w:bottom w:val="nil"/>
              <w:right w:val="nil"/>
            </w:tcBorders>
            <w:shd w:val="clear" w:color="auto" w:fill="auto"/>
            <w:noWrap/>
            <w:vAlign w:val="bottom"/>
            <w:hideMark/>
          </w:tcPr>
          <w:p w14:paraId="5308EA39" w14:textId="77777777" w:rsidR="004A08E0" w:rsidRPr="004A08E0" w:rsidRDefault="004A08E0" w:rsidP="004A08E0">
            <w:pPr>
              <w:rPr>
                <w:rFonts w:ascii="Calibri" w:hAnsi="Calibri" w:cs="Calibri"/>
                <w:b/>
                <w:bCs/>
                <w:color w:val="000000"/>
                <w:szCs w:val="22"/>
                <w:lang w:val="en-CA" w:eastAsia="en-CA"/>
              </w:rPr>
            </w:pPr>
          </w:p>
        </w:tc>
        <w:tc>
          <w:tcPr>
            <w:tcW w:w="903" w:type="dxa"/>
            <w:tcBorders>
              <w:top w:val="nil"/>
              <w:left w:val="nil"/>
              <w:bottom w:val="nil"/>
              <w:right w:val="nil"/>
            </w:tcBorders>
            <w:shd w:val="clear" w:color="auto" w:fill="auto"/>
            <w:noWrap/>
            <w:vAlign w:val="bottom"/>
            <w:hideMark/>
          </w:tcPr>
          <w:p w14:paraId="180E6653"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7B783AEA"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4E792F20"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1A11ABE1"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32FB94A1" w14:textId="77777777" w:rsidR="004A08E0" w:rsidRPr="004A08E0" w:rsidRDefault="004A08E0" w:rsidP="004A08E0">
            <w:pPr>
              <w:rPr>
                <w:rFonts w:ascii="Times New Roman" w:hAnsi="Times New Roman"/>
                <w:sz w:val="20"/>
                <w:szCs w:val="20"/>
                <w:lang w:val="en-CA" w:eastAsia="en-CA"/>
              </w:rPr>
            </w:pPr>
          </w:p>
        </w:tc>
      </w:tr>
      <w:tr w:rsidR="004A08E0" w:rsidRPr="004A08E0" w14:paraId="180136E5" w14:textId="77777777" w:rsidTr="00BE236A">
        <w:trPr>
          <w:trHeight w:val="290"/>
        </w:trPr>
        <w:tc>
          <w:tcPr>
            <w:tcW w:w="7209" w:type="dxa"/>
            <w:gridSpan w:val="8"/>
            <w:tcBorders>
              <w:top w:val="nil"/>
              <w:left w:val="nil"/>
              <w:bottom w:val="nil"/>
              <w:right w:val="nil"/>
            </w:tcBorders>
            <w:shd w:val="clear" w:color="auto" w:fill="auto"/>
            <w:noWrap/>
            <w:vAlign w:val="bottom"/>
            <w:hideMark/>
          </w:tcPr>
          <w:p w14:paraId="24A32BDD"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For the Three and Nine Month periods ended May 31, 2019</w:t>
            </w:r>
          </w:p>
        </w:tc>
        <w:tc>
          <w:tcPr>
            <w:tcW w:w="1836" w:type="dxa"/>
            <w:gridSpan w:val="2"/>
            <w:tcBorders>
              <w:top w:val="nil"/>
              <w:left w:val="nil"/>
              <w:bottom w:val="nil"/>
              <w:right w:val="nil"/>
            </w:tcBorders>
            <w:shd w:val="clear" w:color="auto" w:fill="auto"/>
            <w:noWrap/>
            <w:vAlign w:val="bottom"/>
            <w:hideMark/>
          </w:tcPr>
          <w:p w14:paraId="22D672DC" w14:textId="77777777" w:rsidR="004A08E0" w:rsidRPr="004A08E0" w:rsidRDefault="004A08E0" w:rsidP="004A08E0">
            <w:pPr>
              <w:rPr>
                <w:rFonts w:ascii="Calibri" w:hAnsi="Calibri" w:cs="Calibri"/>
                <w:b/>
                <w:bCs/>
                <w:color w:val="000000"/>
                <w:szCs w:val="22"/>
                <w:lang w:val="en-CA" w:eastAsia="en-CA"/>
              </w:rPr>
            </w:pPr>
          </w:p>
        </w:tc>
      </w:tr>
      <w:tr w:rsidR="004A08E0" w:rsidRPr="004A08E0" w14:paraId="2BF6A23B" w14:textId="77777777" w:rsidTr="00BE236A">
        <w:trPr>
          <w:trHeight w:val="290"/>
        </w:trPr>
        <w:tc>
          <w:tcPr>
            <w:tcW w:w="864" w:type="dxa"/>
            <w:tcBorders>
              <w:top w:val="nil"/>
              <w:left w:val="nil"/>
              <w:bottom w:val="nil"/>
              <w:right w:val="nil"/>
            </w:tcBorders>
            <w:shd w:val="clear" w:color="auto" w:fill="auto"/>
            <w:noWrap/>
            <w:vAlign w:val="bottom"/>
            <w:hideMark/>
          </w:tcPr>
          <w:p w14:paraId="01A3A1EC" w14:textId="77777777" w:rsidR="004A08E0" w:rsidRPr="004A08E0" w:rsidRDefault="004A08E0" w:rsidP="004A08E0">
            <w:pPr>
              <w:rPr>
                <w:rFonts w:ascii="Times New Roman" w:hAnsi="Times New Roman"/>
                <w:sz w:val="20"/>
                <w:szCs w:val="20"/>
                <w:lang w:val="en-CA" w:eastAsia="en-CA"/>
              </w:rPr>
            </w:pPr>
          </w:p>
        </w:tc>
        <w:tc>
          <w:tcPr>
            <w:tcW w:w="904" w:type="dxa"/>
            <w:tcBorders>
              <w:top w:val="nil"/>
              <w:left w:val="nil"/>
              <w:bottom w:val="nil"/>
              <w:right w:val="nil"/>
            </w:tcBorders>
            <w:shd w:val="clear" w:color="auto" w:fill="auto"/>
            <w:noWrap/>
            <w:vAlign w:val="bottom"/>
            <w:hideMark/>
          </w:tcPr>
          <w:p w14:paraId="7D878D15"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543C613B"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2B6AEA87"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3FB40B91"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792CA14C"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4034E8D4"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48D4EF8C" w14:textId="77777777" w:rsidR="004A08E0" w:rsidRPr="004A08E0" w:rsidRDefault="004A08E0" w:rsidP="004A08E0">
            <w:pPr>
              <w:rPr>
                <w:rFonts w:ascii="Times New Roman" w:hAnsi="Times New Roman"/>
                <w:sz w:val="20"/>
                <w:szCs w:val="20"/>
                <w:lang w:val="en-CA" w:eastAsia="en-CA"/>
              </w:rPr>
            </w:pPr>
          </w:p>
        </w:tc>
      </w:tr>
      <w:tr w:rsidR="004A08E0" w:rsidRPr="004A08E0" w14:paraId="27B00685" w14:textId="77777777" w:rsidTr="00BE236A">
        <w:trPr>
          <w:trHeight w:val="290"/>
        </w:trPr>
        <w:tc>
          <w:tcPr>
            <w:tcW w:w="864" w:type="dxa"/>
            <w:tcBorders>
              <w:top w:val="nil"/>
              <w:left w:val="nil"/>
              <w:bottom w:val="nil"/>
              <w:right w:val="nil"/>
            </w:tcBorders>
            <w:shd w:val="clear" w:color="auto" w:fill="auto"/>
            <w:noWrap/>
            <w:vAlign w:val="bottom"/>
            <w:hideMark/>
          </w:tcPr>
          <w:p w14:paraId="2FBA7924" w14:textId="77777777" w:rsidR="004A08E0" w:rsidRPr="004A08E0" w:rsidRDefault="004A08E0" w:rsidP="004A08E0">
            <w:pPr>
              <w:rPr>
                <w:rFonts w:ascii="Times New Roman" w:hAnsi="Times New Roman"/>
                <w:sz w:val="20"/>
                <w:szCs w:val="20"/>
                <w:lang w:val="en-CA" w:eastAsia="en-CA"/>
              </w:rPr>
            </w:pPr>
          </w:p>
        </w:tc>
        <w:tc>
          <w:tcPr>
            <w:tcW w:w="904" w:type="dxa"/>
            <w:tcBorders>
              <w:top w:val="nil"/>
              <w:left w:val="nil"/>
              <w:bottom w:val="nil"/>
              <w:right w:val="nil"/>
            </w:tcBorders>
            <w:shd w:val="clear" w:color="auto" w:fill="auto"/>
            <w:noWrap/>
            <w:vAlign w:val="bottom"/>
            <w:hideMark/>
          </w:tcPr>
          <w:p w14:paraId="1FC62D67"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10C87B4C"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762ED2E5"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7D5D958C" w14:textId="77777777" w:rsidR="004A08E0" w:rsidRPr="004A08E0" w:rsidRDefault="004A08E0" w:rsidP="004A08E0">
            <w:pPr>
              <w:rPr>
                <w:rFonts w:ascii="Times New Roman" w:hAnsi="Times New Roman"/>
                <w:sz w:val="20"/>
                <w:szCs w:val="20"/>
                <w:lang w:val="en-CA" w:eastAsia="en-CA"/>
              </w:rPr>
            </w:pPr>
          </w:p>
        </w:tc>
        <w:tc>
          <w:tcPr>
            <w:tcW w:w="2641" w:type="dxa"/>
            <w:gridSpan w:val="3"/>
            <w:tcBorders>
              <w:top w:val="nil"/>
              <w:left w:val="nil"/>
              <w:bottom w:val="nil"/>
              <w:right w:val="nil"/>
            </w:tcBorders>
            <w:shd w:val="clear" w:color="auto" w:fill="auto"/>
            <w:noWrap/>
            <w:vAlign w:val="bottom"/>
            <w:hideMark/>
          </w:tcPr>
          <w:p w14:paraId="0A3F0D87" w14:textId="77777777" w:rsidR="004A08E0" w:rsidRPr="004A08E0" w:rsidRDefault="004A08E0" w:rsidP="004A08E0">
            <w:pPr>
              <w:jc w:val="center"/>
              <w:rPr>
                <w:rFonts w:ascii="Calibri" w:hAnsi="Calibri" w:cs="Calibri"/>
                <w:b/>
                <w:bCs/>
                <w:color w:val="000000"/>
                <w:szCs w:val="22"/>
                <w:lang w:val="en-CA" w:eastAsia="en-CA"/>
              </w:rPr>
            </w:pPr>
            <w:r w:rsidRPr="004A08E0">
              <w:rPr>
                <w:rFonts w:ascii="Calibri" w:hAnsi="Calibri" w:cs="Calibri"/>
                <w:b/>
                <w:bCs/>
                <w:color w:val="000000"/>
                <w:szCs w:val="22"/>
                <w:lang w:val="en-CA" w:eastAsia="en-CA"/>
              </w:rPr>
              <w:t>Three Months</w:t>
            </w:r>
            <w:r>
              <w:rPr>
                <w:rFonts w:ascii="Calibri" w:hAnsi="Calibri" w:cs="Calibri"/>
                <w:b/>
                <w:bCs/>
                <w:color w:val="000000"/>
                <w:szCs w:val="22"/>
                <w:lang w:val="en-CA" w:eastAsia="en-CA"/>
              </w:rPr>
              <w:br/>
            </w:r>
            <w:r w:rsidRPr="004A08E0">
              <w:rPr>
                <w:rFonts w:ascii="Calibri" w:hAnsi="Calibri" w:cs="Calibri"/>
                <w:b/>
                <w:bCs/>
                <w:color w:val="000000"/>
                <w:szCs w:val="22"/>
                <w:lang w:val="en-CA" w:eastAsia="en-CA"/>
              </w:rPr>
              <w:t xml:space="preserve"> ended</w:t>
            </w:r>
            <w:r w:rsidR="009F7745">
              <w:rPr>
                <w:rFonts w:ascii="Calibri" w:hAnsi="Calibri" w:cs="Calibri"/>
                <w:b/>
                <w:bCs/>
                <w:color w:val="000000"/>
                <w:szCs w:val="22"/>
                <w:lang w:val="en-CA" w:eastAsia="en-CA"/>
              </w:rPr>
              <w:br/>
              <w:t>May 31, 2019</w:t>
            </w:r>
          </w:p>
        </w:tc>
        <w:tc>
          <w:tcPr>
            <w:tcW w:w="1836" w:type="dxa"/>
            <w:gridSpan w:val="2"/>
            <w:tcBorders>
              <w:top w:val="nil"/>
              <w:left w:val="nil"/>
              <w:bottom w:val="nil"/>
              <w:right w:val="nil"/>
            </w:tcBorders>
            <w:shd w:val="clear" w:color="auto" w:fill="auto"/>
            <w:noWrap/>
            <w:vAlign w:val="bottom"/>
            <w:hideMark/>
          </w:tcPr>
          <w:p w14:paraId="2FF6BCA6" w14:textId="77777777" w:rsidR="004A08E0" w:rsidRPr="004A08E0" w:rsidRDefault="004A08E0" w:rsidP="004A08E0">
            <w:pPr>
              <w:jc w:val="center"/>
              <w:rPr>
                <w:rFonts w:ascii="Calibri" w:hAnsi="Calibri" w:cs="Calibri"/>
                <w:b/>
                <w:bCs/>
                <w:color w:val="000000"/>
                <w:szCs w:val="22"/>
                <w:lang w:val="en-CA" w:eastAsia="en-CA"/>
              </w:rPr>
            </w:pPr>
            <w:r w:rsidRPr="004A08E0">
              <w:rPr>
                <w:rFonts w:ascii="Calibri" w:hAnsi="Calibri" w:cs="Calibri"/>
                <w:b/>
                <w:bCs/>
                <w:color w:val="000000"/>
                <w:szCs w:val="22"/>
                <w:lang w:val="en-CA" w:eastAsia="en-CA"/>
              </w:rPr>
              <w:t>Nine Months ended</w:t>
            </w:r>
            <w:r w:rsidR="009F7745">
              <w:rPr>
                <w:rFonts w:ascii="Calibri" w:hAnsi="Calibri" w:cs="Calibri"/>
                <w:b/>
                <w:bCs/>
                <w:color w:val="000000"/>
                <w:szCs w:val="22"/>
                <w:lang w:val="en-CA" w:eastAsia="en-CA"/>
              </w:rPr>
              <w:br/>
              <w:t>May 31, 2019</w:t>
            </w:r>
          </w:p>
        </w:tc>
      </w:tr>
      <w:tr w:rsidR="004A08E0" w:rsidRPr="004A08E0" w14:paraId="62594B1E" w14:textId="77777777" w:rsidTr="00BE236A">
        <w:trPr>
          <w:trHeight w:val="290"/>
        </w:trPr>
        <w:tc>
          <w:tcPr>
            <w:tcW w:w="864" w:type="dxa"/>
            <w:tcBorders>
              <w:top w:val="nil"/>
              <w:left w:val="nil"/>
              <w:bottom w:val="nil"/>
              <w:right w:val="nil"/>
            </w:tcBorders>
            <w:shd w:val="clear" w:color="auto" w:fill="auto"/>
            <w:noWrap/>
            <w:vAlign w:val="bottom"/>
            <w:hideMark/>
          </w:tcPr>
          <w:p w14:paraId="26F6EA78" w14:textId="77777777" w:rsidR="004A08E0" w:rsidRPr="004A08E0" w:rsidRDefault="004A08E0" w:rsidP="004A08E0">
            <w:pPr>
              <w:rPr>
                <w:rFonts w:ascii="Calibri" w:hAnsi="Calibri" w:cs="Calibri"/>
                <w:b/>
                <w:bCs/>
                <w:color w:val="000000"/>
                <w:szCs w:val="22"/>
                <w:lang w:val="en-CA" w:eastAsia="en-CA"/>
              </w:rPr>
            </w:pPr>
          </w:p>
        </w:tc>
        <w:tc>
          <w:tcPr>
            <w:tcW w:w="904" w:type="dxa"/>
            <w:tcBorders>
              <w:top w:val="nil"/>
              <w:left w:val="nil"/>
              <w:bottom w:val="nil"/>
              <w:right w:val="nil"/>
            </w:tcBorders>
            <w:shd w:val="clear" w:color="auto" w:fill="auto"/>
            <w:noWrap/>
            <w:vAlign w:val="bottom"/>
            <w:hideMark/>
          </w:tcPr>
          <w:p w14:paraId="698DC260"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7E66D355"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49C66AC0"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5BFA1FCA"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25A272A2" w14:textId="77777777" w:rsidR="004A08E0" w:rsidRPr="004A08E0" w:rsidRDefault="004A08E0" w:rsidP="004A08E0">
            <w:pPr>
              <w:jc w:val="cente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tcPr>
          <w:p w14:paraId="64147A0E" w14:textId="77777777" w:rsidR="004A08E0" w:rsidRPr="004A08E0" w:rsidRDefault="004A08E0" w:rsidP="004A08E0">
            <w:pPr>
              <w:jc w:val="center"/>
              <w:rPr>
                <w:rFonts w:ascii="Calibri" w:hAnsi="Calibri" w:cs="Calibri"/>
                <w:b/>
                <w:bCs/>
                <w:color w:val="000000"/>
                <w:szCs w:val="22"/>
                <w:lang w:val="en-CA" w:eastAsia="en-CA"/>
              </w:rPr>
            </w:pPr>
          </w:p>
        </w:tc>
        <w:tc>
          <w:tcPr>
            <w:tcW w:w="1836" w:type="dxa"/>
            <w:gridSpan w:val="2"/>
            <w:tcBorders>
              <w:top w:val="nil"/>
              <w:left w:val="nil"/>
              <w:bottom w:val="nil"/>
              <w:right w:val="nil"/>
            </w:tcBorders>
            <w:shd w:val="clear" w:color="auto" w:fill="auto"/>
            <w:noWrap/>
            <w:vAlign w:val="bottom"/>
          </w:tcPr>
          <w:p w14:paraId="009B56B0" w14:textId="77777777" w:rsidR="004A08E0" w:rsidRPr="004A08E0" w:rsidRDefault="004A08E0" w:rsidP="004A08E0">
            <w:pPr>
              <w:jc w:val="center"/>
              <w:rPr>
                <w:rFonts w:ascii="Calibri" w:hAnsi="Calibri" w:cs="Calibri"/>
                <w:b/>
                <w:bCs/>
                <w:color w:val="000000"/>
                <w:szCs w:val="22"/>
                <w:lang w:val="en-CA" w:eastAsia="en-CA"/>
              </w:rPr>
            </w:pPr>
          </w:p>
        </w:tc>
      </w:tr>
      <w:tr w:rsidR="004A08E0" w:rsidRPr="004A08E0" w14:paraId="4E5CD065" w14:textId="77777777" w:rsidTr="00BE236A">
        <w:trPr>
          <w:trHeight w:val="290"/>
        </w:trPr>
        <w:tc>
          <w:tcPr>
            <w:tcW w:w="864" w:type="dxa"/>
            <w:tcBorders>
              <w:top w:val="nil"/>
              <w:left w:val="nil"/>
              <w:bottom w:val="nil"/>
              <w:right w:val="nil"/>
            </w:tcBorders>
            <w:shd w:val="clear" w:color="auto" w:fill="auto"/>
            <w:noWrap/>
            <w:vAlign w:val="bottom"/>
            <w:hideMark/>
          </w:tcPr>
          <w:p w14:paraId="16A3AC0C" w14:textId="77777777" w:rsidR="004A08E0" w:rsidRPr="004A08E0" w:rsidRDefault="004A08E0" w:rsidP="004A08E0">
            <w:pPr>
              <w:jc w:val="right"/>
              <w:rPr>
                <w:rFonts w:ascii="Calibri" w:hAnsi="Calibri" w:cs="Calibri"/>
                <w:b/>
                <w:bCs/>
                <w:color w:val="000000"/>
                <w:szCs w:val="22"/>
                <w:lang w:val="en-CA" w:eastAsia="en-CA"/>
              </w:rPr>
            </w:pPr>
          </w:p>
        </w:tc>
        <w:tc>
          <w:tcPr>
            <w:tcW w:w="2710" w:type="dxa"/>
            <w:gridSpan w:val="3"/>
            <w:tcBorders>
              <w:top w:val="nil"/>
              <w:left w:val="nil"/>
              <w:bottom w:val="nil"/>
              <w:right w:val="nil"/>
            </w:tcBorders>
            <w:shd w:val="clear" w:color="auto" w:fill="auto"/>
            <w:noWrap/>
            <w:vAlign w:val="bottom"/>
            <w:hideMark/>
          </w:tcPr>
          <w:p w14:paraId="200C07C0"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CASH PROVIDED BY (Used in)</w:t>
            </w:r>
          </w:p>
        </w:tc>
        <w:tc>
          <w:tcPr>
            <w:tcW w:w="994" w:type="dxa"/>
            <w:tcBorders>
              <w:top w:val="nil"/>
              <w:left w:val="nil"/>
              <w:bottom w:val="nil"/>
              <w:right w:val="nil"/>
            </w:tcBorders>
            <w:shd w:val="clear" w:color="auto" w:fill="auto"/>
            <w:noWrap/>
            <w:vAlign w:val="bottom"/>
            <w:hideMark/>
          </w:tcPr>
          <w:p w14:paraId="08921DDB" w14:textId="77777777" w:rsidR="004A08E0" w:rsidRPr="004A08E0" w:rsidRDefault="004A08E0" w:rsidP="004A08E0">
            <w:pPr>
              <w:rPr>
                <w:rFonts w:ascii="Calibri" w:hAnsi="Calibri" w:cs="Calibri"/>
                <w:b/>
                <w:bCs/>
                <w:color w:val="000000"/>
                <w:szCs w:val="22"/>
                <w:lang w:val="en-CA" w:eastAsia="en-CA"/>
              </w:rPr>
            </w:pPr>
          </w:p>
        </w:tc>
        <w:tc>
          <w:tcPr>
            <w:tcW w:w="1282" w:type="dxa"/>
            <w:tcBorders>
              <w:top w:val="nil"/>
              <w:left w:val="nil"/>
              <w:bottom w:val="nil"/>
              <w:right w:val="nil"/>
            </w:tcBorders>
            <w:shd w:val="clear" w:color="auto" w:fill="auto"/>
            <w:noWrap/>
            <w:vAlign w:val="bottom"/>
            <w:hideMark/>
          </w:tcPr>
          <w:p w14:paraId="68900A83"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78F02704"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3015C615" w14:textId="77777777" w:rsidR="004A08E0" w:rsidRPr="004A08E0" w:rsidRDefault="004A08E0" w:rsidP="004A08E0">
            <w:pPr>
              <w:rPr>
                <w:rFonts w:ascii="Times New Roman" w:hAnsi="Times New Roman"/>
                <w:sz w:val="20"/>
                <w:szCs w:val="20"/>
                <w:lang w:val="en-CA" w:eastAsia="en-CA"/>
              </w:rPr>
            </w:pPr>
          </w:p>
        </w:tc>
      </w:tr>
      <w:tr w:rsidR="004A08E0" w:rsidRPr="004A08E0" w14:paraId="48C51356" w14:textId="77777777" w:rsidTr="00BE236A">
        <w:trPr>
          <w:trHeight w:val="290"/>
        </w:trPr>
        <w:tc>
          <w:tcPr>
            <w:tcW w:w="864" w:type="dxa"/>
            <w:tcBorders>
              <w:top w:val="nil"/>
              <w:left w:val="nil"/>
              <w:bottom w:val="nil"/>
              <w:right w:val="nil"/>
            </w:tcBorders>
            <w:shd w:val="clear" w:color="auto" w:fill="auto"/>
            <w:noWrap/>
            <w:vAlign w:val="bottom"/>
            <w:hideMark/>
          </w:tcPr>
          <w:p w14:paraId="59B39871" w14:textId="77777777" w:rsidR="004A08E0" w:rsidRPr="004A08E0" w:rsidRDefault="004A08E0" w:rsidP="004A08E0">
            <w:pPr>
              <w:rPr>
                <w:rFonts w:ascii="Times New Roman" w:hAnsi="Times New Roman"/>
                <w:sz w:val="20"/>
                <w:szCs w:val="20"/>
                <w:lang w:val="en-CA" w:eastAsia="en-CA"/>
              </w:rPr>
            </w:pPr>
          </w:p>
        </w:tc>
        <w:tc>
          <w:tcPr>
            <w:tcW w:w="1807" w:type="dxa"/>
            <w:gridSpan w:val="2"/>
            <w:tcBorders>
              <w:top w:val="nil"/>
              <w:left w:val="nil"/>
              <w:bottom w:val="nil"/>
              <w:right w:val="nil"/>
            </w:tcBorders>
            <w:shd w:val="clear" w:color="auto" w:fill="auto"/>
            <w:noWrap/>
            <w:vAlign w:val="bottom"/>
            <w:hideMark/>
          </w:tcPr>
          <w:p w14:paraId="59EC1A84"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 xml:space="preserve">Operating </w:t>
            </w:r>
            <w:proofErr w:type="spellStart"/>
            <w:r w:rsidRPr="004A08E0">
              <w:rPr>
                <w:rFonts w:ascii="Calibri" w:hAnsi="Calibri" w:cs="Calibri"/>
                <w:b/>
                <w:bCs/>
                <w:color w:val="000000"/>
                <w:szCs w:val="22"/>
                <w:lang w:val="en-CA" w:eastAsia="en-CA"/>
              </w:rPr>
              <w:t>Activites</w:t>
            </w:r>
            <w:proofErr w:type="spellEnd"/>
          </w:p>
        </w:tc>
        <w:tc>
          <w:tcPr>
            <w:tcW w:w="903" w:type="dxa"/>
            <w:tcBorders>
              <w:top w:val="nil"/>
              <w:left w:val="nil"/>
              <w:bottom w:val="nil"/>
              <w:right w:val="nil"/>
            </w:tcBorders>
            <w:shd w:val="clear" w:color="auto" w:fill="auto"/>
            <w:noWrap/>
            <w:vAlign w:val="bottom"/>
            <w:hideMark/>
          </w:tcPr>
          <w:p w14:paraId="51C21045" w14:textId="77777777" w:rsidR="004A08E0" w:rsidRPr="004A08E0" w:rsidRDefault="004A08E0" w:rsidP="004A08E0">
            <w:pPr>
              <w:rPr>
                <w:rFonts w:ascii="Calibri" w:hAnsi="Calibri" w:cs="Calibri"/>
                <w:b/>
                <w:bCs/>
                <w:color w:val="000000"/>
                <w:szCs w:val="22"/>
                <w:lang w:val="en-CA" w:eastAsia="en-CA"/>
              </w:rPr>
            </w:pPr>
          </w:p>
        </w:tc>
        <w:tc>
          <w:tcPr>
            <w:tcW w:w="994" w:type="dxa"/>
            <w:tcBorders>
              <w:top w:val="nil"/>
              <w:left w:val="nil"/>
              <w:bottom w:val="nil"/>
              <w:right w:val="nil"/>
            </w:tcBorders>
            <w:shd w:val="clear" w:color="auto" w:fill="auto"/>
            <w:noWrap/>
            <w:vAlign w:val="bottom"/>
            <w:hideMark/>
          </w:tcPr>
          <w:p w14:paraId="1CF70A80"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4C5A8566"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47BC7D09"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25159A16" w14:textId="77777777" w:rsidR="004A08E0" w:rsidRPr="004A08E0" w:rsidRDefault="004A08E0" w:rsidP="004A08E0">
            <w:pPr>
              <w:rPr>
                <w:rFonts w:ascii="Times New Roman" w:hAnsi="Times New Roman"/>
                <w:sz w:val="20"/>
                <w:szCs w:val="20"/>
                <w:lang w:val="en-CA" w:eastAsia="en-CA"/>
              </w:rPr>
            </w:pPr>
          </w:p>
        </w:tc>
      </w:tr>
      <w:tr w:rsidR="004A08E0" w:rsidRPr="004A08E0" w14:paraId="1449557F" w14:textId="77777777" w:rsidTr="00BE236A">
        <w:trPr>
          <w:gridAfter w:val="1"/>
          <w:wAfter w:w="530" w:type="dxa"/>
          <w:trHeight w:val="290"/>
        </w:trPr>
        <w:tc>
          <w:tcPr>
            <w:tcW w:w="864" w:type="dxa"/>
            <w:tcBorders>
              <w:top w:val="nil"/>
              <w:left w:val="nil"/>
              <w:bottom w:val="nil"/>
              <w:right w:val="nil"/>
            </w:tcBorders>
            <w:shd w:val="clear" w:color="auto" w:fill="auto"/>
            <w:noWrap/>
            <w:vAlign w:val="bottom"/>
            <w:hideMark/>
          </w:tcPr>
          <w:p w14:paraId="4B839FCF" w14:textId="77777777" w:rsidR="004A08E0" w:rsidRPr="004A08E0" w:rsidRDefault="004A08E0" w:rsidP="004A08E0">
            <w:pPr>
              <w:rPr>
                <w:rFonts w:ascii="Times New Roman" w:hAnsi="Times New Roman"/>
                <w:sz w:val="20"/>
                <w:szCs w:val="20"/>
                <w:lang w:val="en-CA" w:eastAsia="en-CA"/>
              </w:rPr>
            </w:pPr>
          </w:p>
        </w:tc>
        <w:tc>
          <w:tcPr>
            <w:tcW w:w="904" w:type="dxa"/>
            <w:tcBorders>
              <w:top w:val="nil"/>
              <w:left w:val="nil"/>
              <w:bottom w:val="nil"/>
              <w:right w:val="nil"/>
            </w:tcBorders>
            <w:shd w:val="clear" w:color="auto" w:fill="auto"/>
            <w:noWrap/>
            <w:vAlign w:val="bottom"/>
            <w:hideMark/>
          </w:tcPr>
          <w:p w14:paraId="1396B2AD" w14:textId="77777777" w:rsidR="004A08E0" w:rsidRPr="004A08E0" w:rsidRDefault="004A08E0" w:rsidP="004A08E0">
            <w:pPr>
              <w:rPr>
                <w:rFonts w:ascii="Times New Roman" w:hAnsi="Times New Roman"/>
                <w:sz w:val="20"/>
                <w:szCs w:val="20"/>
                <w:lang w:val="en-CA" w:eastAsia="en-CA"/>
              </w:rPr>
            </w:pPr>
          </w:p>
        </w:tc>
        <w:tc>
          <w:tcPr>
            <w:tcW w:w="2800" w:type="dxa"/>
            <w:gridSpan w:val="3"/>
            <w:tcBorders>
              <w:top w:val="nil"/>
              <w:left w:val="nil"/>
              <w:bottom w:val="nil"/>
              <w:right w:val="nil"/>
            </w:tcBorders>
            <w:shd w:val="clear" w:color="auto" w:fill="auto"/>
            <w:noWrap/>
            <w:vAlign w:val="bottom"/>
            <w:hideMark/>
          </w:tcPr>
          <w:p w14:paraId="17514E99"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Net loss for the period</w:t>
            </w:r>
          </w:p>
        </w:tc>
        <w:tc>
          <w:tcPr>
            <w:tcW w:w="1282" w:type="dxa"/>
            <w:tcBorders>
              <w:top w:val="nil"/>
              <w:left w:val="nil"/>
              <w:bottom w:val="nil"/>
              <w:right w:val="nil"/>
            </w:tcBorders>
            <w:shd w:val="clear" w:color="auto" w:fill="auto"/>
            <w:noWrap/>
            <w:vAlign w:val="bottom"/>
            <w:hideMark/>
          </w:tcPr>
          <w:p w14:paraId="2540FC74" w14:textId="77777777" w:rsidR="004A08E0" w:rsidRPr="004A08E0" w:rsidRDefault="004A08E0" w:rsidP="004A08E0">
            <w:pPr>
              <w:rPr>
                <w:rFonts w:ascii="Calibri" w:hAnsi="Calibri" w:cs="Calibri"/>
                <w:color w:val="000000"/>
                <w:szCs w:val="22"/>
                <w:lang w:val="en-CA" w:eastAsia="en-CA"/>
              </w:rPr>
            </w:pPr>
          </w:p>
        </w:tc>
        <w:tc>
          <w:tcPr>
            <w:tcW w:w="829" w:type="dxa"/>
            <w:tcBorders>
              <w:top w:val="nil"/>
              <w:left w:val="nil"/>
              <w:bottom w:val="nil"/>
              <w:right w:val="nil"/>
            </w:tcBorders>
            <w:shd w:val="clear" w:color="auto" w:fill="auto"/>
            <w:noWrap/>
            <w:vAlign w:val="bottom"/>
            <w:hideMark/>
          </w:tcPr>
          <w:p w14:paraId="4921C2CF"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-27,550</w:t>
            </w:r>
          </w:p>
        </w:tc>
        <w:tc>
          <w:tcPr>
            <w:tcW w:w="1836" w:type="dxa"/>
            <w:gridSpan w:val="2"/>
            <w:tcBorders>
              <w:top w:val="nil"/>
              <w:left w:val="nil"/>
              <w:bottom w:val="nil"/>
              <w:right w:val="nil"/>
            </w:tcBorders>
            <w:shd w:val="clear" w:color="auto" w:fill="auto"/>
            <w:noWrap/>
            <w:vAlign w:val="bottom"/>
            <w:hideMark/>
          </w:tcPr>
          <w:p w14:paraId="2F3B62C8"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-81,631</w:t>
            </w:r>
          </w:p>
        </w:tc>
      </w:tr>
      <w:tr w:rsidR="004A08E0" w:rsidRPr="004A08E0" w14:paraId="00CED0F2" w14:textId="77777777" w:rsidTr="00BE236A">
        <w:trPr>
          <w:trHeight w:val="290"/>
        </w:trPr>
        <w:tc>
          <w:tcPr>
            <w:tcW w:w="864" w:type="dxa"/>
            <w:tcBorders>
              <w:top w:val="nil"/>
              <w:left w:val="nil"/>
              <w:bottom w:val="nil"/>
              <w:right w:val="nil"/>
            </w:tcBorders>
            <w:shd w:val="clear" w:color="auto" w:fill="auto"/>
            <w:noWrap/>
            <w:vAlign w:val="bottom"/>
            <w:hideMark/>
          </w:tcPr>
          <w:p w14:paraId="5C619D83"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27E48328"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048863D6"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7F6AB519"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3BB26E4D"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473E614E"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3F27C54D"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73C8FE40" w14:textId="77777777" w:rsidR="004A08E0" w:rsidRPr="004A08E0" w:rsidRDefault="004A08E0" w:rsidP="004A08E0">
            <w:pPr>
              <w:rPr>
                <w:rFonts w:ascii="Times New Roman" w:hAnsi="Times New Roman"/>
                <w:sz w:val="20"/>
                <w:szCs w:val="20"/>
                <w:lang w:val="en-CA" w:eastAsia="en-CA"/>
              </w:rPr>
            </w:pPr>
          </w:p>
        </w:tc>
      </w:tr>
      <w:tr w:rsidR="004A08E0" w:rsidRPr="004A08E0" w14:paraId="7814DAEC" w14:textId="77777777" w:rsidTr="00BE236A">
        <w:trPr>
          <w:trHeight w:val="290"/>
        </w:trPr>
        <w:tc>
          <w:tcPr>
            <w:tcW w:w="864" w:type="dxa"/>
            <w:tcBorders>
              <w:top w:val="nil"/>
              <w:left w:val="nil"/>
              <w:bottom w:val="nil"/>
              <w:right w:val="nil"/>
            </w:tcBorders>
            <w:shd w:val="clear" w:color="auto" w:fill="auto"/>
            <w:noWrap/>
            <w:vAlign w:val="bottom"/>
            <w:hideMark/>
          </w:tcPr>
          <w:p w14:paraId="1932726A" w14:textId="77777777" w:rsidR="004A08E0" w:rsidRPr="004A08E0" w:rsidRDefault="004A08E0" w:rsidP="004A08E0">
            <w:pPr>
              <w:rPr>
                <w:rFonts w:ascii="Times New Roman" w:hAnsi="Times New Roman"/>
                <w:sz w:val="20"/>
                <w:szCs w:val="20"/>
                <w:lang w:val="en-CA" w:eastAsia="en-CA"/>
              </w:rPr>
            </w:pPr>
          </w:p>
        </w:tc>
        <w:tc>
          <w:tcPr>
            <w:tcW w:w="904" w:type="dxa"/>
            <w:tcBorders>
              <w:top w:val="nil"/>
              <w:left w:val="nil"/>
              <w:bottom w:val="nil"/>
              <w:right w:val="nil"/>
            </w:tcBorders>
            <w:shd w:val="clear" w:color="auto" w:fill="auto"/>
            <w:noWrap/>
            <w:vAlign w:val="bottom"/>
            <w:hideMark/>
          </w:tcPr>
          <w:p w14:paraId="3F5BFD36" w14:textId="77777777" w:rsidR="004A08E0" w:rsidRPr="004A08E0" w:rsidRDefault="004A08E0" w:rsidP="004A08E0">
            <w:pPr>
              <w:rPr>
                <w:rFonts w:ascii="Times New Roman" w:hAnsi="Times New Roman"/>
                <w:sz w:val="20"/>
                <w:szCs w:val="20"/>
                <w:lang w:val="en-CA" w:eastAsia="en-CA"/>
              </w:rPr>
            </w:pPr>
          </w:p>
        </w:tc>
        <w:tc>
          <w:tcPr>
            <w:tcW w:w="4082" w:type="dxa"/>
            <w:gridSpan w:val="4"/>
            <w:tcBorders>
              <w:top w:val="nil"/>
              <w:left w:val="nil"/>
              <w:bottom w:val="nil"/>
              <w:right w:val="nil"/>
            </w:tcBorders>
            <w:shd w:val="clear" w:color="auto" w:fill="auto"/>
            <w:noWrap/>
            <w:vAlign w:val="bottom"/>
            <w:hideMark/>
          </w:tcPr>
          <w:p w14:paraId="470DE881"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Adjustments to reconcile Net Income</w:t>
            </w:r>
          </w:p>
        </w:tc>
        <w:tc>
          <w:tcPr>
            <w:tcW w:w="1359" w:type="dxa"/>
            <w:gridSpan w:val="2"/>
            <w:tcBorders>
              <w:top w:val="nil"/>
              <w:left w:val="nil"/>
              <w:bottom w:val="nil"/>
              <w:right w:val="nil"/>
            </w:tcBorders>
            <w:shd w:val="clear" w:color="auto" w:fill="auto"/>
            <w:noWrap/>
            <w:vAlign w:val="bottom"/>
            <w:hideMark/>
          </w:tcPr>
          <w:p w14:paraId="7B9D83F6" w14:textId="77777777" w:rsidR="004A08E0" w:rsidRPr="004A08E0" w:rsidRDefault="004A08E0" w:rsidP="004A08E0">
            <w:pPr>
              <w:rPr>
                <w:rFonts w:ascii="Calibri" w:hAnsi="Calibri" w:cs="Calibri"/>
                <w:color w:val="000000"/>
                <w:szCs w:val="22"/>
                <w:lang w:val="en-CA" w:eastAsia="en-CA"/>
              </w:rPr>
            </w:pPr>
          </w:p>
        </w:tc>
        <w:tc>
          <w:tcPr>
            <w:tcW w:w="1836" w:type="dxa"/>
            <w:gridSpan w:val="2"/>
            <w:tcBorders>
              <w:top w:val="nil"/>
              <w:left w:val="nil"/>
              <w:bottom w:val="nil"/>
              <w:right w:val="nil"/>
            </w:tcBorders>
            <w:shd w:val="clear" w:color="auto" w:fill="auto"/>
            <w:noWrap/>
            <w:vAlign w:val="bottom"/>
            <w:hideMark/>
          </w:tcPr>
          <w:p w14:paraId="64DC722B" w14:textId="77777777" w:rsidR="004A08E0" w:rsidRPr="004A08E0" w:rsidRDefault="004A08E0" w:rsidP="004A08E0">
            <w:pPr>
              <w:rPr>
                <w:rFonts w:ascii="Times New Roman" w:hAnsi="Times New Roman"/>
                <w:sz w:val="20"/>
                <w:szCs w:val="20"/>
                <w:lang w:val="en-CA" w:eastAsia="en-CA"/>
              </w:rPr>
            </w:pPr>
          </w:p>
        </w:tc>
      </w:tr>
      <w:tr w:rsidR="004A08E0" w:rsidRPr="004A08E0" w14:paraId="55EC7084" w14:textId="77777777" w:rsidTr="00BE236A">
        <w:trPr>
          <w:trHeight w:val="290"/>
        </w:trPr>
        <w:tc>
          <w:tcPr>
            <w:tcW w:w="864" w:type="dxa"/>
            <w:tcBorders>
              <w:top w:val="nil"/>
              <w:left w:val="nil"/>
              <w:bottom w:val="nil"/>
              <w:right w:val="nil"/>
            </w:tcBorders>
            <w:shd w:val="clear" w:color="auto" w:fill="auto"/>
            <w:noWrap/>
            <w:vAlign w:val="bottom"/>
            <w:hideMark/>
          </w:tcPr>
          <w:p w14:paraId="531F80E0" w14:textId="77777777" w:rsidR="004A08E0" w:rsidRPr="004A08E0" w:rsidRDefault="004A08E0" w:rsidP="004A08E0">
            <w:pPr>
              <w:rPr>
                <w:rFonts w:ascii="Times New Roman" w:hAnsi="Times New Roman"/>
                <w:sz w:val="20"/>
                <w:szCs w:val="20"/>
                <w:lang w:val="en-CA" w:eastAsia="en-CA"/>
              </w:rPr>
            </w:pPr>
          </w:p>
        </w:tc>
        <w:tc>
          <w:tcPr>
            <w:tcW w:w="904" w:type="dxa"/>
            <w:tcBorders>
              <w:top w:val="nil"/>
              <w:left w:val="nil"/>
              <w:bottom w:val="nil"/>
              <w:right w:val="nil"/>
            </w:tcBorders>
            <w:shd w:val="clear" w:color="auto" w:fill="auto"/>
            <w:noWrap/>
            <w:vAlign w:val="bottom"/>
            <w:hideMark/>
          </w:tcPr>
          <w:p w14:paraId="7A9FF600" w14:textId="77777777" w:rsidR="004A08E0" w:rsidRPr="004A08E0" w:rsidRDefault="004A08E0" w:rsidP="004A08E0">
            <w:pPr>
              <w:rPr>
                <w:rFonts w:ascii="Times New Roman" w:hAnsi="Times New Roman"/>
                <w:sz w:val="20"/>
                <w:szCs w:val="20"/>
                <w:lang w:val="en-CA" w:eastAsia="en-CA"/>
              </w:rPr>
            </w:pPr>
          </w:p>
        </w:tc>
        <w:tc>
          <w:tcPr>
            <w:tcW w:w="4082" w:type="dxa"/>
            <w:gridSpan w:val="4"/>
            <w:tcBorders>
              <w:top w:val="nil"/>
              <w:left w:val="nil"/>
              <w:bottom w:val="nil"/>
              <w:right w:val="nil"/>
            </w:tcBorders>
            <w:shd w:val="clear" w:color="auto" w:fill="auto"/>
            <w:noWrap/>
            <w:vAlign w:val="bottom"/>
            <w:hideMark/>
          </w:tcPr>
          <w:p w14:paraId="65AD5C07"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to net cash provided by operations:</w:t>
            </w:r>
          </w:p>
        </w:tc>
        <w:tc>
          <w:tcPr>
            <w:tcW w:w="1359" w:type="dxa"/>
            <w:gridSpan w:val="2"/>
            <w:tcBorders>
              <w:top w:val="nil"/>
              <w:left w:val="nil"/>
              <w:bottom w:val="nil"/>
              <w:right w:val="nil"/>
            </w:tcBorders>
            <w:shd w:val="clear" w:color="auto" w:fill="auto"/>
            <w:noWrap/>
            <w:vAlign w:val="bottom"/>
            <w:hideMark/>
          </w:tcPr>
          <w:p w14:paraId="46B06676" w14:textId="77777777" w:rsidR="004A08E0" w:rsidRPr="004A08E0" w:rsidRDefault="004A08E0" w:rsidP="004A08E0">
            <w:pPr>
              <w:rPr>
                <w:rFonts w:ascii="Calibri" w:hAnsi="Calibri" w:cs="Calibri"/>
                <w:color w:val="000000"/>
                <w:szCs w:val="22"/>
                <w:lang w:val="en-CA" w:eastAsia="en-CA"/>
              </w:rPr>
            </w:pPr>
          </w:p>
        </w:tc>
        <w:tc>
          <w:tcPr>
            <w:tcW w:w="1836" w:type="dxa"/>
            <w:gridSpan w:val="2"/>
            <w:tcBorders>
              <w:top w:val="nil"/>
              <w:left w:val="nil"/>
              <w:bottom w:val="nil"/>
              <w:right w:val="nil"/>
            </w:tcBorders>
            <w:shd w:val="clear" w:color="auto" w:fill="auto"/>
            <w:noWrap/>
            <w:vAlign w:val="bottom"/>
            <w:hideMark/>
          </w:tcPr>
          <w:p w14:paraId="7857A89C" w14:textId="77777777" w:rsidR="004A08E0" w:rsidRPr="004A08E0" w:rsidRDefault="004A08E0" w:rsidP="004A08E0">
            <w:pPr>
              <w:rPr>
                <w:rFonts w:ascii="Times New Roman" w:hAnsi="Times New Roman"/>
                <w:sz w:val="20"/>
                <w:szCs w:val="20"/>
                <w:lang w:val="en-CA" w:eastAsia="en-CA"/>
              </w:rPr>
            </w:pPr>
          </w:p>
        </w:tc>
      </w:tr>
      <w:tr w:rsidR="004A08E0" w:rsidRPr="004A08E0" w14:paraId="0628F5AE" w14:textId="77777777" w:rsidTr="00BE236A">
        <w:trPr>
          <w:trHeight w:val="290"/>
        </w:trPr>
        <w:tc>
          <w:tcPr>
            <w:tcW w:w="864" w:type="dxa"/>
            <w:tcBorders>
              <w:top w:val="nil"/>
              <w:left w:val="nil"/>
              <w:bottom w:val="nil"/>
              <w:right w:val="nil"/>
            </w:tcBorders>
            <w:shd w:val="clear" w:color="auto" w:fill="auto"/>
            <w:noWrap/>
            <w:vAlign w:val="bottom"/>
            <w:hideMark/>
          </w:tcPr>
          <w:p w14:paraId="6AA55DEE" w14:textId="77777777" w:rsidR="004A08E0" w:rsidRPr="004A08E0" w:rsidRDefault="004A08E0" w:rsidP="004A08E0">
            <w:pPr>
              <w:rPr>
                <w:rFonts w:ascii="Times New Roman" w:hAnsi="Times New Roman"/>
                <w:sz w:val="20"/>
                <w:szCs w:val="20"/>
                <w:lang w:val="en-CA" w:eastAsia="en-CA"/>
              </w:rPr>
            </w:pPr>
          </w:p>
        </w:tc>
        <w:tc>
          <w:tcPr>
            <w:tcW w:w="904" w:type="dxa"/>
            <w:tcBorders>
              <w:top w:val="nil"/>
              <w:left w:val="nil"/>
              <w:bottom w:val="nil"/>
              <w:right w:val="nil"/>
            </w:tcBorders>
            <w:shd w:val="clear" w:color="auto" w:fill="auto"/>
            <w:noWrap/>
            <w:vAlign w:val="bottom"/>
            <w:hideMark/>
          </w:tcPr>
          <w:p w14:paraId="65115577"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6508A68C" w14:textId="77777777" w:rsidR="004A08E0" w:rsidRPr="004A08E0" w:rsidRDefault="004A08E0" w:rsidP="004A08E0">
            <w:pPr>
              <w:rPr>
                <w:rFonts w:ascii="Times New Roman" w:hAnsi="Times New Roman"/>
                <w:sz w:val="20"/>
                <w:szCs w:val="20"/>
                <w:lang w:val="en-CA" w:eastAsia="en-CA"/>
              </w:rPr>
            </w:pPr>
          </w:p>
        </w:tc>
        <w:tc>
          <w:tcPr>
            <w:tcW w:w="1897" w:type="dxa"/>
            <w:gridSpan w:val="2"/>
            <w:tcBorders>
              <w:top w:val="nil"/>
              <w:left w:val="nil"/>
              <w:bottom w:val="nil"/>
              <w:right w:val="nil"/>
            </w:tcBorders>
            <w:shd w:val="clear" w:color="auto" w:fill="auto"/>
            <w:noWrap/>
            <w:vAlign w:val="bottom"/>
            <w:hideMark/>
          </w:tcPr>
          <w:p w14:paraId="17EA2D6A"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Accounts re</w:t>
            </w:r>
            <w:r w:rsidR="009F7745">
              <w:rPr>
                <w:rFonts w:ascii="Calibri" w:hAnsi="Calibri" w:cs="Calibri"/>
                <w:color w:val="000000"/>
                <w:szCs w:val="22"/>
                <w:lang w:val="en-CA" w:eastAsia="en-CA"/>
              </w:rPr>
              <w:t>ceiv</w:t>
            </w:r>
            <w:r w:rsidRPr="004A08E0">
              <w:rPr>
                <w:rFonts w:ascii="Calibri" w:hAnsi="Calibri" w:cs="Calibri"/>
                <w:color w:val="000000"/>
                <w:szCs w:val="22"/>
                <w:lang w:val="en-CA" w:eastAsia="en-CA"/>
              </w:rPr>
              <w:t>able</w:t>
            </w:r>
          </w:p>
        </w:tc>
        <w:tc>
          <w:tcPr>
            <w:tcW w:w="1282" w:type="dxa"/>
            <w:tcBorders>
              <w:top w:val="nil"/>
              <w:left w:val="nil"/>
              <w:bottom w:val="nil"/>
              <w:right w:val="nil"/>
            </w:tcBorders>
            <w:shd w:val="clear" w:color="auto" w:fill="auto"/>
            <w:noWrap/>
            <w:vAlign w:val="bottom"/>
            <w:hideMark/>
          </w:tcPr>
          <w:p w14:paraId="0DDD0C35" w14:textId="77777777" w:rsidR="004A08E0" w:rsidRPr="004A08E0" w:rsidRDefault="004A08E0" w:rsidP="004A08E0">
            <w:pPr>
              <w:rPr>
                <w:rFonts w:ascii="Calibri" w:hAnsi="Calibri" w:cs="Calibri"/>
                <w:color w:val="000000"/>
                <w:szCs w:val="22"/>
                <w:lang w:val="en-CA" w:eastAsia="en-CA"/>
              </w:rPr>
            </w:pPr>
          </w:p>
        </w:tc>
        <w:tc>
          <w:tcPr>
            <w:tcW w:w="1359" w:type="dxa"/>
            <w:gridSpan w:val="2"/>
            <w:tcBorders>
              <w:top w:val="nil"/>
              <w:left w:val="nil"/>
              <w:bottom w:val="nil"/>
              <w:right w:val="nil"/>
            </w:tcBorders>
            <w:shd w:val="clear" w:color="auto" w:fill="auto"/>
            <w:noWrap/>
            <w:vAlign w:val="bottom"/>
            <w:hideMark/>
          </w:tcPr>
          <w:p w14:paraId="742A18C7"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0E058E18"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14,500</w:t>
            </w:r>
          </w:p>
        </w:tc>
      </w:tr>
      <w:tr w:rsidR="004A08E0" w:rsidRPr="004A08E0" w14:paraId="56A4A108" w14:textId="77777777" w:rsidTr="00BE236A">
        <w:trPr>
          <w:trHeight w:val="290"/>
        </w:trPr>
        <w:tc>
          <w:tcPr>
            <w:tcW w:w="864" w:type="dxa"/>
            <w:tcBorders>
              <w:top w:val="nil"/>
              <w:left w:val="nil"/>
              <w:bottom w:val="nil"/>
              <w:right w:val="nil"/>
            </w:tcBorders>
            <w:shd w:val="clear" w:color="auto" w:fill="auto"/>
            <w:noWrap/>
            <w:vAlign w:val="bottom"/>
            <w:hideMark/>
          </w:tcPr>
          <w:p w14:paraId="6C65C835"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17BE9BB5"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06682B60" w14:textId="77777777" w:rsidR="004A08E0" w:rsidRPr="004A08E0" w:rsidRDefault="004A08E0" w:rsidP="004A08E0">
            <w:pPr>
              <w:rPr>
                <w:rFonts w:ascii="Times New Roman" w:hAnsi="Times New Roman"/>
                <w:sz w:val="20"/>
                <w:szCs w:val="20"/>
                <w:lang w:val="en-CA" w:eastAsia="en-CA"/>
              </w:rPr>
            </w:pPr>
          </w:p>
        </w:tc>
        <w:tc>
          <w:tcPr>
            <w:tcW w:w="3179" w:type="dxa"/>
            <w:gridSpan w:val="3"/>
            <w:tcBorders>
              <w:top w:val="nil"/>
              <w:left w:val="nil"/>
              <w:bottom w:val="nil"/>
              <w:right w:val="nil"/>
            </w:tcBorders>
            <w:shd w:val="clear" w:color="auto" w:fill="auto"/>
            <w:noWrap/>
            <w:vAlign w:val="bottom"/>
            <w:hideMark/>
          </w:tcPr>
          <w:p w14:paraId="6554B353"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Deferred Financi</w:t>
            </w:r>
            <w:r>
              <w:rPr>
                <w:rFonts w:ascii="Calibri" w:hAnsi="Calibri" w:cs="Calibri"/>
                <w:color w:val="000000"/>
                <w:szCs w:val="22"/>
                <w:lang w:val="en-CA" w:eastAsia="en-CA"/>
              </w:rPr>
              <w:t>n</w:t>
            </w:r>
            <w:r w:rsidRPr="004A08E0">
              <w:rPr>
                <w:rFonts w:ascii="Calibri" w:hAnsi="Calibri" w:cs="Calibri"/>
                <w:color w:val="000000"/>
                <w:szCs w:val="22"/>
                <w:lang w:val="en-CA" w:eastAsia="en-CA"/>
              </w:rPr>
              <w:t>g fee</w:t>
            </w:r>
          </w:p>
        </w:tc>
        <w:tc>
          <w:tcPr>
            <w:tcW w:w="1359" w:type="dxa"/>
            <w:gridSpan w:val="2"/>
            <w:tcBorders>
              <w:top w:val="nil"/>
              <w:left w:val="nil"/>
              <w:bottom w:val="nil"/>
              <w:right w:val="nil"/>
            </w:tcBorders>
            <w:shd w:val="clear" w:color="auto" w:fill="auto"/>
            <w:noWrap/>
            <w:vAlign w:val="bottom"/>
            <w:hideMark/>
          </w:tcPr>
          <w:p w14:paraId="7D7072DB" w14:textId="77777777" w:rsidR="004A08E0" w:rsidRPr="004A08E0" w:rsidRDefault="004A08E0" w:rsidP="004A08E0">
            <w:pPr>
              <w:rPr>
                <w:rFonts w:ascii="Calibri" w:hAnsi="Calibri" w:cs="Calibri"/>
                <w:color w:val="000000"/>
                <w:szCs w:val="22"/>
                <w:lang w:val="en-CA" w:eastAsia="en-CA"/>
              </w:rPr>
            </w:pPr>
          </w:p>
        </w:tc>
        <w:tc>
          <w:tcPr>
            <w:tcW w:w="1836" w:type="dxa"/>
            <w:gridSpan w:val="2"/>
            <w:tcBorders>
              <w:top w:val="nil"/>
              <w:left w:val="nil"/>
              <w:bottom w:val="nil"/>
              <w:right w:val="nil"/>
            </w:tcBorders>
            <w:shd w:val="clear" w:color="auto" w:fill="auto"/>
            <w:noWrap/>
            <w:vAlign w:val="bottom"/>
            <w:hideMark/>
          </w:tcPr>
          <w:p w14:paraId="5DF3377D"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-10,000</w:t>
            </w:r>
          </w:p>
        </w:tc>
      </w:tr>
      <w:tr w:rsidR="004A08E0" w:rsidRPr="004A08E0" w14:paraId="7CC88F62" w14:textId="77777777" w:rsidTr="00BE236A">
        <w:trPr>
          <w:trHeight w:val="290"/>
        </w:trPr>
        <w:tc>
          <w:tcPr>
            <w:tcW w:w="864" w:type="dxa"/>
            <w:tcBorders>
              <w:top w:val="nil"/>
              <w:left w:val="nil"/>
              <w:bottom w:val="nil"/>
              <w:right w:val="nil"/>
            </w:tcBorders>
            <w:shd w:val="clear" w:color="auto" w:fill="auto"/>
            <w:noWrap/>
            <w:vAlign w:val="bottom"/>
            <w:hideMark/>
          </w:tcPr>
          <w:p w14:paraId="04C29BF5"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38E5B6A2"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5F9C3A45" w14:textId="77777777" w:rsidR="004A08E0" w:rsidRPr="004A08E0" w:rsidRDefault="004A08E0" w:rsidP="004A08E0">
            <w:pPr>
              <w:rPr>
                <w:rFonts w:ascii="Times New Roman" w:hAnsi="Times New Roman"/>
                <w:sz w:val="20"/>
                <w:szCs w:val="20"/>
                <w:lang w:val="en-CA" w:eastAsia="en-CA"/>
              </w:rPr>
            </w:pPr>
          </w:p>
        </w:tc>
        <w:tc>
          <w:tcPr>
            <w:tcW w:w="1897" w:type="dxa"/>
            <w:gridSpan w:val="2"/>
            <w:tcBorders>
              <w:top w:val="nil"/>
              <w:left w:val="nil"/>
              <w:bottom w:val="nil"/>
              <w:right w:val="nil"/>
            </w:tcBorders>
            <w:shd w:val="clear" w:color="auto" w:fill="auto"/>
            <w:noWrap/>
            <w:vAlign w:val="bottom"/>
            <w:hideMark/>
          </w:tcPr>
          <w:p w14:paraId="0774459B"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Accounts payable</w:t>
            </w:r>
          </w:p>
        </w:tc>
        <w:tc>
          <w:tcPr>
            <w:tcW w:w="1282" w:type="dxa"/>
            <w:tcBorders>
              <w:top w:val="nil"/>
              <w:left w:val="nil"/>
              <w:bottom w:val="nil"/>
              <w:right w:val="nil"/>
            </w:tcBorders>
            <w:shd w:val="clear" w:color="auto" w:fill="auto"/>
            <w:noWrap/>
            <w:vAlign w:val="bottom"/>
            <w:hideMark/>
          </w:tcPr>
          <w:p w14:paraId="129F0B4D" w14:textId="77777777" w:rsidR="004A08E0" w:rsidRPr="004A08E0" w:rsidRDefault="004A08E0" w:rsidP="004A08E0">
            <w:pPr>
              <w:rPr>
                <w:rFonts w:ascii="Calibri" w:hAnsi="Calibri" w:cs="Calibri"/>
                <w:color w:val="000000"/>
                <w:szCs w:val="22"/>
                <w:lang w:val="en-CA" w:eastAsia="en-CA"/>
              </w:rPr>
            </w:pPr>
          </w:p>
        </w:tc>
        <w:tc>
          <w:tcPr>
            <w:tcW w:w="1359" w:type="dxa"/>
            <w:gridSpan w:val="2"/>
            <w:tcBorders>
              <w:top w:val="nil"/>
              <w:left w:val="nil"/>
              <w:bottom w:val="nil"/>
              <w:right w:val="nil"/>
            </w:tcBorders>
            <w:shd w:val="clear" w:color="auto" w:fill="auto"/>
            <w:noWrap/>
            <w:vAlign w:val="bottom"/>
            <w:hideMark/>
          </w:tcPr>
          <w:p w14:paraId="7A814117"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-3,848</w:t>
            </w:r>
          </w:p>
        </w:tc>
        <w:tc>
          <w:tcPr>
            <w:tcW w:w="1836" w:type="dxa"/>
            <w:gridSpan w:val="2"/>
            <w:tcBorders>
              <w:top w:val="nil"/>
              <w:left w:val="nil"/>
              <w:bottom w:val="nil"/>
              <w:right w:val="nil"/>
            </w:tcBorders>
            <w:shd w:val="clear" w:color="auto" w:fill="auto"/>
            <w:noWrap/>
            <w:vAlign w:val="bottom"/>
            <w:hideMark/>
          </w:tcPr>
          <w:p w14:paraId="4BAB116E"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-671</w:t>
            </w:r>
          </w:p>
        </w:tc>
      </w:tr>
      <w:tr w:rsidR="004A08E0" w:rsidRPr="004A08E0" w14:paraId="3DFC96F7" w14:textId="77777777" w:rsidTr="00BE236A">
        <w:trPr>
          <w:trHeight w:val="290"/>
        </w:trPr>
        <w:tc>
          <w:tcPr>
            <w:tcW w:w="864" w:type="dxa"/>
            <w:tcBorders>
              <w:top w:val="nil"/>
              <w:left w:val="nil"/>
              <w:bottom w:val="nil"/>
              <w:right w:val="nil"/>
            </w:tcBorders>
            <w:shd w:val="clear" w:color="auto" w:fill="auto"/>
            <w:noWrap/>
            <w:vAlign w:val="bottom"/>
            <w:hideMark/>
          </w:tcPr>
          <w:p w14:paraId="3531AE6B"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4DFD169D"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0159536A" w14:textId="77777777" w:rsidR="004A08E0" w:rsidRPr="004A08E0" w:rsidRDefault="004A08E0" w:rsidP="004A08E0">
            <w:pPr>
              <w:rPr>
                <w:rFonts w:ascii="Times New Roman" w:hAnsi="Times New Roman"/>
                <w:sz w:val="20"/>
                <w:szCs w:val="20"/>
                <w:lang w:val="en-CA" w:eastAsia="en-CA"/>
              </w:rPr>
            </w:pPr>
          </w:p>
        </w:tc>
        <w:tc>
          <w:tcPr>
            <w:tcW w:w="1897" w:type="dxa"/>
            <w:gridSpan w:val="2"/>
            <w:tcBorders>
              <w:top w:val="nil"/>
              <w:left w:val="nil"/>
              <w:bottom w:val="nil"/>
              <w:right w:val="nil"/>
            </w:tcBorders>
            <w:shd w:val="clear" w:color="auto" w:fill="auto"/>
            <w:noWrap/>
            <w:vAlign w:val="bottom"/>
            <w:hideMark/>
          </w:tcPr>
          <w:p w14:paraId="5AE1BCD5"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GST payable</w:t>
            </w:r>
          </w:p>
        </w:tc>
        <w:tc>
          <w:tcPr>
            <w:tcW w:w="1282" w:type="dxa"/>
            <w:tcBorders>
              <w:top w:val="nil"/>
              <w:left w:val="nil"/>
              <w:bottom w:val="nil"/>
              <w:right w:val="nil"/>
            </w:tcBorders>
            <w:shd w:val="clear" w:color="auto" w:fill="auto"/>
            <w:noWrap/>
            <w:vAlign w:val="bottom"/>
            <w:hideMark/>
          </w:tcPr>
          <w:p w14:paraId="2116217B" w14:textId="77777777" w:rsidR="004A08E0" w:rsidRPr="004A08E0" w:rsidRDefault="004A08E0" w:rsidP="004A08E0">
            <w:pPr>
              <w:rPr>
                <w:rFonts w:ascii="Calibri" w:hAnsi="Calibri" w:cs="Calibri"/>
                <w:color w:val="000000"/>
                <w:szCs w:val="22"/>
                <w:lang w:val="en-CA" w:eastAsia="en-CA"/>
              </w:rPr>
            </w:pPr>
          </w:p>
        </w:tc>
        <w:tc>
          <w:tcPr>
            <w:tcW w:w="1359" w:type="dxa"/>
            <w:gridSpan w:val="2"/>
            <w:tcBorders>
              <w:top w:val="nil"/>
              <w:left w:val="nil"/>
              <w:bottom w:val="nil"/>
              <w:right w:val="nil"/>
            </w:tcBorders>
            <w:shd w:val="clear" w:color="auto" w:fill="auto"/>
            <w:noWrap/>
            <w:vAlign w:val="bottom"/>
            <w:hideMark/>
          </w:tcPr>
          <w:p w14:paraId="690F326A"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-751</w:t>
            </w:r>
          </w:p>
        </w:tc>
        <w:tc>
          <w:tcPr>
            <w:tcW w:w="1836" w:type="dxa"/>
            <w:gridSpan w:val="2"/>
            <w:tcBorders>
              <w:top w:val="nil"/>
              <w:left w:val="nil"/>
              <w:bottom w:val="nil"/>
              <w:right w:val="nil"/>
            </w:tcBorders>
            <w:shd w:val="clear" w:color="auto" w:fill="auto"/>
            <w:noWrap/>
            <w:vAlign w:val="bottom"/>
            <w:hideMark/>
          </w:tcPr>
          <w:p w14:paraId="070DF855"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-2,654</w:t>
            </w:r>
          </w:p>
        </w:tc>
      </w:tr>
      <w:tr w:rsidR="004A08E0" w:rsidRPr="004A08E0" w14:paraId="1E28ADDB" w14:textId="77777777" w:rsidTr="00BE236A">
        <w:trPr>
          <w:trHeight w:val="290"/>
        </w:trPr>
        <w:tc>
          <w:tcPr>
            <w:tcW w:w="864" w:type="dxa"/>
            <w:tcBorders>
              <w:top w:val="nil"/>
              <w:left w:val="nil"/>
              <w:bottom w:val="nil"/>
              <w:right w:val="nil"/>
            </w:tcBorders>
            <w:shd w:val="clear" w:color="auto" w:fill="auto"/>
            <w:noWrap/>
            <w:vAlign w:val="bottom"/>
            <w:hideMark/>
          </w:tcPr>
          <w:p w14:paraId="1E386384"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744E7400"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00C514EC" w14:textId="77777777" w:rsidR="004A08E0" w:rsidRPr="004A08E0" w:rsidRDefault="004A08E0" w:rsidP="004A08E0">
            <w:pPr>
              <w:rPr>
                <w:rFonts w:ascii="Times New Roman" w:hAnsi="Times New Roman"/>
                <w:sz w:val="20"/>
                <w:szCs w:val="20"/>
                <w:lang w:val="en-CA" w:eastAsia="en-CA"/>
              </w:rPr>
            </w:pPr>
          </w:p>
        </w:tc>
        <w:tc>
          <w:tcPr>
            <w:tcW w:w="1897" w:type="dxa"/>
            <w:gridSpan w:val="2"/>
            <w:tcBorders>
              <w:top w:val="nil"/>
              <w:left w:val="nil"/>
              <w:bottom w:val="nil"/>
              <w:right w:val="nil"/>
            </w:tcBorders>
            <w:shd w:val="clear" w:color="auto" w:fill="auto"/>
            <w:noWrap/>
            <w:vAlign w:val="bottom"/>
            <w:hideMark/>
          </w:tcPr>
          <w:p w14:paraId="23C04B06"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Shareholder loan</w:t>
            </w:r>
          </w:p>
        </w:tc>
        <w:tc>
          <w:tcPr>
            <w:tcW w:w="1282" w:type="dxa"/>
            <w:tcBorders>
              <w:top w:val="nil"/>
              <w:left w:val="nil"/>
              <w:bottom w:val="nil"/>
              <w:right w:val="nil"/>
            </w:tcBorders>
            <w:shd w:val="clear" w:color="auto" w:fill="auto"/>
            <w:noWrap/>
            <w:vAlign w:val="bottom"/>
            <w:hideMark/>
          </w:tcPr>
          <w:p w14:paraId="230ADBE1" w14:textId="77777777" w:rsidR="004A08E0" w:rsidRPr="004A08E0" w:rsidRDefault="004A08E0" w:rsidP="004A08E0">
            <w:pPr>
              <w:rPr>
                <w:rFonts w:ascii="Calibri" w:hAnsi="Calibri" w:cs="Calibri"/>
                <w:color w:val="000000"/>
                <w:szCs w:val="22"/>
                <w:lang w:val="en-CA" w:eastAsia="en-CA"/>
              </w:rPr>
            </w:pPr>
          </w:p>
        </w:tc>
        <w:tc>
          <w:tcPr>
            <w:tcW w:w="1359" w:type="dxa"/>
            <w:gridSpan w:val="2"/>
            <w:tcBorders>
              <w:top w:val="nil"/>
              <w:left w:val="nil"/>
              <w:bottom w:val="nil"/>
              <w:right w:val="nil"/>
            </w:tcBorders>
            <w:shd w:val="clear" w:color="auto" w:fill="auto"/>
            <w:noWrap/>
            <w:vAlign w:val="bottom"/>
            <w:hideMark/>
          </w:tcPr>
          <w:p w14:paraId="72A21CA4" w14:textId="77777777" w:rsidR="004A08E0" w:rsidRPr="004A08E0" w:rsidRDefault="004A08E0" w:rsidP="004A08E0">
            <w:pPr>
              <w:jc w:val="right"/>
              <w:rPr>
                <w:rFonts w:ascii="Calibri" w:hAnsi="Calibri" w:cs="Calibri"/>
                <w:color w:val="000000"/>
                <w:szCs w:val="22"/>
                <w:u w:val="single"/>
                <w:lang w:val="en-CA" w:eastAsia="en-CA"/>
              </w:rPr>
            </w:pPr>
            <w:r w:rsidRPr="004A08E0">
              <w:rPr>
                <w:rFonts w:ascii="Calibri" w:hAnsi="Calibri" w:cs="Calibri"/>
                <w:color w:val="000000"/>
                <w:szCs w:val="22"/>
                <w:u w:val="single"/>
                <w:lang w:val="en-CA" w:eastAsia="en-CA"/>
              </w:rPr>
              <w:t>20,000</w:t>
            </w:r>
          </w:p>
        </w:tc>
        <w:tc>
          <w:tcPr>
            <w:tcW w:w="1836" w:type="dxa"/>
            <w:gridSpan w:val="2"/>
            <w:tcBorders>
              <w:top w:val="nil"/>
              <w:left w:val="nil"/>
              <w:bottom w:val="nil"/>
              <w:right w:val="nil"/>
            </w:tcBorders>
            <w:shd w:val="clear" w:color="auto" w:fill="auto"/>
            <w:noWrap/>
            <w:vAlign w:val="bottom"/>
            <w:hideMark/>
          </w:tcPr>
          <w:p w14:paraId="5031B63A" w14:textId="77777777" w:rsidR="004A08E0" w:rsidRPr="004A08E0" w:rsidRDefault="004A08E0" w:rsidP="004A08E0">
            <w:pPr>
              <w:jc w:val="right"/>
              <w:rPr>
                <w:rFonts w:ascii="Calibri" w:hAnsi="Calibri" w:cs="Calibri"/>
                <w:color w:val="000000"/>
                <w:szCs w:val="22"/>
                <w:u w:val="double"/>
                <w:lang w:val="en-CA" w:eastAsia="en-CA"/>
              </w:rPr>
            </w:pPr>
            <w:r w:rsidRPr="004A08E0">
              <w:rPr>
                <w:rFonts w:ascii="Calibri" w:hAnsi="Calibri" w:cs="Calibri"/>
                <w:color w:val="000000"/>
                <w:szCs w:val="22"/>
                <w:u w:val="double"/>
                <w:lang w:val="en-CA" w:eastAsia="en-CA"/>
              </w:rPr>
              <w:t>20,000</w:t>
            </w:r>
          </w:p>
        </w:tc>
      </w:tr>
      <w:tr w:rsidR="004A08E0" w:rsidRPr="004A08E0" w14:paraId="46C6B089" w14:textId="77777777" w:rsidTr="00BE236A">
        <w:trPr>
          <w:trHeight w:val="290"/>
        </w:trPr>
        <w:tc>
          <w:tcPr>
            <w:tcW w:w="864" w:type="dxa"/>
            <w:tcBorders>
              <w:top w:val="nil"/>
              <w:left w:val="nil"/>
              <w:bottom w:val="nil"/>
              <w:right w:val="nil"/>
            </w:tcBorders>
            <w:shd w:val="clear" w:color="auto" w:fill="auto"/>
            <w:noWrap/>
            <w:vAlign w:val="bottom"/>
            <w:hideMark/>
          </w:tcPr>
          <w:p w14:paraId="19A27BC9" w14:textId="77777777" w:rsidR="004A08E0" w:rsidRPr="004A08E0" w:rsidRDefault="004A08E0" w:rsidP="004A08E0">
            <w:pPr>
              <w:jc w:val="right"/>
              <w:rPr>
                <w:rFonts w:ascii="Calibri" w:hAnsi="Calibri" w:cs="Calibri"/>
                <w:color w:val="000000"/>
                <w:szCs w:val="22"/>
                <w:u w:val="double"/>
                <w:lang w:val="en-CA" w:eastAsia="en-CA"/>
              </w:rPr>
            </w:pPr>
          </w:p>
        </w:tc>
        <w:tc>
          <w:tcPr>
            <w:tcW w:w="4986" w:type="dxa"/>
            <w:gridSpan w:val="5"/>
            <w:tcBorders>
              <w:top w:val="nil"/>
              <w:left w:val="nil"/>
              <w:bottom w:val="nil"/>
              <w:right w:val="nil"/>
            </w:tcBorders>
            <w:shd w:val="clear" w:color="auto" w:fill="auto"/>
            <w:noWrap/>
            <w:vAlign w:val="bottom"/>
            <w:hideMark/>
          </w:tcPr>
          <w:p w14:paraId="09737D9A"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Net cash provided by Operating Activities</w:t>
            </w:r>
          </w:p>
        </w:tc>
        <w:tc>
          <w:tcPr>
            <w:tcW w:w="1359" w:type="dxa"/>
            <w:gridSpan w:val="2"/>
            <w:tcBorders>
              <w:top w:val="nil"/>
              <w:left w:val="nil"/>
              <w:bottom w:val="nil"/>
              <w:right w:val="nil"/>
            </w:tcBorders>
            <w:shd w:val="clear" w:color="auto" w:fill="auto"/>
            <w:noWrap/>
            <w:vAlign w:val="bottom"/>
            <w:hideMark/>
          </w:tcPr>
          <w:p w14:paraId="2EA63D89" w14:textId="77777777" w:rsidR="004A08E0" w:rsidRPr="004A08E0" w:rsidRDefault="004A08E0" w:rsidP="004A08E0">
            <w:pPr>
              <w:jc w:val="right"/>
              <w:rPr>
                <w:rFonts w:ascii="Calibri" w:hAnsi="Calibri" w:cs="Calibri"/>
                <w:color w:val="000000"/>
                <w:szCs w:val="22"/>
                <w:u w:val="single"/>
                <w:lang w:val="en-CA" w:eastAsia="en-CA"/>
              </w:rPr>
            </w:pPr>
            <w:r w:rsidRPr="004A08E0">
              <w:rPr>
                <w:rFonts w:ascii="Calibri" w:hAnsi="Calibri" w:cs="Calibri"/>
                <w:color w:val="000000"/>
                <w:szCs w:val="22"/>
                <w:u w:val="single"/>
                <w:lang w:val="en-CA" w:eastAsia="en-CA"/>
              </w:rPr>
              <w:t>-12,149</w:t>
            </w:r>
          </w:p>
        </w:tc>
        <w:tc>
          <w:tcPr>
            <w:tcW w:w="1836" w:type="dxa"/>
            <w:gridSpan w:val="2"/>
            <w:tcBorders>
              <w:top w:val="nil"/>
              <w:left w:val="nil"/>
              <w:bottom w:val="nil"/>
              <w:right w:val="nil"/>
            </w:tcBorders>
            <w:shd w:val="clear" w:color="auto" w:fill="auto"/>
            <w:noWrap/>
            <w:vAlign w:val="bottom"/>
            <w:hideMark/>
          </w:tcPr>
          <w:p w14:paraId="3A937A46" w14:textId="77777777" w:rsidR="004A08E0" w:rsidRPr="004A08E0" w:rsidRDefault="004A08E0" w:rsidP="004A08E0">
            <w:pPr>
              <w:jc w:val="right"/>
              <w:rPr>
                <w:rFonts w:ascii="Calibri" w:hAnsi="Calibri" w:cs="Calibri"/>
                <w:color w:val="000000"/>
                <w:szCs w:val="22"/>
                <w:u w:val="double"/>
                <w:lang w:val="en-CA" w:eastAsia="en-CA"/>
              </w:rPr>
            </w:pPr>
            <w:r w:rsidRPr="004A08E0">
              <w:rPr>
                <w:rFonts w:ascii="Calibri" w:hAnsi="Calibri" w:cs="Calibri"/>
                <w:color w:val="000000"/>
                <w:szCs w:val="22"/>
                <w:u w:val="double"/>
                <w:lang w:val="en-CA" w:eastAsia="en-CA"/>
              </w:rPr>
              <w:t>-60,458</w:t>
            </w:r>
          </w:p>
        </w:tc>
      </w:tr>
      <w:tr w:rsidR="004A08E0" w:rsidRPr="004A08E0" w14:paraId="2DA967A1" w14:textId="77777777" w:rsidTr="00BE236A">
        <w:trPr>
          <w:trHeight w:val="290"/>
        </w:trPr>
        <w:tc>
          <w:tcPr>
            <w:tcW w:w="864" w:type="dxa"/>
            <w:tcBorders>
              <w:top w:val="nil"/>
              <w:left w:val="nil"/>
              <w:bottom w:val="nil"/>
              <w:right w:val="nil"/>
            </w:tcBorders>
            <w:shd w:val="clear" w:color="auto" w:fill="auto"/>
            <w:noWrap/>
            <w:vAlign w:val="bottom"/>
            <w:hideMark/>
          </w:tcPr>
          <w:p w14:paraId="4F6F6131" w14:textId="77777777" w:rsidR="004A08E0" w:rsidRPr="004A08E0" w:rsidRDefault="004A08E0" w:rsidP="004A08E0">
            <w:pPr>
              <w:jc w:val="right"/>
              <w:rPr>
                <w:rFonts w:ascii="Calibri" w:hAnsi="Calibri" w:cs="Calibri"/>
                <w:color w:val="000000"/>
                <w:szCs w:val="22"/>
                <w:u w:val="double"/>
                <w:lang w:val="en-CA" w:eastAsia="en-CA"/>
              </w:rPr>
            </w:pPr>
          </w:p>
        </w:tc>
        <w:tc>
          <w:tcPr>
            <w:tcW w:w="904" w:type="dxa"/>
            <w:tcBorders>
              <w:top w:val="nil"/>
              <w:left w:val="nil"/>
              <w:bottom w:val="nil"/>
              <w:right w:val="nil"/>
            </w:tcBorders>
            <w:shd w:val="clear" w:color="auto" w:fill="auto"/>
            <w:noWrap/>
            <w:vAlign w:val="bottom"/>
            <w:hideMark/>
          </w:tcPr>
          <w:p w14:paraId="7EF08471"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6C15D59D"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1CB0DDE6"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483D8FC1"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7CC0B8B9"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087B9AB4"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08EAAADC" w14:textId="77777777" w:rsidR="004A08E0" w:rsidRPr="004A08E0" w:rsidRDefault="004A08E0" w:rsidP="004A08E0">
            <w:pPr>
              <w:rPr>
                <w:rFonts w:ascii="Times New Roman" w:hAnsi="Times New Roman"/>
                <w:sz w:val="20"/>
                <w:szCs w:val="20"/>
                <w:lang w:val="en-CA" w:eastAsia="en-CA"/>
              </w:rPr>
            </w:pPr>
          </w:p>
        </w:tc>
      </w:tr>
      <w:tr w:rsidR="004A08E0" w:rsidRPr="004A08E0" w14:paraId="286B8324" w14:textId="77777777" w:rsidTr="00BE236A">
        <w:trPr>
          <w:trHeight w:val="290"/>
        </w:trPr>
        <w:tc>
          <w:tcPr>
            <w:tcW w:w="864" w:type="dxa"/>
            <w:tcBorders>
              <w:top w:val="nil"/>
              <w:left w:val="nil"/>
              <w:bottom w:val="nil"/>
              <w:right w:val="nil"/>
            </w:tcBorders>
            <w:shd w:val="clear" w:color="auto" w:fill="auto"/>
            <w:noWrap/>
            <w:vAlign w:val="bottom"/>
            <w:hideMark/>
          </w:tcPr>
          <w:p w14:paraId="56F95DAF" w14:textId="77777777" w:rsidR="004A08E0" w:rsidRPr="004A08E0" w:rsidRDefault="004A08E0" w:rsidP="004A08E0">
            <w:pPr>
              <w:rPr>
                <w:rFonts w:ascii="Times New Roman" w:hAnsi="Times New Roman"/>
                <w:sz w:val="20"/>
                <w:szCs w:val="20"/>
                <w:lang w:val="en-CA" w:eastAsia="en-CA"/>
              </w:rPr>
            </w:pPr>
          </w:p>
        </w:tc>
        <w:tc>
          <w:tcPr>
            <w:tcW w:w="1807" w:type="dxa"/>
            <w:gridSpan w:val="2"/>
            <w:tcBorders>
              <w:top w:val="nil"/>
              <w:left w:val="nil"/>
              <w:bottom w:val="nil"/>
              <w:right w:val="nil"/>
            </w:tcBorders>
            <w:shd w:val="clear" w:color="auto" w:fill="auto"/>
            <w:noWrap/>
            <w:vAlign w:val="bottom"/>
            <w:hideMark/>
          </w:tcPr>
          <w:p w14:paraId="378BE661"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Investing Activities</w:t>
            </w:r>
          </w:p>
        </w:tc>
        <w:tc>
          <w:tcPr>
            <w:tcW w:w="903" w:type="dxa"/>
            <w:tcBorders>
              <w:top w:val="nil"/>
              <w:left w:val="nil"/>
              <w:bottom w:val="nil"/>
              <w:right w:val="nil"/>
            </w:tcBorders>
            <w:shd w:val="clear" w:color="auto" w:fill="auto"/>
            <w:noWrap/>
            <w:vAlign w:val="bottom"/>
            <w:hideMark/>
          </w:tcPr>
          <w:p w14:paraId="0D11EEFC" w14:textId="77777777" w:rsidR="004A08E0" w:rsidRPr="004A08E0" w:rsidRDefault="004A08E0" w:rsidP="004A08E0">
            <w:pPr>
              <w:rPr>
                <w:rFonts w:ascii="Calibri" w:hAnsi="Calibri" w:cs="Calibri"/>
                <w:b/>
                <w:bCs/>
                <w:color w:val="000000"/>
                <w:szCs w:val="22"/>
                <w:lang w:val="en-CA" w:eastAsia="en-CA"/>
              </w:rPr>
            </w:pPr>
          </w:p>
        </w:tc>
        <w:tc>
          <w:tcPr>
            <w:tcW w:w="994" w:type="dxa"/>
            <w:tcBorders>
              <w:top w:val="nil"/>
              <w:left w:val="nil"/>
              <w:bottom w:val="nil"/>
              <w:right w:val="nil"/>
            </w:tcBorders>
            <w:shd w:val="clear" w:color="auto" w:fill="auto"/>
            <w:noWrap/>
            <w:vAlign w:val="bottom"/>
            <w:hideMark/>
          </w:tcPr>
          <w:p w14:paraId="0409E190"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0A1F04A4"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6301CB50"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56E19DB1" w14:textId="77777777" w:rsidR="004A08E0" w:rsidRPr="004A08E0" w:rsidRDefault="004A08E0" w:rsidP="004A08E0">
            <w:pPr>
              <w:rPr>
                <w:rFonts w:ascii="Times New Roman" w:hAnsi="Times New Roman"/>
                <w:sz w:val="20"/>
                <w:szCs w:val="20"/>
                <w:lang w:val="en-CA" w:eastAsia="en-CA"/>
              </w:rPr>
            </w:pPr>
          </w:p>
        </w:tc>
      </w:tr>
      <w:tr w:rsidR="004A08E0" w:rsidRPr="004A08E0" w14:paraId="67BD9DE0" w14:textId="77777777" w:rsidTr="00BE236A">
        <w:trPr>
          <w:trHeight w:val="290"/>
        </w:trPr>
        <w:tc>
          <w:tcPr>
            <w:tcW w:w="864" w:type="dxa"/>
            <w:tcBorders>
              <w:top w:val="nil"/>
              <w:left w:val="nil"/>
              <w:bottom w:val="nil"/>
              <w:right w:val="nil"/>
            </w:tcBorders>
            <w:shd w:val="clear" w:color="auto" w:fill="auto"/>
            <w:noWrap/>
            <w:vAlign w:val="bottom"/>
            <w:hideMark/>
          </w:tcPr>
          <w:p w14:paraId="3F92CEE0" w14:textId="77777777" w:rsidR="004A08E0" w:rsidRPr="004A08E0" w:rsidRDefault="004A08E0" w:rsidP="004A08E0">
            <w:pPr>
              <w:rPr>
                <w:rFonts w:ascii="Times New Roman" w:hAnsi="Times New Roman"/>
                <w:sz w:val="20"/>
                <w:szCs w:val="20"/>
                <w:lang w:val="en-CA" w:eastAsia="en-CA"/>
              </w:rPr>
            </w:pPr>
          </w:p>
        </w:tc>
        <w:tc>
          <w:tcPr>
            <w:tcW w:w="904" w:type="dxa"/>
            <w:tcBorders>
              <w:top w:val="nil"/>
              <w:left w:val="nil"/>
              <w:bottom w:val="nil"/>
              <w:right w:val="nil"/>
            </w:tcBorders>
            <w:shd w:val="clear" w:color="auto" w:fill="auto"/>
            <w:noWrap/>
            <w:vAlign w:val="bottom"/>
            <w:hideMark/>
          </w:tcPr>
          <w:p w14:paraId="7E173632"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5B871FA9" w14:textId="77777777" w:rsidR="004A08E0" w:rsidRPr="004A08E0" w:rsidRDefault="004A08E0" w:rsidP="004A08E0">
            <w:pPr>
              <w:rPr>
                <w:rFonts w:ascii="Times New Roman" w:hAnsi="Times New Roman"/>
                <w:sz w:val="20"/>
                <w:szCs w:val="20"/>
                <w:lang w:val="en-CA" w:eastAsia="en-CA"/>
              </w:rPr>
            </w:pPr>
          </w:p>
        </w:tc>
        <w:tc>
          <w:tcPr>
            <w:tcW w:w="3179" w:type="dxa"/>
            <w:gridSpan w:val="3"/>
            <w:tcBorders>
              <w:top w:val="nil"/>
              <w:left w:val="nil"/>
              <w:bottom w:val="nil"/>
              <w:right w:val="nil"/>
            </w:tcBorders>
            <w:shd w:val="clear" w:color="auto" w:fill="auto"/>
            <w:noWrap/>
            <w:vAlign w:val="bottom"/>
            <w:hideMark/>
          </w:tcPr>
          <w:p w14:paraId="69D68E34"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Aura Christie project</w:t>
            </w:r>
          </w:p>
        </w:tc>
        <w:tc>
          <w:tcPr>
            <w:tcW w:w="1359" w:type="dxa"/>
            <w:gridSpan w:val="2"/>
            <w:tcBorders>
              <w:top w:val="nil"/>
              <w:left w:val="nil"/>
              <w:bottom w:val="nil"/>
              <w:right w:val="nil"/>
            </w:tcBorders>
            <w:shd w:val="clear" w:color="auto" w:fill="auto"/>
            <w:noWrap/>
            <w:vAlign w:val="bottom"/>
            <w:hideMark/>
          </w:tcPr>
          <w:p w14:paraId="671A4BBC" w14:textId="77777777" w:rsidR="004A08E0" w:rsidRPr="004A08E0" w:rsidRDefault="004A08E0" w:rsidP="004A08E0">
            <w:pPr>
              <w:rPr>
                <w:rFonts w:ascii="Calibri" w:hAnsi="Calibri" w:cs="Calibri"/>
                <w:color w:val="000000"/>
                <w:szCs w:val="22"/>
                <w:lang w:val="en-CA" w:eastAsia="en-CA"/>
              </w:rPr>
            </w:pPr>
          </w:p>
        </w:tc>
        <w:tc>
          <w:tcPr>
            <w:tcW w:w="1836" w:type="dxa"/>
            <w:gridSpan w:val="2"/>
            <w:tcBorders>
              <w:top w:val="nil"/>
              <w:left w:val="nil"/>
              <w:bottom w:val="nil"/>
              <w:right w:val="nil"/>
            </w:tcBorders>
            <w:shd w:val="clear" w:color="auto" w:fill="auto"/>
            <w:noWrap/>
            <w:vAlign w:val="bottom"/>
            <w:hideMark/>
          </w:tcPr>
          <w:p w14:paraId="76D86C3F"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-25,527</w:t>
            </w:r>
          </w:p>
        </w:tc>
      </w:tr>
      <w:tr w:rsidR="004A08E0" w:rsidRPr="004A08E0" w14:paraId="2A8958D8" w14:textId="77777777" w:rsidTr="00BE236A">
        <w:trPr>
          <w:trHeight w:val="290"/>
        </w:trPr>
        <w:tc>
          <w:tcPr>
            <w:tcW w:w="864" w:type="dxa"/>
            <w:tcBorders>
              <w:top w:val="nil"/>
              <w:left w:val="nil"/>
              <w:bottom w:val="nil"/>
              <w:right w:val="nil"/>
            </w:tcBorders>
            <w:shd w:val="clear" w:color="auto" w:fill="auto"/>
            <w:noWrap/>
            <w:vAlign w:val="bottom"/>
            <w:hideMark/>
          </w:tcPr>
          <w:p w14:paraId="705E9747"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77DE7720"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2C8CFC0A" w14:textId="77777777" w:rsidR="004A08E0" w:rsidRPr="004A08E0" w:rsidRDefault="004A08E0" w:rsidP="004A08E0">
            <w:pPr>
              <w:rPr>
                <w:rFonts w:ascii="Times New Roman" w:hAnsi="Times New Roman"/>
                <w:sz w:val="20"/>
                <w:szCs w:val="20"/>
                <w:lang w:val="en-CA" w:eastAsia="en-CA"/>
              </w:rPr>
            </w:pPr>
          </w:p>
        </w:tc>
        <w:tc>
          <w:tcPr>
            <w:tcW w:w="3179" w:type="dxa"/>
            <w:gridSpan w:val="3"/>
            <w:tcBorders>
              <w:top w:val="nil"/>
              <w:left w:val="nil"/>
              <w:bottom w:val="nil"/>
              <w:right w:val="nil"/>
            </w:tcBorders>
            <w:shd w:val="clear" w:color="auto" w:fill="auto"/>
            <w:noWrap/>
            <w:vAlign w:val="bottom"/>
            <w:hideMark/>
          </w:tcPr>
          <w:p w14:paraId="37ADD763"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Land and Mineral Rights</w:t>
            </w:r>
          </w:p>
        </w:tc>
        <w:tc>
          <w:tcPr>
            <w:tcW w:w="1359" w:type="dxa"/>
            <w:gridSpan w:val="2"/>
            <w:tcBorders>
              <w:top w:val="nil"/>
              <w:left w:val="nil"/>
              <w:bottom w:val="nil"/>
              <w:right w:val="nil"/>
            </w:tcBorders>
            <w:shd w:val="clear" w:color="auto" w:fill="auto"/>
            <w:noWrap/>
            <w:vAlign w:val="bottom"/>
            <w:hideMark/>
          </w:tcPr>
          <w:p w14:paraId="232CBCF2" w14:textId="77777777" w:rsidR="004A08E0" w:rsidRPr="004A08E0" w:rsidRDefault="004A08E0" w:rsidP="004A08E0">
            <w:pPr>
              <w:rPr>
                <w:rFonts w:ascii="Calibri" w:hAnsi="Calibri" w:cs="Calibri"/>
                <w:color w:val="000000"/>
                <w:szCs w:val="22"/>
                <w:lang w:val="en-CA" w:eastAsia="en-CA"/>
              </w:rPr>
            </w:pPr>
          </w:p>
        </w:tc>
        <w:tc>
          <w:tcPr>
            <w:tcW w:w="1836" w:type="dxa"/>
            <w:gridSpan w:val="2"/>
            <w:tcBorders>
              <w:top w:val="nil"/>
              <w:left w:val="nil"/>
              <w:bottom w:val="nil"/>
              <w:right w:val="nil"/>
            </w:tcBorders>
            <w:shd w:val="clear" w:color="auto" w:fill="auto"/>
            <w:noWrap/>
            <w:vAlign w:val="bottom"/>
            <w:hideMark/>
          </w:tcPr>
          <w:p w14:paraId="06594A70"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2,019</w:t>
            </w:r>
          </w:p>
        </w:tc>
      </w:tr>
      <w:tr w:rsidR="004A08E0" w:rsidRPr="004A08E0" w14:paraId="37853702" w14:textId="77777777" w:rsidTr="00BE236A">
        <w:trPr>
          <w:trHeight w:val="290"/>
        </w:trPr>
        <w:tc>
          <w:tcPr>
            <w:tcW w:w="864" w:type="dxa"/>
            <w:tcBorders>
              <w:top w:val="nil"/>
              <w:left w:val="nil"/>
              <w:bottom w:val="nil"/>
              <w:right w:val="nil"/>
            </w:tcBorders>
            <w:shd w:val="clear" w:color="auto" w:fill="auto"/>
            <w:noWrap/>
            <w:vAlign w:val="bottom"/>
            <w:hideMark/>
          </w:tcPr>
          <w:p w14:paraId="72222C1C"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24031F9E"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26E0A42D" w14:textId="77777777" w:rsidR="004A08E0" w:rsidRPr="004A08E0" w:rsidRDefault="004A08E0" w:rsidP="004A08E0">
            <w:pPr>
              <w:rPr>
                <w:rFonts w:ascii="Times New Roman" w:hAnsi="Times New Roman"/>
                <w:sz w:val="20"/>
                <w:szCs w:val="20"/>
                <w:lang w:val="en-CA" w:eastAsia="en-CA"/>
              </w:rPr>
            </w:pPr>
          </w:p>
        </w:tc>
        <w:tc>
          <w:tcPr>
            <w:tcW w:w="1897" w:type="dxa"/>
            <w:gridSpan w:val="2"/>
            <w:tcBorders>
              <w:top w:val="nil"/>
              <w:left w:val="nil"/>
              <w:bottom w:val="nil"/>
              <w:right w:val="nil"/>
            </w:tcBorders>
            <w:shd w:val="clear" w:color="auto" w:fill="auto"/>
            <w:noWrap/>
            <w:vAlign w:val="bottom"/>
            <w:hideMark/>
          </w:tcPr>
          <w:p w14:paraId="13071988" w14:textId="77777777" w:rsidR="004A08E0" w:rsidRPr="004A08E0" w:rsidRDefault="004A08E0" w:rsidP="004A08E0">
            <w:pPr>
              <w:rPr>
                <w:rFonts w:ascii="Calibri" w:hAnsi="Calibri" w:cs="Calibri"/>
                <w:color w:val="000000"/>
                <w:szCs w:val="22"/>
                <w:lang w:val="en-CA" w:eastAsia="en-CA"/>
              </w:rPr>
            </w:pPr>
            <w:r w:rsidRPr="004A08E0">
              <w:rPr>
                <w:rFonts w:ascii="Calibri" w:hAnsi="Calibri" w:cs="Calibri"/>
                <w:color w:val="000000"/>
                <w:szCs w:val="22"/>
                <w:lang w:val="en-CA" w:eastAsia="en-CA"/>
              </w:rPr>
              <w:t>Founder investment</w:t>
            </w:r>
          </w:p>
        </w:tc>
        <w:tc>
          <w:tcPr>
            <w:tcW w:w="1282" w:type="dxa"/>
            <w:tcBorders>
              <w:top w:val="nil"/>
              <w:left w:val="nil"/>
              <w:bottom w:val="nil"/>
              <w:right w:val="nil"/>
            </w:tcBorders>
            <w:shd w:val="clear" w:color="auto" w:fill="auto"/>
            <w:noWrap/>
            <w:vAlign w:val="bottom"/>
            <w:hideMark/>
          </w:tcPr>
          <w:p w14:paraId="126B3F51" w14:textId="77777777" w:rsidR="004A08E0" w:rsidRPr="004A08E0" w:rsidRDefault="004A08E0" w:rsidP="004A08E0">
            <w:pPr>
              <w:rPr>
                <w:rFonts w:ascii="Calibri" w:hAnsi="Calibri" w:cs="Calibri"/>
                <w:color w:val="000000"/>
                <w:szCs w:val="22"/>
                <w:lang w:val="en-CA" w:eastAsia="en-CA"/>
              </w:rPr>
            </w:pPr>
          </w:p>
        </w:tc>
        <w:tc>
          <w:tcPr>
            <w:tcW w:w="1359" w:type="dxa"/>
            <w:gridSpan w:val="2"/>
            <w:tcBorders>
              <w:top w:val="nil"/>
              <w:left w:val="nil"/>
              <w:bottom w:val="nil"/>
              <w:right w:val="nil"/>
            </w:tcBorders>
            <w:shd w:val="clear" w:color="auto" w:fill="auto"/>
            <w:noWrap/>
            <w:vAlign w:val="bottom"/>
            <w:hideMark/>
          </w:tcPr>
          <w:p w14:paraId="3768AFC9"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462C960C" w14:textId="77777777" w:rsidR="004A08E0" w:rsidRPr="004A08E0" w:rsidRDefault="004A08E0" w:rsidP="004A08E0">
            <w:pPr>
              <w:jc w:val="right"/>
              <w:rPr>
                <w:rFonts w:ascii="Calibri" w:hAnsi="Calibri" w:cs="Calibri"/>
                <w:color w:val="000000"/>
                <w:szCs w:val="22"/>
                <w:u w:val="double"/>
                <w:lang w:val="en-CA" w:eastAsia="en-CA"/>
              </w:rPr>
            </w:pPr>
            <w:r w:rsidRPr="004A08E0">
              <w:rPr>
                <w:rFonts w:ascii="Calibri" w:hAnsi="Calibri" w:cs="Calibri"/>
                <w:color w:val="000000"/>
                <w:szCs w:val="22"/>
                <w:u w:val="double"/>
                <w:lang w:val="en-CA" w:eastAsia="en-CA"/>
              </w:rPr>
              <w:t>23,507</w:t>
            </w:r>
          </w:p>
        </w:tc>
      </w:tr>
      <w:tr w:rsidR="004A08E0" w:rsidRPr="004A08E0" w14:paraId="65146811" w14:textId="77777777" w:rsidTr="00BE236A">
        <w:trPr>
          <w:trHeight w:val="290"/>
        </w:trPr>
        <w:tc>
          <w:tcPr>
            <w:tcW w:w="864" w:type="dxa"/>
            <w:tcBorders>
              <w:top w:val="nil"/>
              <w:left w:val="nil"/>
              <w:bottom w:val="nil"/>
              <w:right w:val="nil"/>
            </w:tcBorders>
            <w:shd w:val="clear" w:color="auto" w:fill="auto"/>
            <w:noWrap/>
            <w:vAlign w:val="bottom"/>
            <w:hideMark/>
          </w:tcPr>
          <w:p w14:paraId="0C9C09BE" w14:textId="77777777" w:rsidR="004A08E0" w:rsidRPr="004A08E0" w:rsidRDefault="004A08E0" w:rsidP="004A08E0">
            <w:pPr>
              <w:jc w:val="right"/>
              <w:rPr>
                <w:rFonts w:ascii="Calibri" w:hAnsi="Calibri" w:cs="Calibri"/>
                <w:color w:val="000000"/>
                <w:szCs w:val="22"/>
                <w:u w:val="double"/>
                <w:lang w:val="en-CA" w:eastAsia="en-CA"/>
              </w:rPr>
            </w:pPr>
          </w:p>
        </w:tc>
        <w:tc>
          <w:tcPr>
            <w:tcW w:w="3704" w:type="dxa"/>
            <w:gridSpan w:val="4"/>
            <w:tcBorders>
              <w:top w:val="nil"/>
              <w:left w:val="nil"/>
              <w:bottom w:val="nil"/>
              <w:right w:val="nil"/>
            </w:tcBorders>
            <w:shd w:val="clear" w:color="auto" w:fill="auto"/>
            <w:noWrap/>
            <w:vAlign w:val="bottom"/>
            <w:hideMark/>
          </w:tcPr>
          <w:p w14:paraId="592E7279"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Net cash provided by Investing Activities</w:t>
            </w:r>
          </w:p>
        </w:tc>
        <w:tc>
          <w:tcPr>
            <w:tcW w:w="1282" w:type="dxa"/>
            <w:tcBorders>
              <w:top w:val="nil"/>
              <w:left w:val="nil"/>
              <w:bottom w:val="nil"/>
              <w:right w:val="nil"/>
            </w:tcBorders>
            <w:shd w:val="clear" w:color="auto" w:fill="auto"/>
            <w:noWrap/>
            <w:vAlign w:val="bottom"/>
            <w:hideMark/>
          </w:tcPr>
          <w:p w14:paraId="65EA6B7D" w14:textId="77777777" w:rsidR="004A08E0" w:rsidRPr="004A08E0" w:rsidRDefault="004A08E0" w:rsidP="004A08E0">
            <w:pPr>
              <w:rPr>
                <w:rFonts w:ascii="Calibri" w:hAnsi="Calibri" w:cs="Calibri"/>
                <w:b/>
                <w:bCs/>
                <w:color w:val="000000"/>
                <w:szCs w:val="22"/>
                <w:lang w:val="en-CA" w:eastAsia="en-CA"/>
              </w:rPr>
            </w:pPr>
          </w:p>
        </w:tc>
        <w:tc>
          <w:tcPr>
            <w:tcW w:w="1359" w:type="dxa"/>
            <w:gridSpan w:val="2"/>
            <w:tcBorders>
              <w:top w:val="nil"/>
              <w:left w:val="nil"/>
              <w:bottom w:val="nil"/>
              <w:right w:val="nil"/>
            </w:tcBorders>
            <w:shd w:val="clear" w:color="auto" w:fill="auto"/>
            <w:noWrap/>
            <w:vAlign w:val="bottom"/>
            <w:hideMark/>
          </w:tcPr>
          <w:p w14:paraId="6D2A8AF3"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142185BD"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0</w:t>
            </w:r>
          </w:p>
        </w:tc>
      </w:tr>
      <w:tr w:rsidR="004A08E0" w:rsidRPr="004A08E0" w14:paraId="28952C36" w14:textId="77777777" w:rsidTr="00BE236A">
        <w:trPr>
          <w:trHeight w:val="290"/>
        </w:trPr>
        <w:tc>
          <w:tcPr>
            <w:tcW w:w="864" w:type="dxa"/>
            <w:tcBorders>
              <w:top w:val="nil"/>
              <w:left w:val="nil"/>
              <w:bottom w:val="nil"/>
              <w:right w:val="nil"/>
            </w:tcBorders>
            <w:shd w:val="clear" w:color="auto" w:fill="auto"/>
            <w:noWrap/>
            <w:vAlign w:val="bottom"/>
            <w:hideMark/>
          </w:tcPr>
          <w:p w14:paraId="5AE94E28"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436849A5"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12DE151D"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6CDCA8AA"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683F6543"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631C9D92"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5BD5C8E6"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3388F7BF" w14:textId="77777777" w:rsidR="004A08E0" w:rsidRPr="004A08E0" w:rsidRDefault="004A08E0" w:rsidP="004A08E0">
            <w:pPr>
              <w:rPr>
                <w:rFonts w:ascii="Times New Roman" w:hAnsi="Times New Roman"/>
                <w:sz w:val="20"/>
                <w:szCs w:val="20"/>
                <w:lang w:val="en-CA" w:eastAsia="en-CA"/>
              </w:rPr>
            </w:pPr>
          </w:p>
        </w:tc>
      </w:tr>
      <w:tr w:rsidR="004A08E0" w:rsidRPr="004A08E0" w14:paraId="4DFFC421" w14:textId="77777777" w:rsidTr="00BE236A">
        <w:trPr>
          <w:trHeight w:val="290"/>
        </w:trPr>
        <w:tc>
          <w:tcPr>
            <w:tcW w:w="864" w:type="dxa"/>
            <w:tcBorders>
              <w:top w:val="nil"/>
              <w:left w:val="nil"/>
              <w:bottom w:val="nil"/>
              <w:right w:val="nil"/>
            </w:tcBorders>
            <w:shd w:val="clear" w:color="auto" w:fill="auto"/>
            <w:noWrap/>
            <w:vAlign w:val="bottom"/>
            <w:hideMark/>
          </w:tcPr>
          <w:p w14:paraId="7DCDD494" w14:textId="77777777" w:rsidR="004A08E0" w:rsidRPr="004A08E0" w:rsidRDefault="004A08E0" w:rsidP="004A08E0">
            <w:pPr>
              <w:rPr>
                <w:rFonts w:ascii="Times New Roman" w:hAnsi="Times New Roman"/>
                <w:sz w:val="20"/>
                <w:szCs w:val="20"/>
                <w:lang w:val="en-CA" w:eastAsia="en-CA"/>
              </w:rPr>
            </w:pPr>
          </w:p>
        </w:tc>
        <w:tc>
          <w:tcPr>
            <w:tcW w:w="2710" w:type="dxa"/>
            <w:gridSpan w:val="3"/>
            <w:tcBorders>
              <w:top w:val="nil"/>
              <w:left w:val="nil"/>
              <w:bottom w:val="nil"/>
              <w:right w:val="nil"/>
            </w:tcBorders>
            <w:shd w:val="clear" w:color="auto" w:fill="auto"/>
            <w:noWrap/>
            <w:vAlign w:val="bottom"/>
            <w:hideMark/>
          </w:tcPr>
          <w:p w14:paraId="5C611E1C"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Net cash increase for period</w:t>
            </w:r>
          </w:p>
        </w:tc>
        <w:tc>
          <w:tcPr>
            <w:tcW w:w="994" w:type="dxa"/>
            <w:tcBorders>
              <w:top w:val="nil"/>
              <w:left w:val="nil"/>
              <w:bottom w:val="nil"/>
              <w:right w:val="nil"/>
            </w:tcBorders>
            <w:shd w:val="clear" w:color="auto" w:fill="auto"/>
            <w:noWrap/>
            <w:vAlign w:val="bottom"/>
            <w:hideMark/>
          </w:tcPr>
          <w:p w14:paraId="14CD0B31" w14:textId="77777777" w:rsidR="004A08E0" w:rsidRPr="004A08E0" w:rsidRDefault="004A08E0" w:rsidP="004A08E0">
            <w:pPr>
              <w:rPr>
                <w:rFonts w:ascii="Calibri" w:hAnsi="Calibri" w:cs="Calibri"/>
                <w:b/>
                <w:bCs/>
                <w:color w:val="000000"/>
                <w:szCs w:val="22"/>
                <w:lang w:val="en-CA" w:eastAsia="en-CA"/>
              </w:rPr>
            </w:pPr>
          </w:p>
        </w:tc>
        <w:tc>
          <w:tcPr>
            <w:tcW w:w="1282" w:type="dxa"/>
            <w:tcBorders>
              <w:top w:val="nil"/>
              <w:left w:val="nil"/>
              <w:bottom w:val="nil"/>
              <w:right w:val="nil"/>
            </w:tcBorders>
            <w:shd w:val="clear" w:color="auto" w:fill="auto"/>
            <w:noWrap/>
            <w:vAlign w:val="bottom"/>
            <w:hideMark/>
          </w:tcPr>
          <w:p w14:paraId="19330350"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5512C37E"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-12,149</w:t>
            </w:r>
          </w:p>
        </w:tc>
        <w:tc>
          <w:tcPr>
            <w:tcW w:w="1836" w:type="dxa"/>
            <w:gridSpan w:val="2"/>
            <w:tcBorders>
              <w:top w:val="nil"/>
              <w:left w:val="nil"/>
              <w:bottom w:val="nil"/>
              <w:right w:val="nil"/>
            </w:tcBorders>
            <w:shd w:val="clear" w:color="auto" w:fill="auto"/>
            <w:noWrap/>
            <w:vAlign w:val="bottom"/>
            <w:hideMark/>
          </w:tcPr>
          <w:p w14:paraId="4BE291CA" w14:textId="77777777" w:rsidR="004A08E0" w:rsidRPr="004A08E0" w:rsidRDefault="004A08E0" w:rsidP="004A08E0">
            <w:pPr>
              <w:jc w:val="right"/>
              <w:rPr>
                <w:rFonts w:ascii="Calibri" w:hAnsi="Calibri" w:cs="Calibri"/>
                <w:color w:val="000000"/>
                <w:szCs w:val="22"/>
                <w:lang w:val="en-CA" w:eastAsia="en-CA"/>
              </w:rPr>
            </w:pPr>
            <w:r w:rsidRPr="004A08E0">
              <w:rPr>
                <w:rFonts w:ascii="Calibri" w:hAnsi="Calibri" w:cs="Calibri"/>
                <w:color w:val="000000"/>
                <w:szCs w:val="22"/>
                <w:lang w:val="en-CA" w:eastAsia="en-CA"/>
              </w:rPr>
              <w:t>-60,458</w:t>
            </w:r>
          </w:p>
        </w:tc>
      </w:tr>
      <w:tr w:rsidR="004A08E0" w:rsidRPr="004A08E0" w14:paraId="26BFA12A" w14:textId="77777777" w:rsidTr="00BE236A">
        <w:trPr>
          <w:trHeight w:val="290"/>
        </w:trPr>
        <w:tc>
          <w:tcPr>
            <w:tcW w:w="864" w:type="dxa"/>
            <w:tcBorders>
              <w:top w:val="nil"/>
              <w:left w:val="nil"/>
              <w:bottom w:val="nil"/>
              <w:right w:val="nil"/>
            </w:tcBorders>
            <w:shd w:val="clear" w:color="auto" w:fill="auto"/>
            <w:noWrap/>
            <w:vAlign w:val="bottom"/>
            <w:hideMark/>
          </w:tcPr>
          <w:p w14:paraId="68140658" w14:textId="77777777" w:rsidR="004A08E0" w:rsidRPr="004A08E0" w:rsidRDefault="004A08E0" w:rsidP="004A08E0">
            <w:pPr>
              <w:jc w:val="right"/>
              <w:rPr>
                <w:rFonts w:ascii="Calibri" w:hAnsi="Calibri" w:cs="Calibri"/>
                <w:color w:val="000000"/>
                <w:szCs w:val="22"/>
                <w:lang w:val="en-CA" w:eastAsia="en-CA"/>
              </w:rPr>
            </w:pPr>
          </w:p>
        </w:tc>
        <w:tc>
          <w:tcPr>
            <w:tcW w:w="904" w:type="dxa"/>
            <w:tcBorders>
              <w:top w:val="nil"/>
              <w:left w:val="nil"/>
              <w:bottom w:val="nil"/>
              <w:right w:val="nil"/>
            </w:tcBorders>
            <w:shd w:val="clear" w:color="auto" w:fill="auto"/>
            <w:noWrap/>
            <w:vAlign w:val="bottom"/>
            <w:hideMark/>
          </w:tcPr>
          <w:p w14:paraId="63444E6F"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4E81EAD0"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691A1C61"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29BFA7E1"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38983922"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42D49163"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6FDA5A1B" w14:textId="77777777" w:rsidR="004A08E0" w:rsidRPr="004A08E0" w:rsidRDefault="004A08E0" w:rsidP="004A08E0">
            <w:pPr>
              <w:rPr>
                <w:rFonts w:ascii="Times New Roman" w:hAnsi="Times New Roman"/>
                <w:sz w:val="20"/>
                <w:szCs w:val="20"/>
                <w:lang w:val="en-CA" w:eastAsia="en-CA"/>
              </w:rPr>
            </w:pPr>
          </w:p>
        </w:tc>
      </w:tr>
      <w:tr w:rsidR="004A08E0" w:rsidRPr="004A08E0" w14:paraId="43642D11" w14:textId="77777777" w:rsidTr="00BE236A">
        <w:trPr>
          <w:trHeight w:val="290"/>
        </w:trPr>
        <w:tc>
          <w:tcPr>
            <w:tcW w:w="864" w:type="dxa"/>
            <w:tcBorders>
              <w:top w:val="nil"/>
              <w:left w:val="nil"/>
              <w:bottom w:val="nil"/>
              <w:right w:val="nil"/>
            </w:tcBorders>
            <w:shd w:val="clear" w:color="auto" w:fill="auto"/>
            <w:noWrap/>
            <w:vAlign w:val="bottom"/>
            <w:hideMark/>
          </w:tcPr>
          <w:p w14:paraId="20969CB4" w14:textId="77777777" w:rsidR="004A08E0" w:rsidRPr="004A08E0" w:rsidRDefault="004A08E0" w:rsidP="004A08E0">
            <w:pPr>
              <w:rPr>
                <w:rFonts w:ascii="Times New Roman" w:hAnsi="Times New Roman"/>
                <w:sz w:val="20"/>
                <w:szCs w:val="20"/>
                <w:lang w:val="en-CA" w:eastAsia="en-CA"/>
              </w:rPr>
            </w:pPr>
          </w:p>
        </w:tc>
        <w:tc>
          <w:tcPr>
            <w:tcW w:w="2710" w:type="dxa"/>
            <w:gridSpan w:val="3"/>
            <w:tcBorders>
              <w:top w:val="nil"/>
              <w:left w:val="nil"/>
              <w:bottom w:val="nil"/>
              <w:right w:val="nil"/>
            </w:tcBorders>
            <w:shd w:val="clear" w:color="auto" w:fill="auto"/>
            <w:noWrap/>
            <w:vAlign w:val="bottom"/>
            <w:hideMark/>
          </w:tcPr>
          <w:p w14:paraId="4D067411"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Cash at beginning of period</w:t>
            </w:r>
          </w:p>
        </w:tc>
        <w:tc>
          <w:tcPr>
            <w:tcW w:w="994" w:type="dxa"/>
            <w:tcBorders>
              <w:top w:val="nil"/>
              <w:left w:val="nil"/>
              <w:bottom w:val="nil"/>
              <w:right w:val="nil"/>
            </w:tcBorders>
            <w:shd w:val="clear" w:color="auto" w:fill="auto"/>
            <w:noWrap/>
            <w:vAlign w:val="bottom"/>
            <w:hideMark/>
          </w:tcPr>
          <w:p w14:paraId="0B9F7F61" w14:textId="77777777" w:rsidR="004A08E0" w:rsidRPr="004A08E0" w:rsidRDefault="004A08E0" w:rsidP="004A08E0">
            <w:pPr>
              <w:rPr>
                <w:rFonts w:ascii="Calibri" w:hAnsi="Calibri" w:cs="Calibri"/>
                <w:b/>
                <w:bCs/>
                <w:color w:val="000000"/>
                <w:szCs w:val="22"/>
                <w:lang w:val="en-CA" w:eastAsia="en-CA"/>
              </w:rPr>
            </w:pPr>
          </w:p>
        </w:tc>
        <w:tc>
          <w:tcPr>
            <w:tcW w:w="1282" w:type="dxa"/>
            <w:tcBorders>
              <w:top w:val="nil"/>
              <w:left w:val="nil"/>
              <w:bottom w:val="nil"/>
              <w:right w:val="nil"/>
            </w:tcBorders>
            <w:shd w:val="clear" w:color="auto" w:fill="auto"/>
            <w:noWrap/>
            <w:vAlign w:val="bottom"/>
            <w:hideMark/>
          </w:tcPr>
          <w:p w14:paraId="00E65F7E"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20EA218B" w14:textId="77777777" w:rsidR="004A08E0" w:rsidRPr="004A08E0" w:rsidRDefault="004A08E0" w:rsidP="004A08E0">
            <w:pPr>
              <w:jc w:val="right"/>
              <w:rPr>
                <w:rFonts w:ascii="Calibri" w:hAnsi="Calibri" w:cs="Calibri"/>
                <w:color w:val="000000"/>
                <w:szCs w:val="22"/>
                <w:u w:val="single"/>
                <w:lang w:val="en-CA" w:eastAsia="en-CA"/>
              </w:rPr>
            </w:pPr>
            <w:r w:rsidRPr="004A08E0">
              <w:rPr>
                <w:rFonts w:ascii="Calibri" w:hAnsi="Calibri" w:cs="Calibri"/>
                <w:color w:val="000000"/>
                <w:szCs w:val="22"/>
                <w:u w:val="single"/>
                <w:lang w:val="en-CA" w:eastAsia="en-CA"/>
              </w:rPr>
              <w:t>16,703</w:t>
            </w:r>
          </w:p>
        </w:tc>
        <w:tc>
          <w:tcPr>
            <w:tcW w:w="1836" w:type="dxa"/>
            <w:gridSpan w:val="2"/>
            <w:tcBorders>
              <w:top w:val="nil"/>
              <w:left w:val="nil"/>
              <w:bottom w:val="nil"/>
              <w:right w:val="nil"/>
            </w:tcBorders>
            <w:shd w:val="clear" w:color="auto" w:fill="auto"/>
            <w:noWrap/>
            <w:vAlign w:val="bottom"/>
            <w:hideMark/>
          </w:tcPr>
          <w:p w14:paraId="511590E3" w14:textId="77777777" w:rsidR="004A08E0" w:rsidRPr="004A08E0" w:rsidRDefault="004A08E0" w:rsidP="004A08E0">
            <w:pPr>
              <w:jc w:val="right"/>
              <w:rPr>
                <w:rFonts w:ascii="Calibri" w:hAnsi="Calibri" w:cs="Calibri"/>
                <w:color w:val="000000"/>
                <w:szCs w:val="22"/>
                <w:u w:val="double"/>
                <w:lang w:val="en-CA" w:eastAsia="en-CA"/>
              </w:rPr>
            </w:pPr>
            <w:r w:rsidRPr="004A08E0">
              <w:rPr>
                <w:rFonts w:ascii="Calibri" w:hAnsi="Calibri" w:cs="Calibri"/>
                <w:color w:val="000000"/>
                <w:szCs w:val="22"/>
                <w:u w:val="double"/>
                <w:lang w:val="en-CA" w:eastAsia="en-CA"/>
              </w:rPr>
              <w:t>65,011</w:t>
            </w:r>
          </w:p>
        </w:tc>
      </w:tr>
      <w:tr w:rsidR="004A08E0" w:rsidRPr="004A08E0" w14:paraId="2C3B74B6" w14:textId="77777777" w:rsidTr="00BE236A">
        <w:trPr>
          <w:trHeight w:val="290"/>
        </w:trPr>
        <w:tc>
          <w:tcPr>
            <w:tcW w:w="864" w:type="dxa"/>
            <w:tcBorders>
              <w:top w:val="nil"/>
              <w:left w:val="nil"/>
              <w:bottom w:val="nil"/>
              <w:right w:val="nil"/>
            </w:tcBorders>
            <w:shd w:val="clear" w:color="auto" w:fill="auto"/>
            <w:noWrap/>
            <w:vAlign w:val="bottom"/>
            <w:hideMark/>
          </w:tcPr>
          <w:p w14:paraId="7521CA2D" w14:textId="77777777" w:rsidR="004A08E0" w:rsidRPr="004A08E0" w:rsidRDefault="004A08E0" w:rsidP="004A08E0">
            <w:pPr>
              <w:jc w:val="right"/>
              <w:rPr>
                <w:rFonts w:ascii="Calibri" w:hAnsi="Calibri" w:cs="Calibri"/>
                <w:color w:val="000000"/>
                <w:szCs w:val="22"/>
                <w:u w:val="double"/>
                <w:lang w:val="en-CA" w:eastAsia="en-CA"/>
              </w:rPr>
            </w:pPr>
          </w:p>
        </w:tc>
        <w:tc>
          <w:tcPr>
            <w:tcW w:w="904" w:type="dxa"/>
            <w:tcBorders>
              <w:top w:val="nil"/>
              <w:left w:val="nil"/>
              <w:bottom w:val="nil"/>
              <w:right w:val="nil"/>
            </w:tcBorders>
            <w:shd w:val="clear" w:color="auto" w:fill="auto"/>
            <w:noWrap/>
            <w:vAlign w:val="bottom"/>
            <w:hideMark/>
          </w:tcPr>
          <w:p w14:paraId="2C561ADB"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7E511CCB" w14:textId="77777777" w:rsidR="004A08E0" w:rsidRPr="004A08E0" w:rsidRDefault="004A08E0" w:rsidP="004A08E0">
            <w:pPr>
              <w:rPr>
                <w:rFonts w:ascii="Times New Roman" w:hAnsi="Times New Roman"/>
                <w:sz w:val="20"/>
                <w:szCs w:val="20"/>
                <w:lang w:val="en-CA" w:eastAsia="en-CA"/>
              </w:rPr>
            </w:pPr>
          </w:p>
        </w:tc>
        <w:tc>
          <w:tcPr>
            <w:tcW w:w="903" w:type="dxa"/>
            <w:tcBorders>
              <w:top w:val="nil"/>
              <w:left w:val="nil"/>
              <w:bottom w:val="nil"/>
              <w:right w:val="nil"/>
            </w:tcBorders>
            <w:shd w:val="clear" w:color="auto" w:fill="auto"/>
            <w:noWrap/>
            <w:vAlign w:val="bottom"/>
            <w:hideMark/>
          </w:tcPr>
          <w:p w14:paraId="08CAA4C4" w14:textId="77777777" w:rsidR="004A08E0" w:rsidRPr="004A08E0" w:rsidRDefault="004A08E0" w:rsidP="004A08E0">
            <w:pPr>
              <w:rPr>
                <w:rFonts w:ascii="Times New Roman" w:hAnsi="Times New Roman"/>
                <w:sz w:val="20"/>
                <w:szCs w:val="20"/>
                <w:lang w:val="en-CA" w:eastAsia="en-CA"/>
              </w:rPr>
            </w:pPr>
          </w:p>
        </w:tc>
        <w:tc>
          <w:tcPr>
            <w:tcW w:w="994" w:type="dxa"/>
            <w:tcBorders>
              <w:top w:val="nil"/>
              <w:left w:val="nil"/>
              <w:bottom w:val="nil"/>
              <w:right w:val="nil"/>
            </w:tcBorders>
            <w:shd w:val="clear" w:color="auto" w:fill="auto"/>
            <w:noWrap/>
            <w:vAlign w:val="bottom"/>
            <w:hideMark/>
          </w:tcPr>
          <w:p w14:paraId="611FA0FC" w14:textId="77777777" w:rsidR="004A08E0" w:rsidRPr="004A08E0" w:rsidRDefault="004A08E0" w:rsidP="004A08E0">
            <w:pPr>
              <w:rPr>
                <w:rFonts w:ascii="Times New Roman" w:hAnsi="Times New Roman"/>
                <w:sz w:val="20"/>
                <w:szCs w:val="20"/>
                <w:lang w:val="en-CA" w:eastAsia="en-CA"/>
              </w:rPr>
            </w:pPr>
          </w:p>
        </w:tc>
        <w:tc>
          <w:tcPr>
            <w:tcW w:w="1282" w:type="dxa"/>
            <w:tcBorders>
              <w:top w:val="nil"/>
              <w:left w:val="nil"/>
              <w:bottom w:val="nil"/>
              <w:right w:val="nil"/>
            </w:tcBorders>
            <w:shd w:val="clear" w:color="auto" w:fill="auto"/>
            <w:noWrap/>
            <w:vAlign w:val="bottom"/>
            <w:hideMark/>
          </w:tcPr>
          <w:p w14:paraId="156FBCB7"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7AA771CC" w14:textId="77777777" w:rsidR="004A08E0" w:rsidRPr="004A08E0" w:rsidRDefault="004A08E0" w:rsidP="004A08E0">
            <w:pPr>
              <w:rPr>
                <w:rFonts w:ascii="Times New Roman" w:hAnsi="Times New Roman"/>
                <w:sz w:val="20"/>
                <w:szCs w:val="20"/>
                <w:lang w:val="en-CA" w:eastAsia="en-CA"/>
              </w:rPr>
            </w:pPr>
          </w:p>
        </w:tc>
        <w:tc>
          <w:tcPr>
            <w:tcW w:w="1836" w:type="dxa"/>
            <w:gridSpan w:val="2"/>
            <w:tcBorders>
              <w:top w:val="nil"/>
              <w:left w:val="nil"/>
              <w:bottom w:val="nil"/>
              <w:right w:val="nil"/>
            </w:tcBorders>
            <w:shd w:val="clear" w:color="auto" w:fill="auto"/>
            <w:noWrap/>
            <w:vAlign w:val="bottom"/>
            <w:hideMark/>
          </w:tcPr>
          <w:p w14:paraId="04C59D98" w14:textId="77777777" w:rsidR="004A08E0" w:rsidRPr="004A08E0" w:rsidRDefault="004A08E0" w:rsidP="004A08E0">
            <w:pPr>
              <w:rPr>
                <w:rFonts w:ascii="Times New Roman" w:hAnsi="Times New Roman"/>
                <w:sz w:val="20"/>
                <w:szCs w:val="20"/>
                <w:lang w:val="en-CA" w:eastAsia="en-CA"/>
              </w:rPr>
            </w:pPr>
          </w:p>
        </w:tc>
      </w:tr>
      <w:tr w:rsidR="004A08E0" w:rsidRPr="004A08E0" w14:paraId="1949E691" w14:textId="77777777" w:rsidTr="00BE236A">
        <w:trPr>
          <w:trHeight w:val="290"/>
        </w:trPr>
        <w:tc>
          <w:tcPr>
            <w:tcW w:w="864" w:type="dxa"/>
            <w:tcBorders>
              <w:top w:val="nil"/>
              <w:left w:val="nil"/>
              <w:bottom w:val="nil"/>
              <w:right w:val="nil"/>
            </w:tcBorders>
            <w:shd w:val="clear" w:color="auto" w:fill="auto"/>
            <w:noWrap/>
            <w:vAlign w:val="bottom"/>
            <w:hideMark/>
          </w:tcPr>
          <w:p w14:paraId="7FF92F33" w14:textId="77777777" w:rsidR="004A08E0" w:rsidRPr="004A08E0" w:rsidRDefault="004A08E0" w:rsidP="004A08E0">
            <w:pPr>
              <w:rPr>
                <w:rFonts w:ascii="Times New Roman" w:hAnsi="Times New Roman"/>
                <w:sz w:val="20"/>
                <w:szCs w:val="20"/>
                <w:lang w:val="en-CA" w:eastAsia="en-CA"/>
              </w:rPr>
            </w:pPr>
          </w:p>
        </w:tc>
        <w:tc>
          <w:tcPr>
            <w:tcW w:w="2710" w:type="dxa"/>
            <w:gridSpan w:val="3"/>
            <w:tcBorders>
              <w:top w:val="nil"/>
              <w:left w:val="nil"/>
              <w:bottom w:val="nil"/>
              <w:right w:val="nil"/>
            </w:tcBorders>
            <w:shd w:val="clear" w:color="auto" w:fill="auto"/>
            <w:noWrap/>
            <w:vAlign w:val="bottom"/>
            <w:hideMark/>
          </w:tcPr>
          <w:p w14:paraId="1594A380" w14:textId="77777777" w:rsidR="004A08E0" w:rsidRPr="004A08E0" w:rsidRDefault="004A08E0" w:rsidP="004A08E0">
            <w:pPr>
              <w:rPr>
                <w:rFonts w:ascii="Calibri" w:hAnsi="Calibri" w:cs="Calibri"/>
                <w:b/>
                <w:bCs/>
                <w:color w:val="000000"/>
                <w:szCs w:val="22"/>
                <w:lang w:val="en-CA" w:eastAsia="en-CA"/>
              </w:rPr>
            </w:pPr>
            <w:r w:rsidRPr="004A08E0">
              <w:rPr>
                <w:rFonts w:ascii="Calibri" w:hAnsi="Calibri" w:cs="Calibri"/>
                <w:b/>
                <w:bCs/>
                <w:color w:val="000000"/>
                <w:szCs w:val="22"/>
                <w:lang w:val="en-CA" w:eastAsia="en-CA"/>
              </w:rPr>
              <w:t>Cash at end of Period</w:t>
            </w:r>
          </w:p>
        </w:tc>
        <w:tc>
          <w:tcPr>
            <w:tcW w:w="994" w:type="dxa"/>
            <w:tcBorders>
              <w:top w:val="nil"/>
              <w:left w:val="nil"/>
              <w:bottom w:val="nil"/>
              <w:right w:val="nil"/>
            </w:tcBorders>
            <w:shd w:val="clear" w:color="auto" w:fill="auto"/>
            <w:noWrap/>
            <w:vAlign w:val="bottom"/>
            <w:hideMark/>
          </w:tcPr>
          <w:p w14:paraId="0251359A" w14:textId="77777777" w:rsidR="004A08E0" w:rsidRPr="004A08E0" w:rsidRDefault="004A08E0" w:rsidP="004A08E0">
            <w:pPr>
              <w:rPr>
                <w:rFonts w:ascii="Calibri" w:hAnsi="Calibri" w:cs="Calibri"/>
                <w:b/>
                <w:bCs/>
                <w:color w:val="000000"/>
                <w:szCs w:val="22"/>
                <w:lang w:val="en-CA" w:eastAsia="en-CA"/>
              </w:rPr>
            </w:pPr>
          </w:p>
        </w:tc>
        <w:tc>
          <w:tcPr>
            <w:tcW w:w="1282" w:type="dxa"/>
            <w:tcBorders>
              <w:top w:val="nil"/>
              <w:left w:val="nil"/>
              <w:bottom w:val="nil"/>
              <w:right w:val="nil"/>
            </w:tcBorders>
            <w:shd w:val="clear" w:color="auto" w:fill="auto"/>
            <w:noWrap/>
            <w:vAlign w:val="bottom"/>
            <w:hideMark/>
          </w:tcPr>
          <w:p w14:paraId="00820F18" w14:textId="77777777" w:rsidR="004A08E0" w:rsidRPr="004A08E0" w:rsidRDefault="004A08E0" w:rsidP="004A08E0">
            <w:pPr>
              <w:rPr>
                <w:rFonts w:ascii="Times New Roman" w:hAnsi="Times New Roman"/>
                <w:sz w:val="20"/>
                <w:szCs w:val="20"/>
                <w:lang w:val="en-CA" w:eastAsia="en-CA"/>
              </w:rPr>
            </w:pPr>
          </w:p>
        </w:tc>
        <w:tc>
          <w:tcPr>
            <w:tcW w:w="1359" w:type="dxa"/>
            <w:gridSpan w:val="2"/>
            <w:tcBorders>
              <w:top w:val="nil"/>
              <w:left w:val="nil"/>
              <w:bottom w:val="nil"/>
              <w:right w:val="nil"/>
            </w:tcBorders>
            <w:shd w:val="clear" w:color="auto" w:fill="auto"/>
            <w:noWrap/>
            <w:vAlign w:val="bottom"/>
            <w:hideMark/>
          </w:tcPr>
          <w:p w14:paraId="1889BD67" w14:textId="77777777" w:rsidR="004A08E0" w:rsidRPr="004A08E0" w:rsidRDefault="004A08E0" w:rsidP="004A08E0">
            <w:pPr>
              <w:jc w:val="right"/>
              <w:rPr>
                <w:rFonts w:ascii="Calibri" w:hAnsi="Calibri" w:cs="Calibri"/>
                <w:color w:val="000000"/>
                <w:szCs w:val="22"/>
                <w:u w:val="double"/>
                <w:lang w:val="en-CA" w:eastAsia="en-CA"/>
              </w:rPr>
            </w:pPr>
            <w:r w:rsidRPr="004A08E0">
              <w:rPr>
                <w:rFonts w:ascii="Calibri" w:hAnsi="Calibri" w:cs="Calibri"/>
                <w:color w:val="000000"/>
                <w:szCs w:val="22"/>
                <w:u w:val="double"/>
                <w:lang w:val="en-CA" w:eastAsia="en-CA"/>
              </w:rPr>
              <w:t>4,553</w:t>
            </w:r>
          </w:p>
        </w:tc>
        <w:tc>
          <w:tcPr>
            <w:tcW w:w="1836" w:type="dxa"/>
            <w:gridSpan w:val="2"/>
            <w:tcBorders>
              <w:top w:val="nil"/>
              <w:left w:val="nil"/>
              <w:bottom w:val="nil"/>
              <w:right w:val="nil"/>
            </w:tcBorders>
            <w:shd w:val="clear" w:color="auto" w:fill="auto"/>
            <w:noWrap/>
            <w:vAlign w:val="bottom"/>
            <w:hideMark/>
          </w:tcPr>
          <w:p w14:paraId="7733CCEF" w14:textId="77777777" w:rsidR="004A08E0" w:rsidRPr="004A08E0" w:rsidRDefault="004A08E0" w:rsidP="004A08E0">
            <w:pPr>
              <w:jc w:val="right"/>
              <w:rPr>
                <w:rFonts w:ascii="Calibri" w:hAnsi="Calibri" w:cs="Calibri"/>
                <w:color w:val="000000"/>
                <w:szCs w:val="22"/>
                <w:u w:val="double"/>
                <w:lang w:val="en-CA" w:eastAsia="en-CA"/>
              </w:rPr>
            </w:pPr>
            <w:r w:rsidRPr="004A08E0">
              <w:rPr>
                <w:rFonts w:ascii="Calibri" w:hAnsi="Calibri" w:cs="Calibri"/>
                <w:color w:val="000000"/>
                <w:szCs w:val="22"/>
                <w:u w:val="double"/>
                <w:lang w:val="en-CA" w:eastAsia="en-CA"/>
              </w:rPr>
              <w:t>4,553</w:t>
            </w:r>
          </w:p>
        </w:tc>
      </w:tr>
    </w:tbl>
    <w:p w14:paraId="431F0A63" w14:textId="77777777" w:rsidR="004A08E0" w:rsidRDefault="004A08E0" w:rsidP="00977581">
      <w:pPr>
        <w:autoSpaceDE w:val="0"/>
        <w:autoSpaceDN w:val="0"/>
        <w:adjustRightInd w:val="0"/>
        <w:ind w:left="360"/>
        <w:jc w:val="center"/>
        <w:rPr>
          <w:rFonts w:ascii="Times New Roman" w:hAnsi="Times New Roman"/>
          <w:b/>
          <w:bCs/>
          <w:color w:val="000000"/>
          <w:szCs w:val="22"/>
        </w:rPr>
      </w:pPr>
    </w:p>
    <w:p w14:paraId="18DE5D45" w14:textId="6101C07F" w:rsidR="004A08E0" w:rsidRDefault="004A08E0">
      <w:pPr>
        <w:spacing w:after="160" w:line="259" w:lineRule="auto"/>
        <w:rPr>
          <w:rFonts w:ascii="Times New Roman" w:hAnsi="Times New Roman"/>
          <w:b/>
          <w:bCs/>
          <w:color w:val="000000"/>
          <w:szCs w:val="22"/>
        </w:rPr>
      </w:pPr>
    </w:p>
    <w:p w14:paraId="25ACE9B9" w14:textId="77777777" w:rsidR="00977581" w:rsidRPr="009F7745" w:rsidRDefault="00977581" w:rsidP="009F7745">
      <w:pPr>
        <w:autoSpaceDE w:val="0"/>
        <w:autoSpaceDN w:val="0"/>
        <w:adjustRightInd w:val="0"/>
        <w:rPr>
          <w:rFonts w:asciiTheme="minorHAnsi" w:hAnsiTheme="minorHAnsi" w:cstheme="minorHAnsi"/>
          <w:b/>
          <w:bCs/>
          <w:color w:val="000000"/>
          <w:szCs w:val="22"/>
        </w:rPr>
      </w:pPr>
      <w:r w:rsidRPr="00BE236A">
        <w:rPr>
          <w:rFonts w:asciiTheme="minorHAnsi" w:hAnsiTheme="minorHAnsi" w:cstheme="minorHAnsi"/>
          <w:b/>
          <w:bCs/>
          <w:color w:val="000000"/>
          <w:szCs w:val="22"/>
        </w:rPr>
        <w:t>Project One Resources Ltd.</w:t>
      </w:r>
      <w:r w:rsidRPr="00BE236A">
        <w:rPr>
          <w:rFonts w:asciiTheme="minorHAnsi" w:hAnsiTheme="minorHAnsi" w:cstheme="minorHAnsi"/>
          <w:b/>
          <w:bCs/>
          <w:color w:val="000000"/>
          <w:szCs w:val="22"/>
        </w:rPr>
        <w:br/>
        <w:t>Condensed Interim Statement of Changes in Equity</w:t>
      </w:r>
      <w:r w:rsidRPr="00BE236A">
        <w:rPr>
          <w:rFonts w:asciiTheme="minorHAnsi" w:hAnsiTheme="minorHAnsi" w:cstheme="minorHAnsi"/>
          <w:b/>
          <w:bCs/>
          <w:color w:val="000000"/>
          <w:szCs w:val="22"/>
        </w:rPr>
        <w:br/>
        <w:t>(Expressed in Canadian Dollars)</w:t>
      </w:r>
      <w:r w:rsidRPr="00BE236A">
        <w:rPr>
          <w:rFonts w:asciiTheme="minorHAnsi" w:hAnsiTheme="minorHAnsi" w:cstheme="minorHAnsi"/>
          <w:b/>
          <w:bCs/>
          <w:color w:val="000000"/>
          <w:szCs w:val="22"/>
        </w:rPr>
        <w:br/>
        <w:t>(Unaudited)</w:t>
      </w:r>
    </w:p>
    <w:p w14:paraId="758F26E2" w14:textId="77777777" w:rsidR="009F7745" w:rsidRPr="004C0D70" w:rsidRDefault="00977581" w:rsidP="009F7745">
      <w:pPr>
        <w:autoSpaceDE w:val="0"/>
        <w:autoSpaceDN w:val="0"/>
        <w:adjustRightInd w:val="0"/>
        <w:rPr>
          <w:rFonts w:ascii="Times New Roman" w:hAnsi="Times New Roman"/>
          <w:bCs/>
          <w:color w:val="000000"/>
          <w:szCs w:val="22"/>
          <w:u w:val="single"/>
        </w:rPr>
      </w:pPr>
      <w:r w:rsidRPr="004C0D70">
        <w:rPr>
          <w:rFonts w:ascii="Times New Roman" w:hAnsi="Times New Roman"/>
          <w:b/>
          <w:bCs/>
          <w:color w:val="000000"/>
          <w:szCs w:val="22"/>
        </w:rPr>
        <w:br/>
      </w:r>
    </w:p>
    <w:tbl>
      <w:tblPr>
        <w:tblW w:w="10080" w:type="dxa"/>
        <w:tblLook w:val="04A0" w:firstRow="1" w:lastRow="0" w:firstColumn="1" w:lastColumn="0" w:noHBand="0" w:noVBand="1"/>
      </w:tblPr>
      <w:tblGrid>
        <w:gridCol w:w="960"/>
        <w:gridCol w:w="960"/>
        <w:gridCol w:w="960"/>
        <w:gridCol w:w="960"/>
        <w:gridCol w:w="1345"/>
        <w:gridCol w:w="1279"/>
        <w:gridCol w:w="1361"/>
        <w:gridCol w:w="1421"/>
        <w:gridCol w:w="960"/>
      </w:tblGrid>
      <w:tr w:rsidR="009F7745" w:rsidRPr="009F7745" w14:paraId="73499696" w14:textId="77777777" w:rsidTr="009F7745">
        <w:trPr>
          <w:trHeight w:val="290"/>
        </w:trPr>
        <w:tc>
          <w:tcPr>
            <w:tcW w:w="960" w:type="dxa"/>
            <w:tcBorders>
              <w:top w:val="nil"/>
              <w:left w:val="nil"/>
              <w:bottom w:val="nil"/>
              <w:right w:val="nil"/>
            </w:tcBorders>
            <w:shd w:val="clear" w:color="auto" w:fill="auto"/>
            <w:noWrap/>
            <w:vAlign w:val="bottom"/>
            <w:hideMark/>
          </w:tcPr>
          <w:p w14:paraId="0FD3B3A6" w14:textId="77777777" w:rsidR="009F7745" w:rsidRPr="009F7745" w:rsidRDefault="009F7745" w:rsidP="009F7745">
            <w:pPr>
              <w:rPr>
                <w:rFonts w:ascii="Times New Roman" w:hAnsi="Times New Roman"/>
                <w:sz w:val="24"/>
                <w:szCs w:val="20"/>
                <w:lang w:val="en-CA" w:eastAsia="en-CA"/>
              </w:rPr>
            </w:pPr>
          </w:p>
        </w:tc>
        <w:tc>
          <w:tcPr>
            <w:tcW w:w="960" w:type="dxa"/>
            <w:tcBorders>
              <w:top w:val="nil"/>
              <w:left w:val="nil"/>
              <w:bottom w:val="nil"/>
              <w:right w:val="nil"/>
            </w:tcBorders>
            <w:shd w:val="clear" w:color="auto" w:fill="auto"/>
            <w:noWrap/>
            <w:vAlign w:val="bottom"/>
            <w:hideMark/>
          </w:tcPr>
          <w:p w14:paraId="479FB169"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465D545"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61B3A6E2"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44161EBE" w14:textId="77777777" w:rsidR="009F7745" w:rsidRPr="009F7745" w:rsidRDefault="009F7745" w:rsidP="009F7745">
            <w:pPr>
              <w:rPr>
                <w:rFonts w:ascii="Times New Roman" w:hAnsi="Times New Roman"/>
                <w:sz w:val="20"/>
                <w:szCs w:val="20"/>
                <w:lang w:val="en-CA" w:eastAsia="en-CA"/>
              </w:rPr>
            </w:pPr>
          </w:p>
        </w:tc>
        <w:tc>
          <w:tcPr>
            <w:tcW w:w="2640" w:type="dxa"/>
            <w:gridSpan w:val="2"/>
            <w:tcBorders>
              <w:top w:val="nil"/>
              <w:left w:val="nil"/>
              <w:bottom w:val="nil"/>
              <w:right w:val="nil"/>
            </w:tcBorders>
            <w:shd w:val="clear" w:color="auto" w:fill="auto"/>
            <w:noWrap/>
            <w:vAlign w:val="center"/>
            <w:hideMark/>
          </w:tcPr>
          <w:p w14:paraId="1FA6356B"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Common Shares</w:t>
            </w:r>
          </w:p>
        </w:tc>
        <w:tc>
          <w:tcPr>
            <w:tcW w:w="1320" w:type="dxa"/>
            <w:tcBorders>
              <w:top w:val="nil"/>
              <w:left w:val="nil"/>
              <w:bottom w:val="nil"/>
              <w:right w:val="nil"/>
            </w:tcBorders>
            <w:shd w:val="clear" w:color="auto" w:fill="auto"/>
            <w:noWrap/>
            <w:vAlign w:val="bottom"/>
            <w:hideMark/>
          </w:tcPr>
          <w:p w14:paraId="465C0DE8" w14:textId="77777777" w:rsidR="009F7745" w:rsidRPr="009F7745" w:rsidRDefault="009F7745" w:rsidP="009F7745">
            <w:pPr>
              <w:rPr>
                <w:rFonts w:ascii="Calibri" w:hAnsi="Calibri" w:cs="Calibri"/>
                <w:b/>
                <w:bCs/>
                <w:color w:val="000000"/>
                <w:szCs w:val="22"/>
                <w:u w:val="single"/>
                <w:lang w:val="en-CA" w:eastAsia="en-CA"/>
              </w:rPr>
            </w:pPr>
          </w:p>
        </w:tc>
        <w:tc>
          <w:tcPr>
            <w:tcW w:w="960" w:type="dxa"/>
            <w:tcBorders>
              <w:top w:val="nil"/>
              <w:left w:val="nil"/>
              <w:bottom w:val="nil"/>
              <w:right w:val="nil"/>
            </w:tcBorders>
            <w:shd w:val="clear" w:color="auto" w:fill="auto"/>
            <w:noWrap/>
            <w:vAlign w:val="bottom"/>
            <w:hideMark/>
          </w:tcPr>
          <w:p w14:paraId="548E546C" w14:textId="77777777" w:rsidR="009F7745" w:rsidRPr="009F7745" w:rsidRDefault="009F7745" w:rsidP="009F7745">
            <w:pPr>
              <w:rPr>
                <w:rFonts w:ascii="Times New Roman" w:hAnsi="Times New Roman"/>
                <w:sz w:val="20"/>
                <w:szCs w:val="20"/>
                <w:lang w:val="en-CA" w:eastAsia="en-CA"/>
              </w:rPr>
            </w:pPr>
          </w:p>
        </w:tc>
      </w:tr>
      <w:tr w:rsidR="009F7745" w:rsidRPr="009F7745" w14:paraId="4E596C88" w14:textId="77777777" w:rsidTr="009F7745">
        <w:trPr>
          <w:trHeight w:val="290"/>
        </w:trPr>
        <w:tc>
          <w:tcPr>
            <w:tcW w:w="960" w:type="dxa"/>
            <w:tcBorders>
              <w:top w:val="nil"/>
              <w:left w:val="nil"/>
              <w:bottom w:val="nil"/>
              <w:right w:val="nil"/>
            </w:tcBorders>
            <w:shd w:val="clear" w:color="auto" w:fill="auto"/>
            <w:noWrap/>
            <w:vAlign w:val="bottom"/>
            <w:hideMark/>
          </w:tcPr>
          <w:p w14:paraId="6922F326"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7CD6DFFA"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A5B7E98"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031461F7"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3FFF04EA"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bottom"/>
            <w:hideMark/>
          </w:tcPr>
          <w:p w14:paraId="356C6A17"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1B2EC01C"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6B8CBE26"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116798B1" w14:textId="77777777" w:rsidR="009F7745" w:rsidRPr="009F7745" w:rsidRDefault="009F7745" w:rsidP="009F7745">
            <w:pPr>
              <w:rPr>
                <w:rFonts w:ascii="Times New Roman" w:hAnsi="Times New Roman"/>
                <w:sz w:val="20"/>
                <w:szCs w:val="20"/>
                <w:lang w:val="en-CA" w:eastAsia="en-CA"/>
              </w:rPr>
            </w:pPr>
          </w:p>
        </w:tc>
      </w:tr>
      <w:tr w:rsidR="009F7745" w:rsidRPr="009F7745" w14:paraId="5012C04E" w14:textId="77777777" w:rsidTr="009F7745">
        <w:trPr>
          <w:trHeight w:val="290"/>
        </w:trPr>
        <w:tc>
          <w:tcPr>
            <w:tcW w:w="960" w:type="dxa"/>
            <w:tcBorders>
              <w:top w:val="nil"/>
              <w:left w:val="nil"/>
              <w:bottom w:val="nil"/>
              <w:right w:val="nil"/>
            </w:tcBorders>
            <w:shd w:val="clear" w:color="auto" w:fill="auto"/>
            <w:noWrap/>
            <w:vAlign w:val="bottom"/>
            <w:hideMark/>
          </w:tcPr>
          <w:p w14:paraId="57A57A04"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0246D8C7"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72F6FE4A"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08865F57"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center"/>
            <w:hideMark/>
          </w:tcPr>
          <w:p w14:paraId="260439CA"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Number</w:t>
            </w:r>
          </w:p>
        </w:tc>
        <w:tc>
          <w:tcPr>
            <w:tcW w:w="1279" w:type="dxa"/>
            <w:tcBorders>
              <w:top w:val="nil"/>
              <w:left w:val="nil"/>
              <w:bottom w:val="nil"/>
              <w:right w:val="nil"/>
            </w:tcBorders>
            <w:shd w:val="clear" w:color="auto" w:fill="auto"/>
            <w:noWrap/>
            <w:vAlign w:val="center"/>
            <w:hideMark/>
          </w:tcPr>
          <w:p w14:paraId="0B29C22B"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Amount</w:t>
            </w:r>
          </w:p>
        </w:tc>
        <w:tc>
          <w:tcPr>
            <w:tcW w:w="1361" w:type="dxa"/>
            <w:tcBorders>
              <w:top w:val="nil"/>
              <w:left w:val="nil"/>
              <w:bottom w:val="nil"/>
              <w:right w:val="nil"/>
            </w:tcBorders>
            <w:shd w:val="clear" w:color="auto" w:fill="auto"/>
            <w:noWrap/>
            <w:vAlign w:val="center"/>
            <w:hideMark/>
          </w:tcPr>
          <w:p w14:paraId="5C0A9F8C"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Deficit</w:t>
            </w:r>
          </w:p>
        </w:tc>
        <w:tc>
          <w:tcPr>
            <w:tcW w:w="1320" w:type="dxa"/>
            <w:tcBorders>
              <w:top w:val="nil"/>
              <w:left w:val="nil"/>
              <w:bottom w:val="nil"/>
              <w:right w:val="nil"/>
            </w:tcBorders>
            <w:shd w:val="clear" w:color="auto" w:fill="auto"/>
            <w:noWrap/>
            <w:vAlign w:val="center"/>
            <w:hideMark/>
          </w:tcPr>
          <w:p w14:paraId="1E9792FB"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Total</w:t>
            </w:r>
          </w:p>
        </w:tc>
        <w:tc>
          <w:tcPr>
            <w:tcW w:w="960" w:type="dxa"/>
            <w:tcBorders>
              <w:top w:val="nil"/>
              <w:left w:val="nil"/>
              <w:bottom w:val="nil"/>
              <w:right w:val="nil"/>
            </w:tcBorders>
            <w:shd w:val="clear" w:color="auto" w:fill="auto"/>
            <w:noWrap/>
            <w:vAlign w:val="bottom"/>
            <w:hideMark/>
          </w:tcPr>
          <w:p w14:paraId="37EE67D9" w14:textId="77777777" w:rsidR="009F7745" w:rsidRPr="009F7745" w:rsidRDefault="009F7745" w:rsidP="009F7745">
            <w:pPr>
              <w:rPr>
                <w:rFonts w:ascii="Calibri" w:hAnsi="Calibri" w:cs="Calibri"/>
                <w:b/>
                <w:bCs/>
                <w:color w:val="000000"/>
                <w:szCs w:val="22"/>
                <w:u w:val="single"/>
                <w:lang w:val="en-CA" w:eastAsia="en-CA"/>
              </w:rPr>
            </w:pPr>
          </w:p>
        </w:tc>
      </w:tr>
      <w:tr w:rsidR="009F7745" w:rsidRPr="009F7745" w14:paraId="1E7787DC" w14:textId="77777777" w:rsidTr="009F7745">
        <w:trPr>
          <w:trHeight w:val="290"/>
        </w:trPr>
        <w:tc>
          <w:tcPr>
            <w:tcW w:w="960" w:type="dxa"/>
            <w:tcBorders>
              <w:top w:val="nil"/>
              <w:left w:val="nil"/>
              <w:bottom w:val="nil"/>
              <w:right w:val="nil"/>
            </w:tcBorders>
            <w:shd w:val="clear" w:color="auto" w:fill="auto"/>
            <w:noWrap/>
            <w:vAlign w:val="bottom"/>
            <w:hideMark/>
          </w:tcPr>
          <w:p w14:paraId="7A684D52"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0E6B2C97"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409A629D"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7DC5FEFE"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center"/>
            <w:hideMark/>
          </w:tcPr>
          <w:p w14:paraId="2FD44DEF"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Outstanding</w:t>
            </w:r>
          </w:p>
        </w:tc>
        <w:tc>
          <w:tcPr>
            <w:tcW w:w="1279" w:type="dxa"/>
            <w:tcBorders>
              <w:top w:val="nil"/>
              <w:left w:val="nil"/>
              <w:bottom w:val="nil"/>
              <w:right w:val="nil"/>
            </w:tcBorders>
            <w:shd w:val="clear" w:color="auto" w:fill="auto"/>
            <w:noWrap/>
            <w:vAlign w:val="center"/>
            <w:hideMark/>
          </w:tcPr>
          <w:p w14:paraId="7EBEA6CF"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w:t>
            </w:r>
          </w:p>
        </w:tc>
        <w:tc>
          <w:tcPr>
            <w:tcW w:w="1361" w:type="dxa"/>
            <w:tcBorders>
              <w:top w:val="nil"/>
              <w:left w:val="nil"/>
              <w:bottom w:val="nil"/>
              <w:right w:val="nil"/>
            </w:tcBorders>
            <w:shd w:val="clear" w:color="auto" w:fill="auto"/>
            <w:noWrap/>
            <w:vAlign w:val="center"/>
            <w:hideMark/>
          </w:tcPr>
          <w:p w14:paraId="73123CFF"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w:t>
            </w:r>
          </w:p>
        </w:tc>
        <w:tc>
          <w:tcPr>
            <w:tcW w:w="1320" w:type="dxa"/>
            <w:tcBorders>
              <w:top w:val="nil"/>
              <w:left w:val="nil"/>
              <w:bottom w:val="nil"/>
              <w:right w:val="nil"/>
            </w:tcBorders>
            <w:shd w:val="clear" w:color="auto" w:fill="auto"/>
            <w:noWrap/>
            <w:vAlign w:val="center"/>
            <w:hideMark/>
          </w:tcPr>
          <w:p w14:paraId="1DBAEEC3"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Shareholders</w:t>
            </w:r>
          </w:p>
        </w:tc>
        <w:tc>
          <w:tcPr>
            <w:tcW w:w="960" w:type="dxa"/>
            <w:tcBorders>
              <w:top w:val="nil"/>
              <w:left w:val="nil"/>
              <w:bottom w:val="nil"/>
              <w:right w:val="nil"/>
            </w:tcBorders>
            <w:shd w:val="clear" w:color="auto" w:fill="auto"/>
            <w:noWrap/>
            <w:vAlign w:val="bottom"/>
            <w:hideMark/>
          </w:tcPr>
          <w:p w14:paraId="27666683" w14:textId="77777777" w:rsidR="009F7745" w:rsidRPr="009F7745" w:rsidRDefault="009F7745" w:rsidP="009F7745">
            <w:pPr>
              <w:rPr>
                <w:rFonts w:ascii="Calibri" w:hAnsi="Calibri" w:cs="Calibri"/>
                <w:b/>
                <w:bCs/>
                <w:color w:val="000000"/>
                <w:szCs w:val="22"/>
                <w:u w:val="single"/>
                <w:lang w:val="en-CA" w:eastAsia="en-CA"/>
              </w:rPr>
            </w:pPr>
          </w:p>
        </w:tc>
      </w:tr>
      <w:tr w:rsidR="009F7745" w:rsidRPr="009F7745" w14:paraId="68044BA3" w14:textId="77777777" w:rsidTr="009F7745">
        <w:trPr>
          <w:trHeight w:val="290"/>
        </w:trPr>
        <w:tc>
          <w:tcPr>
            <w:tcW w:w="960" w:type="dxa"/>
            <w:tcBorders>
              <w:top w:val="nil"/>
              <w:left w:val="nil"/>
              <w:bottom w:val="nil"/>
              <w:right w:val="nil"/>
            </w:tcBorders>
            <w:shd w:val="clear" w:color="auto" w:fill="auto"/>
            <w:noWrap/>
            <w:vAlign w:val="bottom"/>
            <w:hideMark/>
          </w:tcPr>
          <w:p w14:paraId="6AA3B559"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2570FA8A"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7A48467D"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41C518C1"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41537AF5"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bottom"/>
            <w:hideMark/>
          </w:tcPr>
          <w:p w14:paraId="3AA0D07C"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466B09D3"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center"/>
            <w:hideMark/>
          </w:tcPr>
          <w:p w14:paraId="1364C942"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Equity</w:t>
            </w:r>
          </w:p>
        </w:tc>
        <w:tc>
          <w:tcPr>
            <w:tcW w:w="960" w:type="dxa"/>
            <w:tcBorders>
              <w:top w:val="nil"/>
              <w:left w:val="nil"/>
              <w:bottom w:val="nil"/>
              <w:right w:val="nil"/>
            </w:tcBorders>
            <w:shd w:val="clear" w:color="auto" w:fill="auto"/>
            <w:noWrap/>
            <w:vAlign w:val="bottom"/>
            <w:hideMark/>
          </w:tcPr>
          <w:p w14:paraId="1C89A825" w14:textId="77777777" w:rsidR="009F7745" w:rsidRPr="009F7745" w:rsidRDefault="009F7745" w:rsidP="009F7745">
            <w:pPr>
              <w:rPr>
                <w:rFonts w:ascii="Calibri" w:hAnsi="Calibri" w:cs="Calibri"/>
                <w:b/>
                <w:bCs/>
                <w:color w:val="000000"/>
                <w:szCs w:val="22"/>
                <w:u w:val="single"/>
                <w:lang w:val="en-CA" w:eastAsia="en-CA"/>
              </w:rPr>
            </w:pPr>
          </w:p>
        </w:tc>
      </w:tr>
      <w:tr w:rsidR="009F7745" w:rsidRPr="009F7745" w14:paraId="6B457FD4" w14:textId="77777777" w:rsidTr="009F7745">
        <w:trPr>
          <w:trHeight w:val="290"/>
        </w:trPr>
        <w:tc>
          <w:tcPr>
            <w:tcW w:w="960" w:type="dxa"/>
            <w:tcBorders>
              <w:top w:val="nil"/>
              <w:left w:val="nil"/>
              <w:bottom w:val="nil"/>
              <w:right w:val="nil"/>
            </w:tcBorders>
            <w:shd w:val="clear" w:color="auto" w:fill="auto"/>
            <w:noWrap/>
            <w:vAlign w:val="bottom"/>
            <w:hideMark/>
          </w:tcPr>
          <w:p w14:paraId="07D68EE6"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4D34C97F"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7D22F2F6"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40CFC1CD"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7D4AA7D1"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bottom"/>
            <w:hideMark/>
          </w:tcPr>
          <w:p w14:paraId="3414EEAB"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2214E5C6"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16BF93A1"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4E8F51E4" w14:textId="77777777" w:rsidR="009F7745" w:rsidRPr="009F7745" w:rsidRDefault="009F7745" w:rsidP="009F7745">
            <w:pPr>
              <w:rPr>
                <w:rFonts w:ascii="Times New Roman" w:hAnsi="Times New Roman"/>
                <w:sz w:val="20"/>
                <w:szCs w:val="20"/>
                <w:lang w:val="en-CA" w:eastAsia="en-CA"/>
              </w:rPr>
            </w:pPr>
          </w:p>
        </w:tc>
      </w:tr>
      <w:tr w:rsidR="009F7745" w:rsidRPr="009F7745" w14:paraId="2DBCF0EA" w14:textId="77777777" w:rsidTr="009F7745">
        <w:trPr>
          <w:trHeight w:val="290"/>
        </w:trPr>
        <w:tc>
          <w:tcPr>
            <w:tcW w:w="2880" w:type="dxa"/>
            <w:gridSpan w:val="3"/>
            <w:tcBorders>
              <w:top w:val="nil"/>
              <w:left w:val="nil"/>
              <w:bottom w:val="nil"/>
              <w:right w:val="nil"/>
            </w:tcBorders>
            <w:shd w:val="clear" w:color="auto" w:fill="auto"/>
            <w:noWrap/>
            <w:vAlign w:val="center"/>
            <w:hideMark/>
          </w:tcPr>
          <w:p w14:paraId="6445C659" w14:textId="77777777" w:rsidR="009F7745" w:rsidRPr="009F7745" w:rsidRDefault="009F7745" w:rsidP="009F7745">
            <w:pPr>
              <w:rPr>
                <w:rFonts w:ascii="Calibri" w:hAnsi="Calibri" w:cs="Calibri"/>
                <w:b/>
                <w:bCs/>
                <w:color w:val="000000"/>
                <w:szCs w:val="22"/>
                <w:lang w:val="en-CA" w:eastAsia="en-CA"/>
              </w:rPr>
            </w:pPr>
            <w:r w:rsidRPr="009F7745">
              <w:rPr>
                <w:rFonts w:ascii="Calibri" w:hAnsi="Calibri" w:cs="Calibri"/>
                <w:b/>
                <w:bCs/>
                <w:color w:val="000000"/>
                <w:szCs w:val="22"/>
                <w:lang w:val="en-CA" w:eastAsia="en-CA"/>
              </w:rPr>
              <w:t xml:space="preserve">Balance, March 22,2018 </w:t>
            </w:r>
          </w:p>
        </w:tc>
        <w:tc>
          <w:tcPr>
            <w:tcW w:w="960" w:type="dxa"/>
            <w:tcBorders>
              <w:top w:val="nil"/>
              <w:left w:val="nil"/>
              <w:bottom w:val="nil"/>
              <w:right w:val="nil"/>
            </w:tcBorders>
            <w:shd w:val="clear" w:color="auto" w:fill="auto"/>
            <w:noWrap/>
            <w:vAlign w:val="bottom"/>
            <w:hideMark/>
          </w:tcPr>
          <w:p w14:paraId="63D7388B" w14:textId="77777777" w:rsidR="009F7745" w:rsidRPr="009F7745" w:rsidRDefault="009F7745" w:rsidP="009F7745">
            <w:pPr>
              <w:rPr>
                <w:rFonts w:ascii="Calibri" w:hAnsi="Calibri" w:cs="Calibri"/>
                <w:b/>
                <w:bCs/>
                <w:color w:val="000000"/>
                <w:szCs w:val="22"/>
                <w:lang w:val="en-CA" w:eastAsia="en-CA"/>
              </w:rPr>
            </w:pPr>
          </w:p>
        </w:tc>
        <w:tc>
          <w:tcPr>
            <w:tcW w:w="1320" w:type="dxa"/>
            <w:tcBorders>
              <w:top w:val="nil"/>
              <w:left w:val="nil"/>
              <w:bottom w:val="nil"/>
              <w:right w:val="nil"/>
            </w:tcBorders>
            <w:shd w:val="clear" w:color="auto" w:fill="auto"/>
            <w:noWrap/>
            <w:vAlign w:val="bottom"/>
            <w:hideMark/>
          </w:tcPr>
          <w:p w14:paraId="52A12222"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bottom"/>
            <w:hideMark/>
          </w:tcPr>
          <w:p w14:paraId="0AA752F0"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502579D5"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48BFC682"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002F32CF" w14:textId="77777777" w:rsidR="009F7745" w:rsidRPr="009F7745" w:rsidRDefault="009F7745" w:rsidP="009F7745">
            <w:pPr>
              <w:rPr>
                <w:rFonts w:ascii="Times New Roman" w:hAnsi="Times New Roman"/>
                <w:sz w:val="20"/>
                <w:szCs w:val="20"/>
                <w:lang w:val="en-CA" w:eastAsia="en-CA"/>
              </w:rPr>
            </w:pPr>
          </w:p>
        </w:tc>
      </w:tr>
      <w:tr w:rsidR="009F7745" w:rsidRPr="009F7745" w14:paraId="36BEF678" w14:textId="77777777" w:rsidTr="009F7745">
        <w:trPr>
          <w:trHeight w:val="290"/>
        </w:trPr>
        <w:tc>
          <w:tcPr>
            <w:tcW w:w="2880" w:type="dxa"/>
            <w:gridSpan w:val="3"/>
            <w:tcBorders>
              <w:top w:val="nil"/>
              <w:left w:val="nil"/>
              <w:bottom w:val="nil"/>
              <w:right w:val="nil"/>
            </w:tcBorders>
            <w:shd w:val="clear" w:color="auto" w:fill="auto"/>
            <w:noWrap/>
            <w:vAlign w:val="center"/>
            <w:hideMark/>
          </w:tcPr>
          <w:p w14:paraId="4472FFF3" w14:textId="77777777" w:rsidR="009F7745" w:rsidRPr="009F7745" w:rsidRDefault="009F7745" w:rsidP="009F7745">
            <w:pPr>
              <w:rPr>
                <w:rFonts w:ascii="Calibri" w:hAnsi="Calibri" w:cs="Calibri"/>
                <w:b/>
                <w:bCs/>
                <w:color w:val="000000"/>
                <w:szCs w:val="22"/>
                <w:lang w:val="en-CA" w:eastAsia="en-CA"/>
              </w:rPr>
            </w:pPr>
            <w:r w:rsidRPr="009F7745">
              <w:rPr>
                <w:rFonts w:ascii="Calibri" w:hAnsi="Calibri" w:cs="Calibri"/>
                <w:b/>
                <w:bCs/>
                <w:color w:val="000000"/>
                <w:szCs w:val="22"/>
                <w:lang w:val="en-CA" w:eastAsia="en-CA"/>
              </w:rPr>
              <w:t>(date of incorporation)</w:t>
            </w:r>
          </w:p>
        </w:tc>
        <w:tc>
          <w:tcPr>
            <w:tcW w:w="960" w:type="dxa"/>
            <w:tcBorders>
              <w:top w:val="nil"/>
              <w:left w:val="nil"/>
              <w:bottom w:val="nil"/>
              <w:right w:val="nil"/>
            </w:tcBorders>
            <w:shd w:val="clear" w:color="auto" w:fill="auto"/>
            <w:noWrap/>
            <w:vAlign w:val="bottom"/>
            <w:hideMark/>
          </w:tcPr>
          <w:p w14:paraId="0AD1E552" w14:textId="77777777" w:rsidR="009F7745" w:rsidRPr="009F7745" w:rsidRDefault="009F7745" w:rsidP="009F7745">
            <w:pPr>
              <w:rPr>
                <w:rFonts w:ascii="Calibri" w:hAnsi="Calibri" w:cs="Calibri"/>
                <w:b/>
                <w:bCs/>
                <w:color w:val="000000"/>
                <w:szCs w:val="22"/>
                <w:lang w:val="en-CA" w:eastAsia="en-CA"/>
              </w:rPr>
            </w:pPr>
          </w:p>
        </w:tc>
        <w:tc>
          <w:tcPr>
            <w:tcW w:w="1320" w:type="dxa"/>
            <w:tcBorders>
              <w:top w:val="nil"/>
              <w:left w:val="nil"/>
              <w:bottom w:val="nil"/>
              <w:right w:val="nil"/>
            </w:tcBorders>
            <w:shd w:val="clear" w:color="auto" w:fill="auto"/>
            <w:noWrap/>
            <w:vAlign w:val="center"/>
            <w:hideMark/>
          </w:tcPr>
          <w:p w14:paraId="31573EAD"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1</w:t>
            </w:r>
          </w:p>
        </w:tc>
        <w:tc>
          <w:tcPr>
            <w:tcW w:w="1279" w:type="dxa"/>
            <w:tcBorders>
              <w:top w:val="nil"/>
              <w:left w:val="nil"/>
              <w:bottom w:val="nil"/>
              <w:right w:val="nil"/>
            </w:tcBorders>
            <w:shd w:val="clear" w:color="auto" w:fill="auto"/>
            <w:noWrap/>
            <w:vAlign w:val="bottom"/>
            <w:hideMark/>
          </w:tcPr>
          <w:p w14:paraId="7B0C3C0D" w14:textId="77777777" w:rsidR="009F7745" w:rsidRPr="009F7745" w:rsidRDefault="009F7745" w:rsidP="009F7745">
            <w:pPr>
              <w:jc w:val="right"/>
              <w:rPr>
                <w:rFonts w:ascii="Calibri" w:hAnsi="Calibri" w:cs="Calibri"/>
                <w:color w:val="000000"/>
                <w:szCs w:val="22"/>
                <w:lang w:val="en-CA" w:eastAsia="en-CA"/>
              </w:rPr>
            </w:pPr>
          </w:p>
        </w:tc>
        <w:tc>
          <w:tcPr>
            <w:tcW w:w="1361" w:type="dxa"/>
            <w:tcBorders>
              <w:top w:val="nil"/>
              <w:left w:val="nil"/>
              <w:bottom w:val="nil"/>
              <w:right w:val="nil"/>
            </w:tcBorders>
            <w:shd w:val="clear" w:color="auto" w:fill="auto"/>
            <w:noWrap/>
            <w:vAlign w:val="bottom"/>
            <w:hideMark/>
          </w:tcPr>
          <w:p w14:paraId="1F68AA52"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0D5ADF56"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7236AE05" w14:textId="77777777" w:rsidR="009F7745" w:rsidRPr="009F7745" w:rsidRDefault="009F7745" w:rsidP="009F7745">
            <w:pPr>
              <w:rPr>
                <w:rFonts w:ascii="Times New Roman" w:hAnsi="Times New Roman"/>
                <w:sz w:val="20"/>
                <w:szCs w:val="20"/>
                <w:lang w:val="en-CA" w:eastAsia="en-CA"/>
              </w:rPr>
            </w:pPr>
          </w:p>
        </w:tc>
      </w:tr>
      <w:tr w:rsidR="009F7745" w:rsidRPr="009F7745" w14:paraId="7BB1C547" w14:textId="77777777" w:rsidTr="009F7745">
        <w:trPr>
          <w:trHeight w:val="290"/>
        </w:trPr>
        <w:tc>
          <w:tcPr>
            <w:tcW w:w="960" w:type="dxa"/>
            <w:tcBorders>
              <w:top w:val="nil"/>
              <w:left w:val="nil"/>
              <w:bottom w:val="nil"/>
              <w:right w:val="nil"/>
            </w:tcBorders>
            <w:shd w:val="clear" w:color="auto" w:fill="auto"/>
            <w:noWrap/>
            <w:vAlign w:val="bottom"/>
            <w:hideMark/>
          </w:tcPr>
          <w:p w14:paraId="57022EC9" w14:textId="77777777" w:rsidR="009F7745" w:rsidRPr="009F7745" w:rsidRDefault="009F7745" w:rsidP="009F7745">
            <w:pPr>
              <w:rPr>
                <w:rFonts w:ascii="Times New Roman" w:hAnsi="Times New Roman"/>
                <w:sz w:val="20"/>
                <w:szCs w:val="20"/>
                <w:lang w:val="en-CA" w:eastAsia="en-CA"/>
              </w:rPr>
            </w:pPr>
          </w:p>
        </w:tc>
        <w:tc>
          <w:tcPr>
            <w:tcW w:w="2880" w:type="dxa"/>
            <w:gridSpan w:val="3"/>
            <w:tcBorders>
              <w:top w:val="nil"/>
              <w:left w:val="nil"/>
              <w:bottom w:val="nil"/>
              <w:right w:val="nil"/>
            </w:tcBorders>
            <w:shd w:val="clear" w:color="auto" w:fill="auto"/>
            <w:noWrap/>
            <w:vAlign w:val="center"/>
            <w:hideMark/>
          </w:tcPr>
          <w:p w14:paraId="09C9C305" w14:textId="77777777" w:rsidR="009F7745" w:rsidRPr="009F7745" w:rsidRDefault="009F7745" w:rsidP="009F7745">
            <w:pPr>
              <w:ind w:left="-80"/>
              <w:rPr>
                <w:rFonts w:ascii="Calibri" w:hAnsi="Calibri" w:cs="Calibri"/>
                <w:color w:val="000000"/>
                <w:szCs w:val="22"/>
                <w:lang w:val="en-CA" w:eastAsia="en-CA"/>
              </w:rPr>
            </w:pPr>
            <w:r w:rsidRPr="009F7745">
              <w:rPr>
                <w:rFonts w:ascii="Calibri" w:hAnsi="Calibri" w:cs="Calibri"/>
                <w:color w:val="000000"/>
                <w:szCs w:val="22"/>
                <w:lang w:val="en-CA" w:eastAsia="en-CA"/>
              </w:rPr>
              <w:t>Cancelled common share</w:t>
            </w:r>
          </w:p>
        </w:tc>
        <w:tc>
          <w:tcPr>
            <w:tcW w:w="1320" w:type="dxa"/>
            <w:tcBorders>
              <w:top w:val="nil"/>
              <w:left w:val="nil"/>
              <w:bottom w:val="nil"/>
              <w:right w:val="nil"/>
            </w:tcBorders>
            <w:shd w:val="clear" w:color="auto" w:fill="auto"/>
            <w:noWrap/>
            <w:vAlign w:val="center"/>
            <w:hideMark/>
          </w:tcPr>
          <w:p w14:paraId="1C4B3CCF"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-1</w:t>
            </w:r>
          </w:p>
        </w:tc>
        <w:tc>
          <w:tcPr>
            <w:tcW w:w="1279" w:type="dxa"/>
            <w:tcBorders>
              <w:top w:val="nil"/>
              <w:left w:val="nil"/>
              <w:bottom w:val="nil"/>
              <w:right w:val="nil"/>
            </w:tcBorders>
            <w:shd w:val="clear" w:color="auto" w:fill="auto"/>
            <w:noWrap/>
            <w:vAlign w:val="bottom"/>
            <w:hideMark/>
          </w:tcPr>
          <w:p w14:paraId="0D688833" w14:textId="77777777" w:rsidR="009F7745" w:rsidRPr="009F7745" w:rsidRDefault="009F7745" w:rsidP="009F7745">
            <w:pPr>
              <w:jc w:val="right"/>
              <w:rPr>
                <w:rFonts w:ascii="Calibri" w:hAnsi="Calibri" w:cs="Calibri"/>
                <w:color w:val="000000"/>
                <w:szCs w:val="22"/>
                <w:lang w:val="en-CA" w:eastAsia="en-CA"/>
              </w:rPr>
            </w:pPr>
          </w:p>
        </w:tc>
        <w:tc>
          <w:tcPr>
            <w:tcW w:w="1361" w:type="dxa"/>
            <w:tcBorders>
              <w:top w:val="nil"/>
              <w:left w:val="nil"/>
              <w:bottom w:val="nil"/>
              <w:right w:val="nil"/>
            </w:tcBorders>
            <w:shd w:val="clear" w:color="auto" w:fill="auto"/>
            <w:noWrap/>
            <w:vAlign w:val="bottom"/>
            <w:hideMark/>
          </w:tcPr>
          <w:p w14:paraId="7E3DCC70"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23D8E292"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278B482" w14:textId="77777777" w:rsidR="009F7745" w:rsidRPr="009F7745" w:rsidRDefault="009F7745" w:rsidP="009F7745">
            <w:pPr>
              <w:rPr>
                <w:rFonts w:ascii="Times New Roman" w:hAnsi="Times New Roman"/>
                <w:sz w:val="20"/>
                <w:szCs w:val="20"/>
                <w:lang w:val="en-CA" w:eastAsia="en-CA"/>
              </w:rPr>
            </w:pPr>
          </w:p>
        </w:tc>
      </w:tr>
      <w:tr w:rsidR="009F7745" w:rsidRPr="009F7745" w14:paraId="5980D439" w14:textId="77777777" w:rsidTr="009F7745">
        <w:trPr>
          <w:trHeight w:val="290"/>
        </w:trPr>
        <w:tc>
          <w:tcPr>
            <w:tcW w:w="960" w:type="dxa"/>
            <w:tcBorders>
              <w:top w:val="nil"/>
              <w:left w:val="nil"/>
              <w:bottom w:val="nil"/>
              <w:right w:val="nil"/>
            </w:tcBorders>
            <w:shd w:val="clear" w:color="auto" w:fill="auto"/>
            <w:noWrap/>
            <w:vAlign w:val="bottom"/>
            <w:hideMark/>
          </w:tcPr>
          <w:p w14:paraId="6DEA1DC4" w14:textId="77777777" w:rsidR="009F7745" w:rsidRPr="009F7745" w:rsidRDefault="009F7745" w:rsidP="009F7745">
            <w:pPr>
              <w:rPr>
                <w:rFonts w:ascii="Times New Roman" w:hAnsi="Times New Roman"/>
                <w:sz w:val="20"/>
                <w:szCs w:val="20"/>
                <w:lang w:val="en-CA" w:eastAsia="en-CA"/>
              </w:rPr>
            </w:pPr>
          </w:p>
        </w:tc>
        <w:tc>
          <w:tcPr>
            <w:tcW w:w="2880" w:type="dxa"/>
            <w:gridSpan w:val="3"/>
            <w:tcBorders>
              <w:top w:val="nil"/>
              <w:left w:val="nil"/>
              <w:bottom w:val="nil"/>
              <w:right w:val="nil"/>
            </w:tcBorders>
            <w:shd w:val="clear" w:color="auto" w:fill="auto"/>
            <w:noWrap/>
            <w:vAlign w:val="center"/>
            <w:hideMark/>
          </w:tcPr>
          <w:p w14:paraId="4984D479" w14:textId="77777777" w:rsidR="009F7745" w:rsidRPr="009F7745" w:rsidRDefault="009F7745" w:rsidP="009F7745">
            <w:pPr>
              <w:ind w:left="-80"/>
              <w:rPr>
                <w:rFonts w:ascii="Calibri" w:hAnsi="Calibri" w:cs="Calibri"/>
                <w:color w:val="000000"/>
                <w:szCs w:val="22"/>
                <w:lang w:val="en-CA" w:eastAsia="en-CA"/>
              </w:rPr>
            </w:pPr>
            <w:r w:rsidRPr="009F7745">
              <w:rPr>
                <w:rFonts w:ascii="Calibri" w:hAnsi="Calibri" w:cs="Calibri"/>
                <w:color w:val="000000"/>
                <w:szCs w:val="22"/>
                <w:lang w:val="en-CA" w:eastAsia="en-CA"/>
              </w:rPr>
              <w:t>Issuance for mineral property</w:t>
            </w:r>
          </w:p>
        </w:tc>
        <w:tc>
          <w:tcPr>
            <w:tcW w:w="1320" w:type="dxa"/>
            <w:tcBorders>
              <w:top w:val="nil"/>
              <w:left w:val="nil"/>
              <w:bottom w:val="nil"/>
              <w:right w:val="nil"/>
            </w:tcBorders>
            <w:shd w:val="clear" w:color="auto" w:fill="auto"/>
            <w:noWrap/>
            <w:vAlign w:val="center"/>
            <w:hideMark/>
          </w:tcPr>
          <w:p w14:paraId="07D811EF"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2,350,777</w:t>
            </w:r>
          </w:p>
        </w:tc>
        <w:tc>
          <w:tcPr>
            <w:tcW w:w="1279" w:type="dxa"/>
            <w:tcBorders>
              <w:top w:val="nil"/>
              <w:left w:val="nil"/>
              <w:bottom w:val="nil"/>
              <w:right w:val="nil"/>
            </w:tcBorders>
            <w:shd w:val="clear" w:color="auto" w:fill="auto"/>
            <w:noWrap/>
            <w:vAlign w:val="center"/>
            <w:hideMark/>
          </w:tcPr>
          <w:p w14:paraId="0734A77D"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23,508</w:t>
            </w:r>
          </w:p>
        </w:tc>
        <w:tc>
          <w:tcPr>
            <w:tcW w:w="1361" w:type="dxa"/>
            <w:tcBorders>
              <w:top w:val="nil"/>
              <w:left w:val="nil"/>
              <w:bottom w:val="nil"/>
              <w:right w:val="nil"/>
            </w:tcBorders>
            <w:shd w:val="clear" w:color="auto" w:fill="auto"/>
            <w:noWrap/>
            <w:vAlign w:val="bottom"/>
            <w:hideMark/>
          </w:tcPr>
          <w:p w14:paraId="0A0A1997" w14:textId="77777777" w:rsidR="009F7745" w:rsidRPr="009F7745" w:rsidRDefault="009F7745" w:rsidP="009F7745">
            <w:pPr>
              <w:jc w:val="right"/>
              <w:rPr>
                <w:rFonts w:ascii="Calibri" w:hAnsi="Calibri" w:cs="Calibri"/>
                <w:color w:val="000000"/>
                <w:szCs w:val="22"/>
                <w:lang w:val="en-CA" w:eastAsia="en-CA"/>
              </w:rPr>
            </w:pPr>
          </w:p>
        </w:tc>
        <w:tc>
          <w:tcPr>
            <w:tcW w:w="1320" w:type="dxa"/>
            <w:tcBorders>
              <w:top w:val="nil"/>
              <w:left w:val="nil"/>
              <w:bottom w:val="nil"/>
              <w:right w:val="nil"/>
            </w:tcBorders>
            <w:shd w:val="clear" w:color="auto" w:fill="auto"/>
            <w:noWrap/>
            <w:vAlign w:val="center"/>
            <w:hideMark/>
          </w:tcPr>
          <w:p w14:paraId="40846BA7"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23,508</w:t>
            </w:r>
          </w:p>
        </w:tc>
        <w:tc>
          <w:tcPr>
            <w:tcW w:w="960" w:type="dxa"/>
            <w:tcBorders>
              <w:top w:val="nil"/>
              <w:left w:val="nil"/>
              <w:bottom w:val="nil"/>
              <w:right w:val="nil"/>
            </w:tcBorders>
            <w:shd w:val="clear" w:color="auto" w:fill="auto"/>
            <w:noWrap/>
            <w:vAlign w:val="bottom"/>
            <w:hideMark/>
          </w:tcPr>
          <w:p w14:paraId="3322CF8B" w14:textId="77777777" w:rsidR="009F7745" w:rsidRPr="009F7745" w:rsidRDefault="009F7745" w:rsidP="009F7745">
            <w:pPr>
              <w:jc w:val="right"/>
              <w:rPr>
                <w:rFonts w:ascii="Calibri" w:hAnsi="Calibri" w:cs="Calibri"/>
                <w:color w:val="000000"/>
                <w:szCs w:val="22"/>
                <w:lang w:val="en-CA" w:eastAsia="en-CA"/>
              </w:rPr>
            </w:pPr>
          </w:p>
        </w:tc>
      </w:tr>
      <w:tr w:rsidR="009F7745" w:rsidRPr="009F7745" w14:paraId="3D14F4AD" w14:textId="77777777" w:rsidTr="009F7745">
        <w:trPr>
          <w:trHeight w:val="290"/>
        </w:trPr>
        <w:tc>
          <w:tcPr>
            <w:tcW w:w="960" w:type="dxa"/>
            <w:tcBorders>
              <w:top w:val="nil"/>
              <w:left w:val="nil"/>
              <w:bottom w:val="nil"/>
              <w:right w:val="nil"/>
            </w:tcBorders>
            <w:shd w:val="clear" w:color="auto" w:fill="auto"/>
            <w:noWrap/>
            <w:vAlign w:val="bottom"/>
            <w:hideMark/>
          </w:tcPr>
          <w:p w14:paraId="3E5A688C" w14:textId="77777777" w:rsidR="009F7745" w:rsidRPr="009F7745" w:rsidRDefault="009F7745" w:rsidP="009F7745">
            <w:pPr>
              <w:rPr>
                <w:rFonts w:ascii="Times New Roman" w:hAnsi="Times New Roman"/>
                <w:sz w:val="20"/>
                <w:szCs w:val="20"/>
                <w:lang w:val="en-CA" w:eastAsia="en-CA"/>
              </w:rPr>
            </w:pPr>
          </w:p>
        </w:tc>
        <w:tc>
          <w:tcPr>
            <w:tcW w:w="1920" w:type="dxa"/>
            <w:gridSpan w:val="2"/>
            <w:tcBorders>
              <w:top w:val="nil"/>
              <w:left w:val="nil"/>
              <w:bottom w:val="nil"/>
              <w:right w:val="nil"/>
            </w:tcBorders>
            <w:shd w:val="clear" w:color="auto" w:fill="auto"/>
            <w:noWrap/>
            <w:vAlign w:val="center"/>
            <w:hideMark/>
          </w:tcPr>
          <w:p w14:paraId="2D699488" w14:textId="77777777" w:rsidR="009F7745" w:rsidRPr="009F7745" w:rsidRDefault="009F7745" w:rsidP="009F7745">
            <w:pPr>
              <w:ind w:left="-80"/>
              <w:rPr>
                <w:rFonts w:ascii="Calibri" w:hAnsi="Calibri" w:cs="Calibri"/>
                <w:color w:val="000000"/>
                <w:szCs w:val="22"/>
                <w:lang w:val="en-CA" w:eastAsia="en-CA"/>
              </w:rPr>
            </w:pPr>
            <w:r w:rsidRPr="009F7745">
              <w:rPr>
                <w:rFonts w:ascii="Calibri" w:hAnsi="Calibri" w:cs="Calibri"/>
                <w:color w:val="000000"/>
                <w:szCs w:val="22"/>
                <w:lang w:val="en-CA" w:eastAsia="en-CA"/>
              </w:rPr>
              <w:t>Private Placement</w:t>
            </w:r>
          </w:p>
        </w:tc>
        <w:tc>
          <w:tcPr>
            <w:tcW w:w="960" w:type="dxa"/>
            <w:tcBorders>
              <w:top w:val="nil"/>
              <w:left w:val="nil"/>
              <w:bottom w:val="nil"/>
              <w:right w:val="nil"/>
            </w:tcBorders>
            <w:shd w:val="clear" w:color="auto" w:fill="auto"/>
            <w:noWrap/>
            <w:vAlign w:val="bottom"/>
            <w:hideMark/>
          </w:tcPr>
          <w:p w14:paraId="4673FECC" w14:textId="77777777" w:rsidR="009F7745" w:rsidRPr="009F7745" w:rsidRDefault="009F7745" w:rsidP="009F7745">
            <w:pPr>
              <w:ind w:left="-80"/>
              <w:rPr>
                <w:rFonts w:ascii="Calibri" w:hAnsi="Calibri" w:cs="Calibri"/>
                <w:color w:val="000000"/>
                <w:szCs w:val="22"/>
                <w:lang w:val="en-CA" w:eastAsia="en-CA"/>
              </w:rPr>
            </w:pPr>
          </w:p>
        </w:tc>
        <w:tc>
          <w:tcPr>
            <w:tcW w:w="1320" w:type="dxa"/>
            <w:tcBorders>
              <w:top w:val="nil"/>
              <w:left w:val="nil"/>
              <w:bottom w:val="nil"/>
              <w:right w:val="nil"/>
            </w:tcBorders>
            <w:shd w:val="clear" w:color="auto" w:fill="auto"/>
            <w:noWrap/>
            <w:vAlign w:val="center"/>
            <w:hideMark/>
          </w:tcPr>
          <w:p w14:paraId="6B02A655"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3,490,000</w:t>
            </w:r>
          </w:p>
        </w:tc>
        <w:tc>
          <w:tcPr>
            <w:tcW w:w="1279" w:type="dxa"/>
            <w:tcBorders>
              <w:top w:val="nil"/>
              <w:left w:val="nil"/>
              <w:bottom w:val="nil"/>
              <w:right w:val="nil"/>
            </w:tcBorders>
            <w:shd w:val="clear" w:color="auto" w:fill="auto"/>
            <w:noWrap/>
            <w:vAlign w:val="center"/>
            <w:hideMark/>
          </w:tcPr>
          <w:p w14:paraId="5FB3FCFE"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174,500</w:t>
            </w:r>
          </w:p>
        </w:tc>
        <w:tc>
          <w:tcPr>
            <w:tcW w:w="1361" w:type="dxa"/>
            <w:tcBorders>
              <w:top w:val="nil"/>
              <w:left w:val="nil"/>
              <w:bottom w:val="nil"/>
              <w:right w:val="nil"/>
            </w:tcBorders>
            <w:shd w:val="clear" w:color="auto" w:fill="auto"/>
            <w:noWrap/>
            <w:vAlign w:val="bottom"/>
            <w:hideMark/>
          </w:tcPr>
          <w:p w14:paraId="16FD8EB1" w14:textId="77777777" w:rsidR="009F7745" w:rsidRPr="009F7745" w:rsidRDefault="009F7745" w:rsidP="009F7745">
            <w:pPr>
              <w:jc w:val="right"/>
              <w:rPr>
                <w:rFonts w:ascii="Calibri" w:hAnsi="Calibri" w:cs="Calibri"/>
                <w:color w:val="000000"/>
                <w:szCs w:val="22"/>
                <w:lang w:val="en-CA" w:eastAsia="en-CA"/>
              </w:rPr>
            </w:pPr>
          </w:p>
        </w:tc>
        <w:tc>
          <w:tcPr>
            <w:tcW w:w="1320" w:type="dxa"/>
            <w:tcBorders>
              <w:top w:val="nil"/>
              <w:left w:val="nil"/>
              <w:bottom w:val="nil"/>
              <w:right w:val="nil"/>
            </w:tcBorders>
            <w:shd w:val="clear" w:color="auto" w:fill="auto"/>
            <w:noWrap/>
            <w:vAlign w:val="center"/>
            <w:hideMark/>
          </w:tcPr>
          <w:p w14:paraId="1857DDCA"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174,500</w:t>
            </w:r>
          </w:p>
        </w:tc>
        <w:tc>
          <w:tcPr>
            <w:tcW w:w="960" w:type="dxa"/>
            <w:tcBorders>
              <w:top w:val="nil"/>
              <w:left w:val="nil"/>
              <w:bottom w:val="nil"/>
              <w:right w:val="nil"/>
            </w:tcBorders>
            <w:shd w:val="clear" w:color="auto" w:fill="auto"/>
            <w:noWrap/>
            <w:vAlign w:val="bottom"/>
            <w:hideMark/>
          </w:tcPr>
          <w:p w14:paraId="7DE45EC7" w14:textId="77777777" w:rsidR="009F7745" w:rsidRPr="009F7745" w:rsidRDefault="009F7745" w:rsidP="009F7745">
            <w:pPr>
              <w:jc w:val="right"/>
              <w:rPr>
                <w:rFonts w:ascii="Calibri" w:hAnsi="Calibri" w:cs="Calibri"/>
                <w:color w:val="000000"/>
                <w:szCs w:val="22"/>
                <w:lang w:val="en-CA" w:eastAsia="en-CA"/>
              </w:rPr>
            </w:pPr>
          </w:p>
        </w:tc>
      </w:tr>
      <w:tr w:rsidR="009F7745" w:rsidRPr="009F7745" w14:paraId="23D53664" w14:textId="77777777" w:rsidTr="009F7745">
        <w:trPr>
          <w:trHeight w:val="290"/>
        </w:trPr>
        <w:tc>
          <w:tcPr>
            <w:tcW w:w="960" w:type="dxa"/>
            <w:tcBorders>
              <w:top w:val="nil"/>
              <w:left w:val="nil"/>
              <w:bottom w:val="nil"/>
              <w:right w:val="nil"/>
            </w:tcBorders>
            <w:shd w:val="clear" w:color="auto" w:fill="auto"/>
            <w:noWrap/>
            <w:vAlign w:val="bottom"/>
            <w:hideMark/>
          </w:tcPr>
          <w:p w14:paraId="67FB5867" w14:textId="77777777" w:rsidR="009F7745" w:rsidRPr="009F7745" w:rsidRDefault="009F7745" w:rsidP="009F7745">
            <w:pPr>
              <w:rPr>
                <w:rFonts w:ascii="Times New Roman" w:hAnsi="Times New Roman"/>
                <w:sz w:val="20"/>
                <w:szCs w:val="20"/>
                <w:lang w:val="en-CA" w:eastAsia="en-CA"/>
              </w:rPr>
            </w:pPr>
          </w:p>
        </w:tc>
        <w:tc>
          <w:tcPr>
            <w:tcW w:w="1920" w:type="dxa"/>
            <w:gridSpan w:val="2"/>
            <w:tcBorders>
              <w:top w:val="nil"/>
              <w:left w:val="nil"/>
              <w:bottom w:val="nil"/>
              <w:right w:val="nil"/>
            </w:tcBorders>
            <w:shd w:val="clear" w:color="auto" w:fill="auto"/>
            <w:noWrap/>
            <w:vAlign w:val="center"/>
            <w:hideMark/>
          </w:tcPr>
          <w:p w14:paraId="307B532B" w14:textId="77777777" w:rsidR="009F7745" w:rsidRPr="009F7745" w:rsidRDefault="009F7745" w:rsidP="009F7745">
            <w:pPr>
              <w:ind w:left="-80"/>
              <w:rPr>
                <w:rFonts w:ascii="Calibri" w:hAnsi="Calibri" w:cs="Calibri"/>
                <w:color w:val="000000"/>
                <w:szCs w:val="22"/>
                <w:lang w:val="en-CA" w:eastAsia="en-CA"/>
              </w:rPr>
            </w:pPr>
            <w:r w:rsidRPr="009F7745">
              <w:rPr>
                <w:rFonts w:ascii="Calibri" w:hAnsi="Calibri" w:cs="Calibri"/>
                <w:color w:val="000000"/>
                <w:szCs w:val="22"/>
                <w:lang w:val="en-CA" w:eastAsia="en-CA"/>
              </w:rPr>
              <w:t>Share issuance costs</w:t>
            </w:r>
          </w:p>
        </w:tc>
        <w:tc>
          <w:tcPr>
            <w:tcW w:w="960" w:type="dxa"/>
            <w:tcBorders>
              <w:top w:val="nil"/>
              <w:left w:val="nil"/>
              <w:bottom w:val="nil"/>
              <w:right w:val="nil"/>
            </w:tcBorders>
            <w:shd w:val="clear" w:color="auto" w:fill="auto"/>
            <w:noWrap/>
            <w:vAlign w:val="bottom"/>
            <w:hideMark/>
          </w:tcPr>
          <w:p w14:paraId="063253BE" w14:textId="77777777" w:rsidR="009F7745" w:rsidRPr="009F7745" w:rsidRDefault="009F7745" w:rsidP="009F7745">
            <w:pPr>
              <w:ind w:left="-80"/>
              <w:rPr>
                <w:rFonts w:ascii="Calibri" w:hAnsi="Calibri" w:cs="Calibri"/>
                <w:color w:val="000000"/>
                <w:szCs w:val="22"/>
                <w:lang w:val="en-CA" w:eastAsia="en-CA"/>
              </w:rPr>
            </w:pPr>
          </w:p>
        </w:tc>
        <w:tc>
          <w:tcPr>
            <w:tcW w:w="1320" w:type="dxa"/>
            <w:tcBorders>
              <w:top w:val="nil"/>
              <w:left w:val="nil"/>
              <w:bottom w:val="nil"/>
              <w:right w:val="nil"/>
            </w:tcBorders>
            <w:shd w:val="clear" w:color="auto" w:fill="auto"/>
            <w:noWrap/>
            <w:vAlign w:val="bottom"/>
            <w:hideMark/>
          </w:tcPr>
          <w:p w14:paraId="53C35F90"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center"/>
            <w:hideMark/>
          </w:tcPr>
          <w:p w14:paraId="0935F25B"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-3,675</w:t>
            </w:r>
          </w:p>
        </w:tc>
        <w:tc>
          <w:tcPr>
            <w:tcW w:w="1361" w:type="dxa"/>
            <w:tcBorders>
              <w:top w:val="nil"/>
              <w:left w:val="nil"/>
              <w:bottom w:val="nil"/>
              <w:right w:val="nil"/>
            </w:tcBorders>
            <w:shd w:val="clear" w:color="auto" w:fill="auto"/>
            <w:noWrap/>
            <w:vAlign w:val="bottom"/>
            <w:hideMark/>
          </w:tcPr>
          <w:p w14:paraId="759F34C5" w14:textId="77777777" w:rsidR="009F7745" w:rsidRPr="009F7745" w:rsidRDefault="009F7745" w:rsidP="009F7745">
            <w:pPr>
              <w:jc w:val="right"/>
              <w:rPr>
                <w:rFonts w:ascii="Calibri" w:hAnsi="Calibri" w:cs="Calibri"/>
                <w:color w:val="000000"/>
                <w:szCs w:val="22"/>
                <w:lang w:val="en-CA" w:eastAsia="en-CA"/>
              </w:rPr>
            </w:pPr>
          </w:p>
        </w:tc>
        <w:tc>
          <w:tcPr>
            <w:tcW w:w="1320" w:type="dxa"/>
            <w:tcBorders>
              <w:top w:val="nil"/>
              <w:left w:val="nil"/>
              <w:bottom w:val="nil"/>
              <w:right w:val="nil"/>
            </w:tcBorders>
            <w:shd w:val="clear" w:color="auto" w:fill="auto"/>
            <w:noWrap/>
            <w:vAlign w:val="center"/>
            <w:hideMark/>
          </w:tcPr>
          <w:p w14:paraId="77B84DBE"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-3.675</w:t>
            </w:r>
          </w:p>
        </w:tc>
        <w:tc>
          <w:tcPr>
            <w:tcW w:w="960" w:type="dxa"/>
            <w:tcBorders>
              <w:top w:val="nil"/>
              <w:left w:val="nil"/>
              <w:bottom w:val="nil"/>
              <w:right w:val="nil"/>
            </w:tcBorders>
            <w:shd w:val="clear" w:color="auto" w:fill="auto"/>
            <w:noWrap/>
            <w:vAlign w:val="bottom"/>
            <w:hideMark/>
          </w:tcPr>
          <w:p w14:paraId="748B6CAE" w14:textId="77777777" w:rsidR="009F7745" w:rsidRPr="009F7745" w:rsidRDefault="009F7745" w:rsidP="009F7745">
            <w:pPr>
              <w:jc w:val="right"/>
              <w:rPr>
                <w:rFonts w:ascii="Calibri" w:hAnsi="Calibri" w:cs="Calibri"/>
                <w:color w:val="000000"/>
                <w:szCs w:val="22"/>
                <w:lang w:val="en-CA" w:eastAsia="en-CA"/>
              </w:rPr>
            </w:pPr>
          </w:p>
        </w:tc>
      </w:tr>
      <w:tr w:rsidR="009F7745" w:rsidRPr="009F7745" w14:paraId="65E90289" w14:textId="77777777" w:rsidTr="009F7745">
        <w:trPr>
          <w:trHeight w:val="290"/>
        </w:trPr>
        <w:tc>
          <w:tcPr>
            <w:tcW w:w="960" w:type="dxa"/>
            <w:tcBorders>
              <w:top w:val="nil"/>
              <w:left w:val="nil"/>
              <w:bottom w:val="nil"/>
              <w:right w:val="nil"/>
            </w:tcBorders>
            <w:shd w:val="clear" w:color="auto" w:fill="auto"/>
            <w:noWrap/>
            <w:vAlign w:val="bottom"/>
            <w:hideMark/>
          </w:tcPr>
          <w:p w14:paraId="45945273" w14:textId="77777777" w:rsidR="009F7745" w:rsidRPr="009F7745" w:rsidRDefault="009F7745" w:rsidP="009F7745">
            <w:pPr>
              <w:rPr>
                <w:rFonts w:ascii="Times New Roman" w:hAnsi="Times New Roman"/>
                <w:sz w:val="20"/>
                <w:szCs w:val="20"/>
                <w:lang w:val="en-CA" w:eastAsia="en-CA"/>
              </w:rPr>
            </w:pPr>
          </w:p>
        </w:tc>
        <w:tc>
          <w:tcPr>
            <w:tcW w:w="2880" w:type="dxa"/>
            <w:gridSpan w:val="3"/>
            <w:tcBorders>
              <w:top w:val="nil"/>
              <w:left w:val="nil"/>
              <w:bottom w:val="nil"/>
              <w:right w:val="nil"/>
            </w:tcBorders>
            <w:shd w:val="clear" w:color="auto" w:fill="auto"/>
            <w:noWrap/>
            <w:vAlign w:val="center"/>
            <w:hideMark/>
          </w:tcPr>
          <w:p w14:paraId="662BE17D" w14:textId="77777777" w:rsidR="009F7745" w:rsidRPr="009F7745" w:rsidRDefault="009F7745" w:rsidP="009F7745">
            <w:pPr>
              <w:ind w:left="-80"/>
              <w:rPr>
                <w:rFonts w:ascii="Calibri" w:hAnsi="Calibri" w:cs="Calibri"/>
                <w:color w:val="000000"/>
                <w:szCs w:val="22"/>
                <w:lang w:val="en-CA" w:eastAsia="en-CA"/>
              </w:rPr>
            </w:pPr>
            <w:r w:rsidRPr="009F7745">
              <w:rPr>
                <w:rFonts w:ascii="Calibri" w:hAnsi="Calibri" w:cs="Calibri"/>
                <w:color w:val="000000"/>
                <w:szCs w:val="22"/>
                <w:lang w:val="en-CA" w:eastAsia="en-CA"/>
              </w:rPr>
              <w:t>Net loss for the period</w:t>
            </w:r>
          </w:p>
        </w:tc>
        <w:tc>
          <w:tcPr>
            <w:tcW w:w="1320" w:type="dxa"/>
            <w:tcBorders>
              <w:top w:val="nil"/>
              <w:left w:val="nil"/>
              <w:bottom w:val="nil"/>
              <w:right w:val="nil"/>
            </w:tcBorders>
            <w:shd w:val="clear" w:color="auto" w:fill="auto"/>
            <w:noWrap/>
            <w:vAlign w:val="bottom"/>
            <w:hideMark/>
          </w:tcPr>
          <w:p w14:paraId="3C765ED6" w14:textId="77777777" w:rsidR="009F7745" w:rsidRPr="009F7745" w:rsidRDefault="009F7745" w:rsidP="009F7745">
            <w:pPr>
              <w:rPr>
                <w:rFonts w:ascii="Calibri" w:hAnsi="Calibri" w:cs="Calibri"/>
                <w:color w:val="000000"/>
                <w:szCs w:val="22"/>
                <w:lang w:val="en-CA" w:eastAsia="en-CA"/>
              </w:rPr>
            </w:pPr>
          </w:p>
        </w:tc>
        <w:tc>
          <w:tcPr>
            <w:tcW w:w="1279" w:type="dxa"/>
            <w:tcBorders>
              <w:top w:val="nil"/>
              <w:left w:val="nil"/>
              <w:bottom w:val="nil"/>
              <w:right w:val="nil"/>
            </w:tcBorders>
            <w:shd w:val="clear" w:color="auto" w:fill="auto"/>
            <w:noWrap/>
            <w:vAlign w:val="bottom"/>
            <w:hideMark/>
          </w:tcPr>
          <w:p w14:paraId="24211D32"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center"/>
            <w:hideMark/>
          </w:tcPr>
          <w:p w14:paraId="2569DEC2"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-92,709</w:t>
            </w:r>
          </w:p>
        </w:tc>
        <w:tc>
          <w:tcPr>
            <w:tcW w:w="1320" w:type="dxa"/>
            <w:tcBorders>
              <w:top w:val="nil"/>
              <w:left w:val="nil"/>
              <w:bottom w:val="nil"/>
              <w:right w:val="nil"/>
            </w:tcBorders>
            <w:shd w:val="clear" w:color="auto" w:fill="auto"/>
            <w:noWrap/>
            <w:vAlign w:val="center"/>
            <w:hideMark/>
          </w:tcPr>
          <w:p w14:paraId="699378EA"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-92,709</w:t>
            </w:r>
          </w:p>
        </w:tc>
        <w:tc>
          <w:tcPr>
            <w:tcW w:w="960" w:type="dxa"/>
            <w:tcBorders>
              <w:top w:val="nil"/>
              <w:left w:val="nil"/>
              <w:bottom w:val="nil"/>
              <w:right w:val="nil"/>
            </w:tcBorders>
            <w:shd w:val="clear" w:color="auto" w:fill="auto"/>
            <w:noWrap/>
            <w:vAlign w:val="bottom"/>
            <w:hideMark/>
          </w:tcPr>
          <w:p w14:paraId="59928AF0" w14:textId="77777777" w:rsidR="009F7745" w:rsidRPr="009F7745" w:rsidRDefault="009F7745" w:rsidP="009F7745">
            <w:pPr>
              <w:jc w:val="right"/>
              <w:rPr>
                <w:rFonts w:ascii="Calibri" w:hAnsi="Calibri" w:cs="Calibri"/>
                <w:color w:val="000000"/>
                <w:szCs w:val="22"/>
                <w:lang w:val="en-CA" w:eastAsia="en-CA"/>
              </w:rPr>
            </w:pPr>
          </w:p>
        </w:tc>
      </w:tr>
      <w:tr w:rsidR="009F7745" w:rsidRPr="009F7745" w14:paraId="7F53FF20" w14:textId="77777777" w:rsidTr="009F7745">
        <w:trPr>
          <w:trHeight w:val="290"/>
        </w:trPr>
        <w:tc>
          <w:tcPr>
            <w:tcW w:w="2880" w:type="dxa"/>
            <w:gridSpan w:val="3"/>
            <w:tcBorders>
              <w:top w:val="nil"/>
              <w:left w:val="nil"/>
              <w:bottom w:val="nil"/>
              <w:right w:val="nil"/>
            </w:tcBorders>
            <w:shd w:val="clear" w:color="auto" w:fill="auto"/>
            <w:noWrap/>
            <w:vAlign w:val="center"/>
            <w:hideMark/>
          </w:tcPr>
          <w:p w14:paraId="37132A72"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Balance, August 31, 2018</w:t>
            </w:r>
          </w:p>
        </w:tc>
        <w:tc>
          <w:tcPr>
            <w:tcW w:w="960" w:type="dxa"/>
            <w:tcBorders>
              <w:top w:val="nil"/>
              <w:left w:val="nil"/>
              <w:bottom w:val="nil"/>
              <w:right w:val="nil"/>
            </w:tcBorders>
            <w:shd w:val="clear" w:color="auto" w:fill="auto"/>
            <w:noWrap/>
            <w:vAlign w:val="bottom"/>
            <w:hideMark/>
          </w:tcPr>
          <w:p w14:paraId="755027BC" w14:textId="77777777" w:rsidR="009F7745" w:rsidRPr="009F7745" w:rsidRDefault="009F7745" w:rsidP="009F7745">
            <w:pPr>
              <w:rPr>
                <w:rFonts w:ascii="Calibri" w:hAnsi="Calibri" w:cs="Calibri"/>
                <w:b/>
                <w:bCs/>
                <w:color w:val="000000"/>
                <w:szCs w:val="22"/>
                <w:u w:val="single"/>
                <w:lang w:val="en-CA" w:eastAsia="en-CA"/>
              </w:rPr>
            </w:pPr>
          </w:p>
        </w:tc>
        <w:tc>
          <w:tcPr>
            <w:tcW w:w="1320" w:type="dxa"/>
            <w:tcBorders>
              <w:top w:val="nil"/>
              <w:left w:val="nil"/>
              <w:bottom w:val="nil"/>
              <w:right w:val="nil"/>
            </w:tcBorders>
            <w:shd w:val="clear" w:color="auto" w:fill="auto"/>
            <w:noWrap/>
            <w:vAlign w:val="center"/>
            <w:hideMark/>
          </w:tcPr>
          <w:p w14:paraId="1F114CB6"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5,840,777</w:t>
            </w:r>
          </w:p>
        </w:tc>
        <w:tc>
          <w:tcPr>
            <w:tcW w:w="1279" w:type="dxa"/>
            <w:tcBorders>
              <w:top w:val="nil"/>
              <w:left w:val="nil"/>
              <w:bottom w:val="nil"/>
              <w:right w:val="nil"/>
            </w:tcBorders>
            <w:shd w:val="clear" w:color="auto" w:fill="auto"/>
            <w:noWrap/>
            <w:vAlign w:val="center"/>
            <w:hideMark/>
          </w:tcPr>
          <w:p w14:paraId="75B8ADDE"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194,333</w:t>
            </w:r>
          </w:p>
        </w:tc>
        <w:tc>
          <w:tcPr>
            <w:tcW w:w="1361" w:type="dxa"/>
            <w:tcBorders>
              <w:top w:val="nil"/>
              <w:left w:val="nil"/>
              <w:bottom w:val="nil"/>
              <w:right w:val="nil"/>
            </w:tcBorders>
            <w:shd w:val="clear" w:color="auto" w:fill="auto"/>
            <w:noWrap/>
            <w:vAlign w:val="center"/>
            <w:hideMark/>
          </w:tcPr>
          <w:p w14:paraId="48F30FFD"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-92,709</w:t>
            </w:r>
          </w:p>
        </w:tc>
        <w:tc>
          <w:tcPr>
            <w:tcW w:w="1320" w:type="dxa"/>
            <w:tcBorders>
              <w:top w:val="nil"/>
              <w:left w:val="nil"/>
              <w:bottom w:val="nil"/>
              <w:right w:val="nil"/>
            </w:tcBorders>
            <w:shd w:val="clear" w:color="auto" w:fill="auto"/>
            <w:noWrap/>
            <w:vAlign w:val="center"/>
            <w:hideMark/>
          </w:tcPr>
          <w:p w14:paraId="2FB93DF2"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101,624</w:t>
            </w:r>
          </w:p>
        </w:tc>
        <w:tc>
          <w:tcPr>
            <w:tcW w:w="960" w:type="dxa"/>
            <w:tcBorders>
              <w:top w:val="nil"/>
              <w:left w:val="nil"/>
              <w:bottom w:val="nil"/>
              <w:right w:val="nil"/>
            </w:tcBorders>
            <w:shd w:val="clear" w:color="auto" w:fill="auto"/>
            <w:noWrap/>
            <w:vAlign w:val="bottom"/>
            <w:hideMark/>
          </w:tcPr>
          <w:p w14:paraId="708A2901" w14:textId="77777777" w:rsidR="009F7745" w:rsidRPr="009F7745" w:rsidRDefault="009F7745" w:rsidP="009F7745">
            <w:pPr>
              <w:jc w:val="right"/>
              <w:rPr>
                <w:rFonts w:ascii="Calibri" w:hAnsi="Calibri" w:cs="Calibri"/>
                <w:color w:val="000000"/>
                <w:szCs w:val="22"/>
                <w:u w:val="single"/>
                <w:lang w:val="en-CA" w:eastAsia="en-CA"/>
              </w:rPr>
            </w:pPr>
          </w:p>
        </w:tc>
      </w:tr>
      <w:tr w:rsidR="009F7745" w:rsidRPr="009F7745" w14:paraId="331BA7B7" w14:textId="77777777" w:rsidTr="009F7745">
        <w:trPr>
          <w:trHeight w:val="290"/>
        </w:trPr>
        <w:tc>
          <w:tcPr>
            <w:tcW w:w="960" w:type="dxa"/>
            <w:tcBorders>
              <w:top w:val="nil"/>
              <w:left w:val="nil"/>
              <w:bottom w:val="nil"/>
              <w:right w:val="nil"/>
            </w:tcBorders>
            <w:shd w:val="clear" w:color="auto" w:fill="auto"/>
            <w:noWrap/>
            <w:vAlign w:val="bottom"/>
            <w:hideMark/>
          </w:tcPr>
          <w:p w14:paraId="546F60E4"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4FE4E4D1"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1B2B0589"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C8029EA"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3BD4EB59"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bottom"/>
            <w:hideMark/>
          </w:tcPr>
          <w:p w14:paraId="72557A0A"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5437C120"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79F8CD40"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8E70E47" w14:textId="77777777" w:rsidR="009F7745" w:rsidRPr="009F7745" w:rsidRDefault="009F7745" w:rsidP="009F7745">
            <w:pPr>
              <w:rPr>
                <w:rFonts w:ascii="Times New Roman" w:hAnsi="Times New Roman"/>
                <w:sz w:val="20"/>
                <w:szCs w:val="20"/>
                <w:lang w:val="en-CA" w:eastAsia="en-CA"/>
              </w:rPr>
            </w:pPr>
          </w:p>
        </w:tc>
      </w:tr>
      <w:tr w:rsidR="009F7745" w:rsidRPr="009F7745" w14:paraId="4985DF20" w14:textId="77777777" w:rsidTr="009F7745">
        <w:trPr>
          <w:trHeight w:val="290"/>
        </w:trPr>
        <w:tc>
          <w:tcPr>
            <w:tcW w:w="960" w:type="dxa"/>
            <w:tcBorders>
              <w:top w:val="nil"/>
              <w:left w:val="nil"/>
              <w:bottom w:val="nil"/>
              <w:right w:val="nil"/>
            </w:tcBorders>
            <w:shd w:val="clear" w:color="auto" w:fill="auto"/>
            <w:noWrap/>
            <w:vAlign w:val="bottom"/>
            <w:hideMark/>
          </w:tcPr>
          <w:p w14:paraId="46FDDCDD" w14:textId="77777777" w:rsidR="009F7745" w:rsidRPr="009F7745" w:rsidRDefault="009F7745" w:rsidP="009F7745">
            <w:pPr>
              <w:rPr>
                <w:rFonts w:ascii="Times New Roman" w:hAnsi="Times New Roman"/>
                <w:sz w:val="20"/>
                <w:szCs w:val="20"/>
                <w:lang w:val="en-CA" w:eastAsia="en-CA"/>
              </w:rPr>
            </w:pPr>
          </w:p>
        </w:tc>
        <w:tc>
          <w:tcPr>
            <w:tcW w:w="2880" w:type="dxa"/>
            <w:gridSpan w:val="3"/>
            <w:tcBorders>
              <w:top w:val="nil"/>
              <w:left w:val="nil"/>
              <w:bottom w:val="nil"/>
              <w:right w:val="nil"/>
            </w:tcBorders>
            <w:shd w:val="clear" w:color="auto" w:fill="auto"/>
            <w:noWrap/>
            <w:vAlign w:val="center"/>
            <w:hideMark/>
          </w:tcPr>
          <w:p w14:paraId="140EEBC5" w14:textId="77777777" w:rsidR="009F7745" w:rsidRPr="009F7745" w:rsidRDefault="009F7745" w:rsidP="009F7745">
            <w:pPr>
              <w:rPr>
                <w:rFonts w:ascii="Calibri" w:hAnsi="Calibri" w:cs="Calibri"/>
                <w:color w:val="000000"/>
                <w:szCs w:val="22"/>
                <w:lang w:val="en-CA" w:eastAsia="en-CA"/>
              </w:rPr>
            </w:pPr>
            <w:r w:rsidRPr="009F7745">
              <w:rPr>
                <w:rFonts w:ascii="Calibri" w:hAnsi="Calibri" w:cs="Calibri"/>
                <w:color w:val="000000"/>
                <w:szCs w:val="22"/>
                <w:lang w:val="en-CA" w:eastAsia="en-CA"/>
              </w:rPr>
              <w:t>Net loss for the period</w:t>
            </w:r>
          </w:p>
        </w:tc>
        <w:tc>
          <w:tcPr>
            <w:tcW w:w="1320" w:type="dxa"/>
            <w:tcBorders>
              <w:top w:val="nil"/>
              <w:left w:val="nil"/>
              <w:bottom w:val="nil"/>
              <w:right w:val="nil"/>
            </w:tcBorders>
            <w:shd w:val="clear" w:color="auto" w:fill="auto"/>
            <w:noWrap/>
            <w:vAlign w:val="bottom"/>
            <w:hideMark/>
          </w:tcPr>
          <w:p w14:paraId="1B77A41C" w14:textId="77777777" w:rsidR="009F7745" w:rsidRPr="009F7745" w:rsidRDefault="009F7745" w:rsidP="009F7745">
            <w:pPr>
              <w:rPr>
                <w:rFonts w:ascii="Calibri" w:hAnsi="Calibri" w:cs="Calibri"/>
                <w:color w:val="000000"/>
                <w:szCs w:val="22"/>
                <w:lang w:val="en-CA" w:eastAsia="en-CA"/>
              </w:rPr>
            </w:pPr>
          </w:p>
        </w:tc>
        <w:tc>
          <w:tcPr>
            <w:tcW w:w="1279" w:type="dxa"/>
            <w:tcBorders>
              <w:top w:val="nil"/>
              <w:left w:val="nil"/>
              <w:bottom w:val="nil"/>
              <w:right w:val="nil"/>
            </w:tcBorders>
            <w:shd w:val="clear" w:color="auto" w:fill="auto"/>
            <w:noWrap/>
            <w:vAlign w:val="bottom"/>
            <w:hideMark/>
          </w:tcPr>
          <w:p w14:paraId="57DF7AD8"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center"/>
            <w:hideMark/>
          </w:tcPr>
          <w:p w14:paraId="3378A4E9"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-43,964</w:t>
            </w:r>
          </w:p>
        </w:tc>
        <w:tc>
          <w:tcPr>
            <w:tcW w:w="1320" w:type="dxa"/>
            <w:tcBorders>
              <w:top w:val="nil"/>
              <w:left w:val="nil"/>
              <w:bottom w:val="nil"/>
              <w:right w:val="nil"/>
            </w:tcBorders>
            <w:shd w:val="clear" w:color="auto" w:fill="auto"/>
            <w:noWrap/>
            <w:vAlign w:val="center"/>
            <w:hideMark/>
          </w:tcPr>
          <w:p w14:paraId="365B3C76"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-43,964</w:t>
            </w:r>
          </w:p>
        </w:tc>
        <w:tc>
          <w:tcPr>
            <w:tcW w:w="960" w:type="dxa"/>
            <w:tcBorders>
              <w:top w:val="nil"/>
              <w:left w:val="nil"/>
              <w:bottom w:val="nil"/>
              <w:right w:val="nil"/>
            </w:tcBorders>
            <w:shd w:val="clear" w:color="auto" w:fill="auto"/>
            <w:noWrap/>
            <w:vAlign w:val="bottom"/>
            <w:hideMark/>
          </w:tcPr>
          <w:p w14:paraId="652B4F16" w14:textId="77777777" w:rsidR="009F7745" w:rsidRPr="009F7745" w:rsidRDefault="009F7745" w:rsidP="009F7745">
            <w:pPr>
              <w:jc w:val="right"/>
              <w:rPr>
                <w:rFonts w:ascii="Calibri" w:hAnsi="Calibri" w:cs="Calibri"/>
                <w:color w:val="000000"/>
                <w:szCs w:val="22"/>
                <w:lang w:val="en-CA" w:eastAsia="en-CA"/>
              </w:rPr>
            </w:pPr>
          </w:p>
        </w:tc>
      </w:tr>
      <w:tr w:rsidR="009F7745" w:rsidRPr="009F7745" w14:paraId="1DF8262D" w14:textId="77777777" w:rsidTr="009F7745">
        <w:trPr>
          <w:trHeight w:val="290"/>
        </w:trPr>
        <w:tc>
          <w:tcPr>
            <w:tcW w:w="2880" w:type="dxa"/>
            <w:gridSpan w:val="3"/>
            <w:tcBorders>
              <w:top w:val="nil"/>
              <w:left w:val="nil"/>
              <w:bottom w:val="nil"/>
              <w:right w:val="nil"/>
            </w:tcBorders>
            <w:shd w:val="clear" w:color="auto" w:fill="auto"/>
            <w:noWrap/>
            <w:vAlign w:val="center"/>
            <w:hideMark/>
          </w:tcPr>
          <w:p w14:paraId="2FCDAA30"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Balance, November 30, 2018</w:t>
            </w:r>
          </w:p>
        </w:tc>
        <w:tc>
          <w:tcPr>
            <w:tcW w:w="960" w:type="dxa"/>
            <w:tcBorders>
              <w:top w:val="nil"/>
              <w:left w:val="nil"/>
              <w:bottom w:val="nil"/>
              <w:right w:val="nil"/>
            </w:tcBorders>
            <w:shd w:val="clear" w:color="auto" w:fill="auto"/>
            <w:noWrap/>
            <w:vAlign w:val="bottom"/>
            <w:hideMark/>
          </w:tcPr>
          <w:p w14:paraId="0006CBEF" w14:textId="77777777" w:rsidR="009F7745" w:rsidRPr="009F7745" w:rsidRDefault="009F7745" w:rsidP="009F7745">
            <w:pPr>
              <w:rPr>
                <w:rFonts w:ascii="Calibri" w:hAnsi="Calibri" w:cs="Calibri"/>
                <w:b/>
                <w:bCs/>
                <w:color w:val="000000"/>
                <w:szCs w:val="22"/>
                <w:u w:val="single"/>
                <w:lang w:val="en-CA" w:eastAsia="en-CA"/>
              </w:rPr>
            </w:pPr>
          </w:p>
        </w:tc>
        <w:tc>
          <w:tcPr>
            <w:tcW w:w="1320" w:type="dxa"/>
            <w:tcBorders>
              <w:top w:val="nil"/>
              <w:left w:val="nil"/>
              <w:bottom w:val="nil"/>
              <w:right w:val="nil"/>
            </w:tcBorders>
            <w:shd w:val="clear" w:color="auto" w:fill="auto"/>
            <w:noWrap/>
            <w:vAlign w:val="center"/>
            <w:hideMark/>
          </w:tcPr>
          <w:p w14:paraId="1FCA30CC"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5,840,777</w:t>
            </w:r>
          </w:p>
        </w:tc>
        <w:tc>
          <w:tcPr>
            <w:tcW w:w="1279" w:type="dxa"/>
            <w:tcBorders>
              <w:top w:val="nil"/>
              <w:left w:val="nil"/>
              <w:bottom w:val="nil"/>
              <w:right w:val="nil"/>
            </w:tcBorders>
            <w:shd w:val="clear" w:color="auto" w:fill="auto"/>
            <w:noWrap/>
            <w:vAlign w:val="center"/>
            <w:hideMark/>
          </w:tcPr>
          <w:p w14:paraId="2ABEB297"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194,333</w:t>
            </w:r>
          </w:p>
        </w:tc>
        <w:tc>
          <w:tcPr>
            <w:tcW w:w="1361" w:type="dxa"/>
            <w:tcBorders>
              <w:top w:val="nil"/>
              <w:left w:val="nil"/>
              <w:bottom w:val="nil"/>
              <w:right w:val="nil"/>
            </w:tcBorders>
            <w:shd w:val="clear" w:color="auto" w:fill="auto"/>
            <w:noWrap/>
            <w:vAlign w:val="center"/>
            <w:hideMark/>
          </w:tcPr>
          <w:p w14:paraId="70D61FF9"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-136,673</w:t>
            </w:r>
          </w:p>
        </w:tc>
        <w:tc>
          <w:tcPr>
            <w:tcW w:w="1320" w:type="dxa"/>
            <w:tcBorders>
              <w:top w:val="nil"/>
              <w:left w:val="nil"/>
              <w:bottom w:val="nil"/>
              <w:right w:val="nil"/>
            </w:tcBorders>
            <w:shd w:val="clear" w:color="auto" w:fill="auto"/>
            <w:noWrap/>
            <w:vAlign w:val="center"/>
            <w:hideMark/>
          </w:tcPr>
          <w:p w14:paraId="61957A7B"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57,660</w:t>
            </w:r>
          </w:p>
        </w:tc>
        <w:tc>
          <w:tcPr>
            <w:tcW w:w="960" w:type="dxa"/>
            <w:tcBorders>
              <w:top w:val="nil"/>
              <w:left w:val="nil"/>
              <w:bottom w:val="nil"/>
              <w:right w:val="nil"/>
            </w:tcBorders>
            <w:shd w:val="clear" w:color="auto" w:fill="auto"/>
            <w:noWrap/>
            <w:vAlign w:val="bottom"/>
            <w:hideMark/>
          </w:tcPr>
          <w:p w14:paraId="3E88B798" w14:textId="77777777" w:rsidR="009F7745" w:rsidRPr="009F7745" w:rsidRDefault="009F7745" w:rsidP="009F7745">
            <w:pPr>
              <w:jc w:val="right"/>
              <w:rPr>
                <w:rFonts w:ascii="Calibri" w:hAnsi="Calibri" w:cs="Calibri"/>
                <w:color w:val="000000"/>
                <w:szCs w:val="22"/>
                <w:u w:val="single"/>
                <w:lang w:val="en-CA" w:eastAsia="en-CA"/>
              </w:rPr>
            </w:pPr>
          </w:p>
        </w:tc>
      </w:tr>
      <w:tr w:rsidR="009F7745" w:rsidRPr="009F7745" w14:paraId="3319B9F9" w14:textId="77777777" w:rsidTr="009F7745">
        <w:trPr>
          <w:trHeight w:val="290"/>
        </w:trPr>
        <w:tc>
          <w:tcPr>
            <w:tcW w:w="960" w:type="dxa"/>
            <w:tcBorders>
              <w:top w:val="nil"/>
              <w:left w:val="nil"/>
              <w:bottom w:val="nil"/>
              <w:right w:val="nil"/>
            </w:tcBorders>
            <w:shd w:val="clear" w:color="auto" w:fill="auto"/>
            <w:noWrap/>
            <w:vAlign w:val="bottom"/>
            <w:hideMark/>
          </w:tcPr>
          <w:p w14:paraId="53DD4BA9"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6BAC7EE3"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38CCB44"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B5ED2D5"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5FCB1B21"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bottom"/>
            <w:hideMark/>
          </w:tcPr>
          <w:p w14:paraId="0DDCB475"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67039C75"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109617F0"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69210716" w14:textId="77777777" w:rsidR="009F7745" w:rsidRPr="009F7745" w:rsidRDefault="009F7745" w:rsidP="009F7745">
            <w:pPr>
              <w:rPr>
                <w:rFonts w:ascii="Times New Roman" w:hAnsi="Times New Roman"/>
                <w:sz w:val="20"/>
                <w:szCs w:val="20"/>
                <w:lang w:val="en-CA" w:eastAsia="en-CA"/>
              </w:rPr>
            </w:pPr>
          </w:p>
        </w:tc>
      </w:tr>
      <w:tr w:rsidR="009F7745" w:rsidRPr="009F7745" w14:paraId="681F789F" w14:textId="77777777" w:rsidTr="009F7745">
        <w:trPr>
          <w:trHeight w:val="290"/>
        </w:trPr>
        <w:tc>
          <w:tcPr>
            <w:tcW w:w="960" w:type="dxa"/>
            <w:tcBorders>
              <w:top w:val="nil"/>
              <w:left w:val="nil"/>
              <w:bottom w:val="nil"/>
              <w:right w:val="nil"/>
            </w:tcBorders>
            <w:shd w:val="clear" w:color="auto" w:fill="auto"/>
            <w:noWrap/>
            <w:vAlign w:val="bottom"/>
            <w:hideMark/>
          </w:tcPr>
          <w:p w14:paraId="7D005D45" w14:textId="77777777" w:rsidR="009F7745" w:rsidRPr="009F7745" w:rsidRDefault="009F7745" w:rsidP="009F7745">
            <w:pPr>
              <w:rPr>
                <w:rFonts w:ascii="Times New Roman" w:hAnsi="Times New Roman"/>
                <w:sz w:val="20"/>
                <w:szCs w:val="20"/>
                <w:lang w:val="en-CA" w:eastAsia="en-CA"/>
              </w:rPr>
            </w:pPr>
          </w:p>
        </w:tc>
        <w:tc>
          <w:tcPr>
            <w:tcW w:w="2880" w:type="dxa"/>
            <w:gridSpan w:val="3"/>
            <w:tcBorders>
              <w:top w:val="nil"/>
              <w:left w:val="nil"/>
              <w:bottom w:val="nil"/>
              <w:right w:val="nil"/>
            </w:tcBorders>
            <w:shd w:val="clear" w:color="auto" w:fill="auto"/>
            <w:noWrap/>
            <w:vAlign w:val="center"/>
            <w:hideMark/>
          </w:tcPr>
          <w:p w14:paraId="12071BC7" w14:textId="77777777" w:rsidR="009F7745" w:rsidRPr="009F7745" w:rsidRDefault="009F7745" w:rsidP="009F7745">
            <w:pPr>
              <w:rPr>
                <w:rFonts w:ascii="Calibri" w:hAnsi="Calibri" w:cs="Calibri"/>
                <w:color w:val="000000"/>
                <w:szCs w:val="22"/>
                <w:lang w:val="en-CA" w:eastAsia="en-CA"/>
              </w:rPr>
            </w:pPr>
            <w:r w:rsidRPr="009F7745">
              <w:rPr>
                <w:rFonts w:ascii="Calibri" w:hAnsi="Calibri" w:cs="Calibri"/>
                <w:color w:val="000000"/>
                <w:szCs w:val="22"/>
                <w:lang w:val="en-CA" w:eastAsia="en-CA"/>
              </w:rPr>
              <w:t>Net loss for the period</w:t>
            </w:r>
          </w:p>
        </w:tc>
        <w:tc>
          <w:tcPr>
            <w:tcW w:w="1320" w:type="dxa"/>
            <w:tcBorders>
              <w:top w:val="nil"/>
              <w:left w:val="nil"/>
              <w:bottom w:val="nil"/>
              <w:right w:val="nil"/>
            </w:tcBorders>
            <w:shd w:val="clear" w:color="auto" w:fill="auto"/>
            <w:noWrap/>
            <w:vAlign w:val="bottom"/>
            <w:hideMark/>
          </w:tcPr>
          <w:p w14:paraId="35C15093" w14:textId="77777777" w:rsidR="009F7745" w:rsidRPr="009F7745" w:rsidRDefault="009F7745" w:rsidP="009F7745">
            <w:pPr>
              <w:rPr>
                <w:rFonts w:ascii="Calibri" w:hAnsi="Calibri" w:cs="Calibri"/>
                <w:color w:val="000000"/>
                <w:szCs w:val="22"/>
                <w:lang w:val="en-CA" w:eastAsia="en-CA"/>
              </w:rPr>
            </w:pPr>
          </w:p>
        </w:tc>
        <w:tc>
          <w:tcPr>
            <w:tcW w:w="1279" w:type="dxa"/>
            <w:tcBorders>
              <w:top w:val="nil"/>
              <w:left w:val="nil"/>
              <w:bottom w:val="nil"/>
              <w:right w:val="nil"/>
            </w:tcBorders>
            <w:shd w:val="clear" w:color="auto" w:fill="auto"/>
            <w:noWrap/>
            <w:vAlign w:val="bottom"/>
            <w:hideMark/>
          </w:tcPr>
          <w:p w14:paraId="543CE27B"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center"/>
            <w:hideMark/>
          </w:tcPr>
          <w:p w14:paraId="3EC962AC"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-5,128</w:t>
            </w:r>
          </w:p>
        </w:tc>
        <w:tc>
          <w:tcPr>
            <w:tcW w:w="1320" w:type="dxa"/>
            <w:tcBorders>
              <w:top w:val="nil"/>
              <w:left w:val="nil"/>
              <w:bottom w:val="nil"/>
              <w:right w:val="nil"/>
            </w:tcBorders>
            <w:shd w:val="clear" w:color="auto" w:fill="auto"/>
            <w:noWrap/>
            <w:vAlign w:val="center"/>
            <w:hideMark/>
          </w:tcPr>
          <w:p w14:paraId="4EDB4018"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-5,128</w:t>
            </w:r>
          </w:p>
        </w:tc>
        <w:tc>
          <w:tcPr>
            <w:tcW w:w="960" w:type="dxa"/>
            <w:tcBorders>
              <w:top w:val="nil"/>
              <w:left w:val="nil"/>
              <w:bottom w:val="nil"/>
              <w:right w:val="nil"/>
            </w:tcBorders>
            <w:shd w:val="clear" w:color="auto" w:fill="auto"/>
            <w:noWrap/>
            <w:vAlign w:val="bottom"/>
            <w:hideMark/>
          </w:tcPr>
          <w:p w14:paraId="4C36A9DE" w14:textId="77777777" w:rsidR="009F7745" w:rsidRPr="009F7745" w:rsidRDefault="009F7745" w:rsidP="009F7745">
            <w:pPr>
              <w:jc w:val="right"/>
              <w:rPr>
                <w:rFonts w:ascii="Calibri" w:hAnsi="Calibri" w:cs="Calibri"/>
                <w:color w:val="000000"/>
                <w:szCs w:val="22"/>
                <w:lang w:val="en-CA" w:eastAsia="en-CA"/>
              </w:rPr>
            </w:pPr>
          </w:p>
        </w:tc>
      </w:tr>
      <w:tr w:rsidR="009F7745" w:rsidRPr="009F7745" w14:paraId="70D27C00" w14:textId="77777777" w:rsidTr="009F7745">
        <w:trPr>
          <w:trHeight w:val="290"/>
        </w:trPr>
        <w:tc>
          <w:tcPr>
            <w:tcW w:w="2880" w:type="dxa"/>
            <w:gridSpan w:val="3"/>
            <w:tcBorders>
              <w:top w:val="nil"/>
              <w:left w:val="nil"/>
              <w:bottom w:val="nil"/>
              <w:right w:val="nil"/>
            </w:tcBorders>
            <w:shd w:val="clear" w:color="auto" w:fill="auto"/>
            <w:noWrap/>
            <w:vAlign w:val="center"/>
            <w:hideMark/>
          </w:tcPr>
          <w:p w14:paraId="1A6356D6" w14:textId="77777777" w:rsidR="009F7745" w:rsidRPr="009F7745" w:rsidRDefault="009F7745" w:rsidP="009F7745">
            <w:pPr>
              <w:rPr>
                <w:rFonts w:ascii="Calibri" w:hAnsi="Calibri" w:cs="Calibri"/>
                <w:b/>
                <w:bCs/>
                <w:color w:val="000000"/>
                <w:szCs w:val="22"/>
                <w:u w:val="single"/>
                <w:lang w:val="en-CA" w:eastAsia="en-CA"/>
              </w:rPr>
            </w:pPr>
            <w:r w:rsidRPr="009F7745">
              <w:rPr>
                <w:rFonts w:ascii="Calibri" w:hAnsi="Calibri" w:cs="Calibri"/>
                <w:b/>
                <w:bCs/>
                <w:color w:val="000000"/>
                <w:szCs w:val="22"/>
                <w:u w:val="single"/>
                <w:lang w:val="en-CA" w:eastAsia="en-CA"/>
              </w:rPr>
              <w:t>Balance, February 28, 2019</w:t>
            </w:r>
          </w:p>
        </w:tc>
        <w:tc>
          <w:tcPr>
            <w:tcW w:w="960" w:type="dxa"/>
            <w:tcBorders>
              <w:top w:val="nil"/>
              <w:left w:val="nil"/>
              <w:bottom w:val="nil"/>
              <w:right w:val="nil"/>
            </w:tcBorders>
            <w:shd w:val="clear" w:color="auto" w:fill="auto"/>
            <w:noWrap/>
            <w:vAlign w:val="bottom"/>
            <w:hideMark/>
          </w:tcPr>
          <w:p w14:paraId="700718DF" w14:textId="77777777" w:rsidR="009F7745" w:rsidRPr="009F7745" w:rsidRDefault="009F7745" w:rsidP="009F7745">
            <w:pPr>
              <w:rPr>
                <w:rFonts w:ascii="Calibri" w:hAnsi="Calibri" w:cs="Calibri"/>
                <w:b/>
                <w:bCs/>
                <w:color w:val="000000"/>
                <w:szCs w:val="22"/>
                <w:u w:val="single"/>
                <w:lang w:val="en-CA" w:eastAsia="en-CA"/>
              </w:rPr>
            </w:pPr>
          </w:p>
        </w:tc>
        <w:tc>
          <w:tcPr>
            <w:tcW w:w="1320" w:type="dxa"/>
            <w:tcBorders>
              <w:top w:val="nil"/>
              <w:left w:val="nil"/>
              <w:bottom w:val="nil"/>
              <w:right w:val="nil"/>
            </w:tcBorders>
            <w:shd w:val="clear" w:color="auto" w:fill="auto"/>
            <w:noWrap/>
            <w:vAlign w:val="center"/>
            <w:hideMark/>
          </w:tcPr>
          <w:p w14:paraId="5B5207A4"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5,840,777</w:t>
            </w:r>
          </w:p>
        </w:tc>
        <w:tc>
          <w:tcPr>
            <w:tcW w:w="1279" w:type="dxa"/>
            <w:tcBorders>
              <w:top w:val="nil"/>
              <w:left w:val="nil"/>
              <w:bottom w:val="nil"/>
              <w:right w:val="nil"/>
            </w:tcBorders>
            <w:shd w:val="clear" w:color="auto" w:fill="auto"/>
            <w:noWrap/>
            <w:vAlign w:val="center"/>
            <w:hideMark/>
          </w:tcPr>
          <w:p w14:paraId="74FBF651"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194,333</w:t>
            </w:r>
          </w:p>
        </w:tc>
        <w:tc>
          <w:tcPr>
            <w:tcW w:w="1361" w:type="dxa"/>
            <w:tcBorders>
              <w:top w:val="nil"/>
              <w:left w:val="nil"/>
              <w:bottom w:val="nil"/>
              <w:right w:val="nil"/>
            </w:tcBorders>
            <w:shd w:val="clear" w:color="auto" w:fill="auto"/>
            <w:noWrap/>
            <w:vAlign w:val="center"/>
            <w:hideMark/>
          </w:tcPr>
          <w:p w14:paraId="0125762B"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-141,801</w:t>
            </w:r>
          </w:p>
        </w:tc>
        <w:tc>
          <w:tcPr>
            <w:tcW w:w="1320" w:type="dxa"/>
            <w:tcBorders>
              <w:top w:val="nil"/>
              <w:left w:val="nil"/>
              <w:bottom w:val="nil"/>
              <w:right w:val="nil"/>
            </w:tcBorders>
            <w:shd w:val="clear" w:color="auto" w:fill="auto"/>
            <w:noWrap/>
            <w:vAlign w:val="center"/>
            <w:hideMark/>
          </w:tcPr>
          <w:p w14:paraId="1533031A"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52,230</w:t>
            </w:r>
          </w:p>
        </w:tc>
        <w:tc>
          <w:tcPr>
            <w:tcW w:w="960" w:type="dxa"/>
            <w:tcBorders>
              <w:top w:val="nil"/>
              <w:left w:val="nil"/>
              <w:bottom w:val="nil"/>
              <w:right w:val="nil"/>
            </w:tcBorders>
            <w:shd w:val="clear" w:color="auto" w:fill="auto"/>
            <w:noWrap/>
            <w:vAlign w:val="bottom"/>
            <w:hideMark/>
          </w:tcPr>
          <w:p w14:paraId="610AA7C1" w14:textId="77777777" w:rsidR="009F7745" w:rsidRPr="009F7745" w:rsidRDefault="009F7745" w:rsidP="009F7745">
            <w:pPr>
              <w:jc w:val="right"/>
              <w:rPr>
                <w:rFonts w:ascii="Calibri" w:hAnsi="Calibri" w:cs="Calibri"/>
                <w:color w:val="000000"/>
                <w:szCs w:val="22"/>
                <w:u w:val="single"/>
                <w:lang w:val="en-CA" w:eastAsia="en-CA"/>
              </w:rPr>
            </w:pPr>
          </w:p>
        </w:tc>
      </w:tr>
      <w:tr w:rsidR="009F7745" w:rsidRPr="009F7745" w14:paraId="490EE98F" w14:textId="77777777" w:rsidTr="009F7745">
        <w:trPr>
          <w:trHeight w:val="290"/>
        </w:trPr>
        <w:tc>
          <w:tcPr>
            <w:tcW w:w="960" w:type="dxa"/>
            <w:tcBorders>
              <w:top w:val="nil"/>
              <w:left w:val="nil"/>
              <w:bottom w:val="nil"/>
              <w:right w:val="nil"/>
            </w:tcBorders>
            <w:shd w:val="clear" w:color="auto" w:fill="auto"/>
            <w:noWrap/>
            <w:vAlign w:val="bottom"/>
            <w:hideMark/>
          </w:tcPr>
          <w:p w14:paraId="55EC0F46"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C12D342"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593F7B38"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7366F0ED"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4F35AF47" w14:textId="77777777" w:rsidR="009F7745" w:rsidRPr="009F7745" w:rsidRDefault="009F7745" w:rsidP="009F7745">
            <w:pPr>
              <w:rPr>
                <w:rFonts w:ascii="Times New Roman" w:hAnsi="Times New Roman"/>
                <w:sz w:val="20"/>
                <w:szCs w:val="20"/>
                <w:lang w:val="en-CA" w:eastAsia="en-CA"/>
              </w:rPr>
            </w:pPr>
          </w:p>
        </w:tc>
        <w:tc>
          <w:tcPr>
            <w:tcW w:w="1279" w:type="dxa"/>
            <w:tcBorders>
              <w:top w:val="nil"/>
              <w:left w:val="nil"/>
              <w:bottom w:val="nil"/>
              <w:right w:val="nil"/>
            </w:tcBorders>
            <w:shd w:val="clear" w:color="auto" w:fill="auto"/>
            <w:noWrap/>
            <w:vAlign w:val="bottom"/>
            <w:hideMark/>
          </w:tcPr>
          <w:p w14:paraId="5992284F"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57213FA8" w14:textId="77777777" w:rsidR="009F7745" w:rsidRPr="009F7745" w:rsidRDefault="009F7745" w:rsidP="009F7745">
            <w:pPr>
              <w:rPr>
                <w:rFonts w:ascii="Times New Roman" w:hAnsi="Times New Roman"/>
                <w:sz w:val="20"/>
                <w:szCs w:val="20"/>
                <w:lang w:val="en-CA" w:eastAsia="en-CA"/>
              </w:rPr>
            </w:pPr>
          </w:p>
        </w:tc>
        <w:tc>
          <w:tcPr>
            <w:tcW w:w="1320" w:type="dxa"/>
            <w:tcBorders>
              <w:top w:val="nil"/>
              <w:left w:val="nil"/>
              <w:bottom w:val="nil"/>
              <w:right w:val="nil"/>
            </w:tcBorders>
            <w:shd w:val="clear" w:color="auto" w:fill="auto"/>
            <w:noWrap/>
            <w:vAlign w:val="bottom"/>
            <w:hideMark/>
          </w:tcPr>
          <w:p w14:paraId="3193EB85" w14:textId="77777777" w:rsidR="009F7745" w:rsidRPr="009F7745" w:rsidRDefault="009F7745" w:rsidP="009F7745">
            <w:pPr>
              <w:rPr>
                <w:rFonts w:ascii="Times New Roman" w:hAnsi="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12BF1ED7" w14:textId="77777777" w:rsidR="009F7745" w:rsidRPr="009F7745" w:rsidRDefault="009F7745" w:rsidP="009F7745">
            <w:pPr>
              <w:rPr>
                <w:rFonts w:ascii="Times New Roman" w:hAnsi="Times New Roman"/>
                <w:sz w:val="20"/>
                <w:szCs w:val="20"/>
                <w:lang w:val="en-CA" w:eastAsia="en-CA"/>
              </w:rPr>
            </w:pPr>
          </w:p>
        </w:tc>
      </w:tr>
      <w:tr w:rsidR="009F7745" w:rsidRPr="009F7745" w14:paraId="19AB5E38" w14:textId="77777777" w:rsidTr="009F7745">
        <w:trPr>
          <w:trHeight w:val="290"/>
        </w:trPr>
        <w:tc>
          <w:tcPr>
            <w:tcW w:w="960" w:type="dxa"/>
            <w:tcBorders>
              <w:top w:val="nil"/>
              <w:left w:val="nil"/>
              <w:bottom w:val="nil"/>
              <w:right w:val="nil"/>
            </w:tcBorders>
            <w:shd w:val="clear" w:color="auto" w:fill="auto"/>
            <w:noWrap/>
            <w:vAlign w:val="bottom"/>
            <w:hideMark/>
          </w:tcPr>
          <w:p w14:paraId="5C22E96A" w14:textId="77777777" w:rsidR="009F7745" w:rsidRPr="009F7745" w:rsidRDefault="009F7745" w:rsidP="009F7745">
            <w:pPr>
              <w:rPr>
                <w:rFonts w:ascii="Times New Roman" w:hAnsi="Times New Roman"/>
                <w:sz w:val="20"/>
                <w:szCs w:val="20"/>
                <w:lang w:val="en-CA" w:eastAsia="en-CA"/>
              </w:rPr>
            </w:pPr>
          </w:p>
        </w:tc>
        <w:tc>
          <w:tcPr>
            <w:tcW w:w="2880" w:type="dxa"/>
            <w:gridSpan w:val="3"/>
            <w:tcBorders>
              <w:top w:val="nil"/>
              <w:left w:val="nil"/>
              <w:bottom w:val="nil"/>
              <w:right w:val="nil"/>
            </w:tcBorders>
            <w:shd w:val="clear" w:color="auto" w:fill="auto"/>
            <w:noWrap/>
            <w:vAlign w:val="bottom"/>
            <w:hideMark/>
          </w:tcPr>
          <w:p w14:paraId="426178E0" w14:textId="77777777" w:rsidR="009F7745" w:rsidRPr="009F7745" w:rsidRDefault="009F7745" w:rsidP="009F7745">
            <w:pPr>
              <w:rPr>
                <w:rFonts w:ascii="Calibri" w:hAnsi="Calibri" w:cs="Calibri"/>
                <w:color w:val="000000"/>
                <w:szCs w:val="22"/>
                <w:lang w:val="en-CA" w:eastAsia="en-CA"/>
              </w:rPr>
            </w:pPr>
            <w:r w:rsidRPr="009F7745">
              <w:rPr>
                <w:rFonts w:ascii="Calibri" w:hAnsi="Calibri" w:cs="Calibri"/>
                <w:color w:val="000000"/>
                <w:szCs w:val="22"/>
                <w:lang w:val="en-CA" w:eastAsia="en-CA"/>
              </w:rPr>
              <w:t>Net loss for the period</w:t>
            </w:r>
          </w:p>
        </w:tc>
        <w:tc>
          <w:tcPr>
            <w:tcW w:w="1320" w:type="dxa"/>
            <w:tcBorders>
              <w:top w:val="nil"/>
              <w:left w:val="nil"/>
              <w:bottom w:val="nil"/>
              <w:right w:val="nil"/>
            </w:tcBorders>
            <w:shd w:val="clear" w:color="auto" w:fill="auto"/>
            <w:noWrap/>
            <w:vAlign w:val="bottom"/>
            <w:hideMark/>
          </w:tcPr>
          <w:p w14:paraId="3066FC66" w14:textId="77777777" w:rsidR="009F7745" w:rsidRPr="009F7745" w:rsidRDefault="009F7745" w:rsidP="009F7745">
            <w:pPr>
              <w:rPr>
                <w:rFonts w:ascii="Calibri" w:hAnsi="Calibri" w:cs="Calibri"/>
                <w:color w:val="000000"/>
                <w:szCs w:val="22"/>
                <w:lang w:val="en-CA" w:eastAsia="en-CA"/>
              </w:rPr>
            </w:pPr>
          </w:p>
        </w:tc>
        <w:tc>
          <w:tcPr>
            <w:tcW w:w="1279" w:type="dxa"/>
            <w:tcBorders>
              <w:top w:val="nil"/>
              <w:left w:val="nil"/>
              <w:bottom w:val="nil"/>
              <w:right w:val="nil"/>
            </w:tcBorders>
            <w:shd w:val="clear" w:color="auto" w:fill="auto"/>
            <w:noWrap/>
            <w:vAlign w:val="bottom"/>
            <w:hideMark/>
          </w:tcPr>
          <w:p w14:paraId="79ED926B" w14:textId="77777777" w:rsidR="009F7745" w:rsidRPr="009F7745" w:rsidRDefault="009F7745" w:rsidP="009F7745">
            <w:pPr>
              <w:rPr>
                <w:rFonts w:ascii="Times New Roman" w:hAnsi="Times New Roman"/>
                <w:sz w:val="20"/>
                <w:szCs w:val="20"/>
                <w:lang w:val="en-CA" w:eastAsia="en-CA"/>
              </w:rPr>
            </w:pPr>
          </w:p>
        </w:tc>
        <w:tc>
          <w:tcPr>
            <w:tcW w:w="1361" w:type="dxa"/>
            <w:tcBorders>
              <w:top w:val="nil"/>
              <w:left w:val="nil"/>
              <w:bottom w:val="nil"/>
              <w:right w:val="nil"/>
            </w:tcBorders>
            <w:shd w:val="clear" w:color="auto" w:fill="auto"/>
            <w:noWrap/>
            <w:vAlign w:val="bottom"/>
            <w:hideMark/>
          </w:tcPr>
          <w:p w14:paraId="2A170A02"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-27,550</w:t>
            </w:r>
          </w:p>
        </w:tc>
        <w:tc>
          <w:tcPr>
            <w:tcW w:w="1320" w:type="dxa"/>
            <w:tcBorders>
              <w:top w:val="nil"/>
              <w:left w:val="nil"/>
              <w:bottom w:val="nil"/>
              <w:right w:val="nil"/>
            </w:tcBorders>
            <w:shd w:val="clear" w:color="auto" w:fill="auto"/>
            <w:noWrap/>
            <w:vAlign w:val="bottom"/>
            <w:hideMark/>
          </w:tcPr>
          <w:p w14:paraId="50E7C15F" w14:textId="77777777" w:rsidR="009F7745" w:rsidRPr="009F7745" w:rsidRDefault="009F7745" w:rsidP="009F7745">
            <w:pPr>
              <w:jc w:val="right"/>
              <w:rPr>
                <w:rFonts w:ascii="Calibri" w:hAnsi="Calibri" w:cs="Calibri"/>
                <w:color w:val="000000"/>
                <w:szCs w:val="22"/>
                <w:lang w:val="en-CA" w:eastAsia="en-CA"/>
              </w:rPr>
            </w:pPr>
            <w:r w:rsidRPr="009F7745">
              <w:rPr>
                <w:rFonts w:ascii="Calibri" w:hAnsi="Calibri" w:cs="Calibri"/>
                <w:color w:val="000000"/>
                <w:szCs w:val="22"/>
                <w:lang w:val="en-CA" w:eastAsia="en-CA"/>
              </w:rPr>
              <w:t>-27,550</w:t>
            </w:r>
          </w:p>
        </w:tc>
        <w:tc>
          <w:tcPr>
            <w:tcW w:w="960" w:type="dxa"/>
            <w:tcBorders>
              <w:top w:val="nil"/>
              <w:left w:val="nil"/>
              <w:bottom w:val="nil"/>
              <w:right w:val="nil"/>
            </w:tcBorders>
            <w:shd w:val="clear" w:color="auto" w:fill="auto"/>
            <w:noWrap/>
            <w:vAlign w:val="bottom"/>
            <w:hideMark/>
          </w:tcPr>
          <w:p w14:paraId="65F240C3" w14:textId="77777777" w:rsidR="009F7745" w:rsidRPr="009F7745" w:rsidRDefault="009F7745" w:rsidP="009F7745">
            <w:pPr>
              <w:jc w:val="right"/>
              <w:rPr>
                <w:rFonts w:ascii="Calibri" w:hAnsi="Calibri" w:cs="Calibri"/>
                <w:color w:val="000000"/>
                <w:szCs w:val="22"/>
                <w:lang w:val="en-CA" w:eastAsia="en-CA"/>
              </w:rPr>
            </w:pPr>
          </w:p>
        </w:tc>
      </w:tr>
      <w:tr w:rsidR="009F7745" w:rsidRPr="009F7745" w14:paraId="0A7F8AD1" w14:textId="77777777" w:rsidTr="009F7745">
        <w:trPr>
          <w:trHeight w:val="290"/>
        </w:trPr>
        <w:tc>
          <w:tcPr>
            <w:tcW w:w="2880" w:type="dxa"/>
            <w:gridSpan w:val="3"/>
            <w:tcBorders>
              <w:top w:val="nil"/>
              <w:left w:val="nil"/>
              <w:bottom w:val="nil"/>
              <w:right w:val="nil"/>
            </w:tcBorders>
            <w:shd w:val="clear" w:color="auto" w:fill="auto"/>
            <w:noWrap/>
            <w:vAlign w:val="bottom"/>
            <w:hideMark/>
          </w:tcPr>
          <w:p w14:paraId="5E4A5AF7" w14:textId="77777777" w:rsidR="009F7745" w:rsidRPr="009F7745" w:rsidRDefault="009F7745" w:rsidP="009F7745">
            <w:pPr>
              <w:rPr>
                <w:rFonts w:ascii="Calibri" w:hAnsi="Calibri" w:cs="Calibri"/>
                <w:b/>
                <w:bCs/>
                <w:color w:val="000000"/>
                <w:szCs w:val="22"/>
                <w:lang w:val="en-CA" w:eastAsia="en-CA"/>
              </w:rPr>
            </w:pPr>
            <w:r w:rsidRPr="009F7745">
              <w:rPr>
                <w:rFonts w:ascii="Calibri" w:hAnsi="Calibri" w:cs="Calibri"/>
                <w:b/>
                <w:bCs/>
                <w:color w:val="000000"/>
                <w:szCs w:val="22"/>
                <w:lang w:val="en-CA" w:eastAsia="en-CA"/>
              </w:rPr>
              <w:t>Balance, May 31, 2019</w:t>
            </w:r>
          </w:p>
        </w:tc>
        <w:tc>
          <w:tcPr>
            <w:tcW w:w="960" w:type="dxa"/>
            <w:tcBorders>
              <w:top w:val="nil"/>
              <w:left w:val="nil"/>
              <w:bottom w:val="nil"/>
              <w:right w:val="nil"/>
            </w:tcBorders>
            <w:shd w:val="clear" w:color="auto" w:fill="auto"/>
            <w:noWrap/>
            <w:vAlign w:val="bottom"/>
            <w:hideMark/>
          </w:tcPr>
          <w:p w14:paraId="6590A0A7" w14:textId="77777777" w:rsidR="009F7745" w:rsidRPr="009F7745" w:rsidRDefault="009F7745" w:rsidP="009F7745">
            <w:pPr>
              <w:rPr>
                <w:rFonts w:ascii="Calibri" w:hAnsi="Calibri" w:cs="Calibri"/>
                <w:b/>
                <w:bCs/>
                <w:color w:val="000000"/>
                <w:szCs w:val="22"/>
                <w:lang w:val="en-CA" w:eastAsia="en-CA"/>
              </w:rPr>
            </w:pPr>
          </w:p>
        </w:tc>
        <w:tc>
          <w:tcPr>
            <w:tcW w:w="1320" w:type="dxa"/>
            <w:tcBorders>
              <w:top w:val="nil"/>
              <w:left w:val="nil"/>
              <w:bottom w:val="nil"/>
              <w:right w:val="nil"/>
            </w:tcBorders>
            <w:shd w:val="clear" w:color="auto" w:fill="auto"/>
            <w:noWrap/>
            <w:vAlign w:val="bottom"/>
            <w:hideMark/>
          </w:tcPr>
          <w:p w14:paraId="78700839"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5,840,777</w:t>
            </w:r>
          </w:p>
        </w:tc>
        <w:tc>
          <w:tcPr>
            <w:tcW w:w="1279" w:type="dxa"/>
            <w:tcBorders>
              <w:top w:val="nil"/>
              <w:left w:val="nil"/>
              <w:bottom w:val="nil"/>
              <w:right w:val="nil"/>
            </w:tcBorders>
            <w:shd w:val="clear" w:color="auto" w:fill="auto"/>
            <w:noWrap/>
            <w:vAlign w:val="bottom"/>
            <w:hideMark/>
          </w:tcPr>
          <w:p w14:paraId="7CF85F93"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194,333</w:t>
            </w:r>
          </w:p>
        </w:tc>
        <w:tc>
          <w:tcPr>
            <w:tcW w:w="1361" w:type="dxa"/>
            <w:tcBorders>
              <w:top w:val="nil"/>
              <w:left w:val="nil"/>
              <w:bottom w:val="nil"/>
              <w:right w:val="nil"/>
            </w:tcBorders>
            <w:shd w:val="clear" w:color="auto" w:fill="auto"/>
            <w:noWrap/>
            <w:vAlign w:val="bottom"/>
            <w:hideMark/>
          </w:tcPr>
          <w:p w14:paraId="5F7787C1"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169,351</w:t>
            </w:r>
          </w:p>
        </w:tc>
        <w:tc>
          <w:tcPr>
            <w:tcW w:w="1320" w:type="dxa"/>
            <w:tcBorders>
              <w:top w:val="nil"/>
              <w:left w:val="nil"/>
              <w:bottom w:val="nil"/>
              <w:right w:val="nil"/>
            </w:tcBorders>
            <w:shd w:val="clear" w:color="auto" w:fill="auto"/>
            <w:noWrap/>
            <w:vAlign w:val="bottom"/>
            <w:hideMark/>
          </w:tcPr>
          <w:p w14:paraId="079FF2F9" w14:textId="77777777" w:rsidR="009F7745" w:rsidRPr="009F7745" w:rsidRDefault="009F7745" w:rsidP="009F7745">
            <w:pPr>
              <w:jc w:val="right"/>
              <w:rPr>
                <w:rFonts w:ascii="Calibri" w:hAnsi="Calibri" w:cs="Calibri"/>
                <w:color w:val="000000"/>
                <w:szCs w:val="22"/>
                <w:u w:val="single"/>
                <w:lang w:val="en-CA" w:eastAsia="en-CA"/>
              </w:rPr>
            </w:pPr>
            <w:r w:rsidRPr="009F7745">
              <w:rPr>
                <w:rFonts w:ascii="Calibri" w:hAnsi="Calibri" w:cs="Calibri"/>
                <w:color w:val="000000"/>
                <w:szCs w:val="22"/>
                <w:u w:val="single"/>
                <w:lang w:val="en-CA" w:eastAsia="en-CA"/>
              </w:rPr>
              <w:t>24,680</w:t>
            </w:r>
          </w:p>
        </w:tc>
        <w:tc>
          <w:tcPr>
            <w:tcW w:w="960" w:type="dxa"/>
            <w:tcBorders>
              <w:top w:val="nil"/>
              <w:left w:val="nil"/>
              <w:bottom w:val="nil"/>
              <w:right w:val="nil"/>
            </w:tcBorders>
            <w:shd w:val="clear" w:color="auto" w:fill="auto"/>
            <w:noWrap/>
            <w:vAlign w:val="bottom"/>
            <w:hideMark/>
          </w:tcPr>
          <w:p w14:paraId="1E38F79A" w14:textId="77777777" w:rsidR="009F7745" w:rsidRPr="009F7745" w:rsidRDefault="009F7745" w:rsidP="009F7745">
            <w:pPr>
              <w:jc w:val="right"/>
              <w:rPr>
                <w:rFonts w:ascii="Calibri" w:hAnsi="Calibri" w:cs="Calibri"/>
                <w:color w:val="000000"/>
                <w:szCs w:val="22"/>
                <w:u w:val="single"/>
                <w:lang w:val="en-CA" w:eastAsia="en-CA"/>
              </w:rPr>
            </w:pPr>
          </w:p>
        </w:tc>
      </w:tr>
    </w:tbl>
    <w:p w14:paraId="59FD2C6C" w14:textId="77777777" w:rsidR="00C647C6" w:rsidRPr="004C0D70" w:rsidRDefault="00C647C6" w:rsidP="009F7745">
      <w:pPr>
        <w:autoSpaceDE w:val="0"/>
        <w:autoSpaceDN w:val="0"/>
        <w:adjustRightInd w:val="0"/>
        <w:rPr>
          <w:rFonts w:ascii="Times New Roman" w:hAnsi="Times New Roman"/>
          <w:bCs/>
          <w:color w:val="000000"/>
          <w:szCs w:val="22"/>
          <w:u w:val="single"/>
        </w:rPr>
      </w:pPr>
    </w:p>
    <w:p w14:paraId="609E036C" w14:textId="77777777" w:rsidR="00C647C6" w:rsidRPr="004C0D70" w:rsidRDefault="00C647C6" w:rsidP="00C647C6">
      <w:pPr>
        <w:tabs>
          <w:tab w:val="right" w:pos="4860"/>
          <w:tab w:val="right" w:pos="6210"/>
          <w:tab w:val="right" w:pos="7650"/>
          <w:tab w:val="right" w:pos="9180"/>
        </w:tabs>
        <w:autoSpaceDE w:val="0"/>
        <w:autoSpaceDN w:val="0"/>
        <w:adjustRightInd w:val="0"/>
        <w:rPr>
          <w:rFonts w:ascii="Times New Roman" w:hAnsi="Times New Roman"/>
          <w:bCs/>
          <w:color w:val="000000"/>
          <w:szCs w:val="22"/>
          <w:u w:val="single"/>
        </w:rPr>
      </w:pPr>
    </w:p>
    <w:p w14:paraId="28F63E6C" w14:textId="77777777" w:rsidR="00C647C6" w:rsidRPr="004C0D70" w:rsidRDefault="00C647C6">
      <w:pPr>
        <w:spacing w:after="160" w:line="259" w:lineRule="auto"/>
        <w:rPr>
          <w:rFonts w:ascii="Times New Roman" w:hAnsi="Times New Roman"/>
          <w:bCs/>
          <w:color w:val="000000"/>
          <w:szCs w:val="22"/>
        </w:rPr>
      </w:pPr>
      <w:r w:rsidRPr="004C0D70">
        <w:rPr>
          <w:rFonts w:ascii="Times New Roman" w:hAnsi="Times New Roman"/>
          <w:bCs/>
          <w:color w:val="000000"/>
          <w:szCs w:val="22"/>
        </w:rPr>
        <w:br w:type="page"/>
      </w:r>
    </w:p>
    <w:p w14:paraId="09C57633" w14:textId="77777777" w:rsidR="009F7745" w:rsidRPr="009F7745" w:rsidRDefault="009F7745" w:rsidP="009F7745">
      <w:pPr>
        <w:pStyle w:val="NTitleB"/>
        <w:keepNext w:val="0"/>
        <w:keepLines w:val="0"/>
        <w:widowControl/>
        <w:tabs>
          <w:tab w:val="clear" w:pos="576"/>
        </w:tabs>
        <w:spacing w:before="0"/>
        <w:ind w:left="0" w:firstLine="0"/>
        <w:rPr>
          <w:rFonts w:asciiTheme="minorHAnsi" w:hAnsiTheme="minorHAnsi" w:cstheme="minorHAnsi"/>
          <w:sz w:val="22"/>
          <w:szCs w:val="22"/>
        </w:rPr>
      </w:pPr>
      <w:bookmarkStart w:id="1" w:name="_Hlk5800853"/>
      <w:r w:rsidRPr="009F7745">
        <w:rPr>
          <w:rFonts w:asciiTheme="minorHAnsi" w:hAnsiTheme="minorHAnsi" w:cstheme="minorHAnsi"/>
          <w:sz w:val="22"/>
          <w:szCs w:val="22"/>
        </w:rPr>
        <w:lastRenderedPageBreak/>
        <w:t>NOTES TO FINANCIAL STATEMENTS DATED MAY 31, 2019</w:t>
      </w:r>
    </w:p>
    <w:p w14:paraId="77544882" w14:textId="77777777" w:rsidR="009F7745" w:rsidRPr="009F7745" w:rsidRDefault="009F7745" w:rsidP="009F7745">
      <w:pPr>
        <w:pStyle w:val="NTitleB"/>
        <w:keepNext w:val="0"/>
        <w:keepLines w:val="0"/>
        <w:widowControl/>
        <w:tabs>
          <w:tab w:val="clear" w:pos="576"/>
        </w:tabs>
        <w:spacing w:before="0"/>
        <w:ind w:left="360" w:firstLine="0"/>
        <w:rPr>
          <w:rFonts w:asciiTheme="minorHAnsi" w:hAnsiTheme="minorHAnsi" w:cstheme="minorHAnsi"/>
          <w:sz w:val="22"/>
          <w:szCs w:val="22"/>
        </w:rPr>
      </w:pPr>
    </w:p>
    <w:p w14:paraId="776E9617" w14:textId="77777777" w:rsidR="009F7745" w:rsidRPr="009F7745" w:rsidRDefault="009F7745" w:rsidP="009F7745">
      <w:pPr>
        <w:pStyle w:val="NTitleB"/>
        <w:keepNext w:val="0"/>
        <w:keepLines w:val="0"/>
        <w:widowControl/>
        <w:numPr>
          <w:ilvl w:val="0"/>
          <w:numId w:val="1"/>
        </w:numPr>
        <w:tabs>
          <w:tab w:val="clear" w:pos="576"/>
          <w:tab w:val="clear" w:pos="720"/>
        </w:tabs>
        <w:spacing w:before="0"/>
        <w:ind w:left="360" w:hanging="360"/>
        <w:rPr>
          <w:rFonts w:asciiTheme="minorHAnsi" w:hAnsiTheme="minorHAnsi" w:cstheme="minorHAnsi"/>
          <w:sz w:val="22"/>
          <w:szCs w:val="22"/>
        </w:rPr>
      </w:pPr>
      <w:r w:rsidRPr="009F7745">
        <w:rPr>
          <w:rFonts w:asciiTheme="minorHAnsi" w:hAnsiTheme="minorHAnsi" w:cstheme="minorHAnsi"/>
          <w:sz w:val="22"/>
          <w:szCs w:val="22"/>
        </w:rPr>
        <w:t>NATURE OF OPERATIONS AND GOING CONCERN</w:t>
      </w:r>
    </w:p>
    <w:p w14:paraId="6880DBBA" w14:textId="77777777" w:rsidR="009F7745" w:rsidRPr="009F7745" w:rsidRDefault="009F7745" w:rsidP="009F7745">
      <w:pPr>
        <w:pStyle w:val="Nbody"/>
        <w:widowControl/>
        <w:spacing w:before="0"/>
        <w:ind w:left="360" w:hanging="360"/>
        <w:jc w:val="left"/>
        <w:rPr>
          <w:rFonts w:asciiTheme="minorHAnsi" w:hAnsiTheme="minorHAnsi" w:cstheme="minorHAnsi"/>
          <w:sz w:val="22"/>
          <w:szCs w:val="22"/>
        </w:rPr>
      </w:pPr>
    </w:p>
    <w:p w14:paraId="327A53A6" w14:textId="77777777" w:rsidR="009F7745" w:rsidRPr="009F7745" w:rsidRDefault="009F7745" w:rsidP="009F7745">
      <w:pPr>
        <w:ind w:left="360"/>
        <w:jc w:val="both"/>
        <w:rPr>
          <w:rFonts w:asciiTheme="minorHAnsi" w:hAnsiTheme="minorHAnsi" w:cstheme="minorHAnsi"/>
          <w:szCs w:val="22"/>
        </w:rPr>
      </w:pPr>
      <w:r w:rsidRPr="009F7745">
        <w:rPr>
          <w:rFonts w:asciiTheme="minorHAnsi" w:hAnsiTheme="minorHAnsi" w:cstheme="minorHAnsi"/>
          <w:bCs/>
          <w:szCs w:val="22"/>
        </w:rPr>
        <w:t xml:space="preserve">Project One Resources Ltd. (the “Company”) was incorporated under the </w:t>
      </w:r>
      <w:r w:rsidRPr="009F7745">
        <w:rPr>
          <w:rFonts w:asciiTheme="minorHAnsi" w:hAnsiTheme="minorHAnsi" w:cstheme="minorHAnsi"/>
          <w:bCs/>
          <w:i/>
          <w:szCs w:val="22"/>
        </w:rPr>
        <w:t>Business Corporations Act</w:t>
      </w:r>
      <w:r w:rsidRPr="009F7745">
        <w:rPr>
          <w:rFonts w:asciiTheme="minorHAnsi" w:hAnsiTheme="minorHAnsi" w:cstheme="minorHAnsi"/>
          <w:bCs/>
          <w:szCs w:val="22"/>
        </w:rPr>
        <w:t xml:space="preserve"> (British Columbia) on March 22, 2018. </w:t>
      </w:r>
      <w:r w:rsidRPr="009F7745">
        <w:rPr>
          <w:rFonts w:asciiTheme="minorHAnsi" w:hAnsiTheme="minorHAnsi" w:cstheme="minorHAnsi"/>
          <w:szCs w:val="22"/>
        </w:rPr>
        <w:t>The principal business of the Company is the acquisition, exploration and evaluation of resource properties.</w:t>
      </w:r>
    </w:p>
    <w:p w14:paraId="19E7E26C" w14:textId="77777777" w:rsidR="009F7745" w:rsidRPr="009F7745" w:rsidRDefault="009F7745" w:rsidP="009F7745">
      <w:pPr>
        <w:autoSpaceDE w:val="0"/>
        <w:autoSpaceDN w:val="0"/>
        <w:adjustRightInd w:val="0"/>
        <w:ind w:left="360" w:hanging="360"/>
        <w:jc w:val="both"/>
        <w:rPr>
          <w:rFonts w:asciiTheme="minorHAnsi" w:hAnsiTheme="minorHAnsi" w:cstheme="minorHAnsi"/>
          <w:bCs/>
          <w:szCs w:val="22"/>
        </w:rPr>
      </w:pPr>
    </w:p>
    <w:p w14:paraId="6FE5F7E9" w14:textId="77777777" w:rsidR="009F7745" w:rsidRPr="009F7745" w:rsidRDefault="009F7745" w:rsidP="009F7745">
      <w:pPr>
        <w:ind w:left="360"/>
        <w:rPr>
          <w:rFonts w:asciiTheme="minorHAnsi" w:hAnsiTheme="minorHAnsi" w:cstheme="minorHAnsi"/>
          <w:szCs w:val="22"/>
        </w:rPr>
      </w:pPr>
      <w:r w:rsidRPr="009F7745">
        <w:rPr>
          <w:rFonts w:asciiTheme="minorHAnsi" w:hAnsiTheme="minorHAnsi" w:cstheme="minorHAnsi"/>
          <w:szCs w:val="22"/>
        </w:rPr>
        <w:t>The Company's head office address is Suite 459 – 409 Granville Street, Vancouver, British Columbia, V6C 1T2, and its registered office address is Suite 1710 – 1177 West Hastings Street, Vancouver, British Columbia, V6E 2L3.</w:t>
      </w:r>
    </w:p>
    <w:p w14:paraId="6464AC10" w14:textId="77777777" w:rsidR="009F7745" w:rsidRPr="009F7745" w:rsidRDefault="009F7745" w:rsidP="009F7745">
      <w:pPr>
        <w:autoSpaceDE w:val="0"/>
        <w:autoSpaceDN w:val="0"/>
        <w:adjustRightInd w:val="0"/>
        <w:ind w:left="360" w:hanging="360"/>
        <w:jc w:val="both"/>
        <w:rPr>
          <w:rFonts w:asciiTheme="minorHAnsi" w:hAnsiTheme="minorHAnsi" w:cstheme="minorHAnsi"/>
          <w:bCs/>
          <w:szCs w:val="22"/>
        </w:rPr>
      </w:pPr>
    </w:p>
    <w:p w14:paraId="0529DCEC" w14:textId="77777777" w:rsidR="009F7745" w:rsidRPr="009F7745" w:rsidRDefault="009F7745" w:rsidP="009F7745">
      <w:pPr>
        <w:autoSpaceDE w:val="0"/>
        <w:autoSpaceDN w:val="0"/>
        <w:adjustRightInd w:val="0"/>
        <w:ind w:left="360"/>
        <w:jc w:val="both"/>
        <w:rPr>
          <w:rFonts w:asciiTheme="minorHAnsi" w:hAnsiTheme="minorHAnsi" w:cstheme="minorHAnsi"/>
          <w:bCs/>
          <w:szCs w:val="22"/>
          <w:lang w:val="en-CA"/>
        </w:rPr>
      </w:pPr>
      <w:r w:rsidRPr="009F7745">
        <w:rPr>
          <w:rFonts w:asciiTheme="minorHAnsi" w:hAnsiTheme="minorHAnsi" w:cstheme="minorHAnsi"/>
          <w:bCs/>
          <w:szCs w:val="22"/>
        </w:rPr>
        <w:t>These condensed interim financial statements have been prepared on a going concern basis, which assumes that the Company will be able to realize its assets and discharge its liabilities in the normal course of business. At present, the Company has no operating income. Without additional financing, the Company may not be able to fund its ongoing operations and complete development activities. The Company intends to finance its future requirements through a combination of debt and/or equity issuance. There is no assurance that the Company will be able to obtain such financings or obtain them on favorable terms. These uncertainties may cast significant doubt on the Company</w:t>
      </w:r>
      <w:r w:rsidRPr="009F7745">
        <w:rPr>
          <w:rFonts w:asciiTheme="minorHAnsi" w:hAnsiTheme="minorHAnsi" w:cstheme="minorHAnsi"/>
          <w:bCs/>
          <w:szCs w:val="22"/>
          <w:lang w:val="en-CA"/>
        </w:rPr>
        <w:t>’s ability to continue as a going concern. The Company will need to raise sufficient working capital to maintain operations. These condensed interim financial statements do not include any adjustments related to the recoverability of assets and classification of liabilities that might be necessary should the Company be unable to continue as a going concern.</w:t>
      </w:r>
      <w:r w:rsidRPr="009F7745">
        <w:rPr>
          <w:rFonts w:asciiTheme="minorHAnsi" w:hAnsiTheme="minorHAnsi" w:cstheme="minorHAnsi"/>
          <w:bCs/>
          <w:szCs w:val="22"/>
        </w:rPr>
        <w:t xml:space="preserve"> Such adjustments could be material.</w:t>
      </w:r>
    </w:p>
    <w:p w14:paraId="320D0DEC"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p>
    <w:p w14:paraId="39DBD573" w14:textId="77777777" w:rsidR="009F7745" w:rsidRPr="009F7745" w:rsidRDefault="009F7745" w:rsidP="009F7745">
      <w:pPr>
        <w:pStyle w:val="NTitleB"/>
        <w:keepNext w:val="0"/>
        <w:keepLines w:val="0"/>
        <w:widowControl/>
        <w:numPr>
          <w:ilvl w:val="0"/>
          <w:numId w:val="1"/>
        </w:numPr>
        <w:tabs>
          <w:tab w:val="clear" w:pos="576"/>
          <w:tab w:val="clear" w:pos="720"/>
        </w:tabs>
        <w:spacing w:before="0"/>
        <w:ind w:left="360" w:hanging="360"/>
        <w:rPr>
          <w:rFonts w:asciiTheme="minorHAnsi" w:hAnsiTheme="minorHAnsi" w:cstheme="minorHAnsi"/>
          <w:sz w:val="22"/>
          <w:szCs w:val="22"/>
        </w:rPr>
      </w:pPr>
      <w:r w:rsidRPr="009F7745">
        <w:rPr>
          <w:rFonts w:asciiTheme="minorHAnsi" w:hAnsiTheme="minorHAnsi" w:cstheme="minorHAnsi"/>
          <w:sz w:val="22"/>
          <w:szCs w:val="22"/>
        </w:rPr>
        <w:t>BASIS OF PRESENTATION</w:t>
      </w:r>
    </w:p>
    <w:p w14:paraId="419877E4" w14:textId="77777777" w:rsidR="009F7745" w:rsidRPr="009F7745" w:rsidRDefault="009F7745" w:rsidP="009F7745">
      <w:pPr>
        <w:pStyle w:val="NTitleB"/>
        <w:keepNext w:val="0"/>
        <w:keepLines w:val="0"/>
        <w:widowControl/>
        <w:tabs>
          <w:tab w:val="clear" w:pos="576"/>
        </w:tabs>
        <w:spacing w:before="0"/>
        <w:rPr>
          <w:rFonts w:asciiTheme="minorHAnsi" w:hAnsiTheme="minorHAnsi" w:cstheme="minorHAnsi"/>
          <w:sz w:val="22"/>
          <w:szCs w:val="22"/>
        </w:rPr>
      </w:pPr>
    </w:p>
    <w:p w14:paraId="113C3AE0" w14:textId="77777777" w:rsidR="009F7745" w:rsidRPr="009F7745" w:rsidRDefault="009F7745" w:rsidP="009F7745">
      <w:pPr>
        <w:pStyle w:val="ListParagraph"/>
        <w:numPr>
          <w:ilvl w:val="1"/>
          <w:numId w:val="1"/>
        </w:numPr>
        <w:tabs>
          <w:tab w:val="clear" w:pos="1440"/>
        </w:tabs>
        <w:autoSpaceDE w:val="0"/>
        <w:autoSpaceDN w:val="0"/>
        <w:adjustRightInd w:val="0"/>
        <w:ind w:left="720" w:hanging="360"/>
        <w:jc w:val="both"/>
        <w:rPr>
          <w:rFonts w:asciiTheme="minorHAnsi" w:hAnsiTheme="minorHAnsi" w:cstheme="minorHAnsi"/>
          <w:iCs/>
          <w:szCs w:val="22"/>
          <w:lang w:val="en-CA"/>
        </w:rPr>
      </w:pPr>
      <w:r w:rsidRPr="009F7745">
        <w:rPr>
          <w:rFonts w:asciiTheme="minorHAnsi" w:hAnsiTheme="minorHAnsi" w:cstheme="minorHAnsi"/>
          <w:iCs/>
          <w:szCs w:val="22"/>
          <w:lang w:val="en-CA"/>
        </w:rPr>
        <w:t>Statement of compliance</w:t>
      </w:r>
    </w:p>
    <w:p w14:paraId="4EAB5D12" w14:textId="77777777" w:rsidR="009F7745" w:rsidRPr="009F7745" w:rsidRDefault="009F7745" w:rsidP="009F7745">
      <w:pPr>
        <w:autoSpaceDE w:val="0"/>
        <w:autoSpaceDN w:val="0"/>
        <w:adjustRightInd w:val="0"/>
        <w:ind w:left="1080" w:hanging="360"/>
        <w:jc w:val="both"/>
        <w:rPr>
          <w:rFonts w:asciiTheme="minorHAnsi" w:hAnsiTheme="minorHAnsi" w:cstheme="minorHAnsi"/>
          <w:b/>
          <w:iCs/>
          <w:szCs w:val="22"/>
          <w:lang w:val="en-CA"/>
        </w:rPr>
      </w:pPr>
    </w:p>
    <w:p w14:paraId="1F1E5023"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r w:rsidRPr="009F7745">
        <w:rPr>
          <w:rFonts w:asciiTheme="minorHAnsi" w:hAnsiTheme="minorHAnsi" w:cstheme="minorHAnsi"/>
          <w:bCs/>
          <w:szCs w:val="22"/>
        </w:rPr>
        <w:t>These unaudited condensed interim financial statements were prepared by management and should be read in conjunction with the audited financial statements for the year ended August 31, 2018.</w:t>
      </w:r>
    </w:p>
    <w:p w14:paraId="68F504F6"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p>
    <w:p w14:paraId="1ACC3EB1"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r w:rsidRPr="009F7745">
        <w:rPr>
          <w:rFonts w:asciiTheme="minorHAnsi" w:hAnsiTheme="minorHAnsi" w:cstheme="minorHAnsi"/>
          <w:bCs/>
          <w:szCs w:val="22"/>
        </w:rPr>
        <w:t>In preparing these condensed consolidated interim financial statements, the significant accounting policies and the significant judgments made by management in applying the Company’s significant accounting policies and key sources of estimation uncertainty were the same as those that applied to the Company’s audited financial statements for the period from March 22, 2018 (date of incorporation) to August 31, 2018.</w:t>
      </w:r>
    </w:p>
    <w:p w14:paraId="288DC04E"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p>
    <w:p w14:paraId="6117260F"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r w:rsidRPr="009F7745">
        <w:rPr>
          <w:rFonts w:asciiTheme="minorHAnsi" w:hAnsiTheme="minorHAnsi" w:cstheme="minorHAnsi"/>
          <w:bCs/>
          <w:szCs w:val="22"/>
        </w:rPr>
        <w:t>These financial statements are presented in Canadian dollars, which is the Company’s functional currency.</w:t>
      </w:r>
    </w:p>
    <w:p w14:paraId="501BF05B" w14:textId="77777777" w:rsidR="009F7745" w:rsidRPr="009F7745" w:rsidRDefault="009F7745" w:rsidP="009F7745">
      <w:pPr>
        <w:autoSpaceDE w:val="0"/>
        <w:autoSpaceDN w:val="0"/>
        <w:adjustRightInd w:val="0"/>
        <w:ind w:left="1080" w:hanging="360"/>
        <w:jc w:val="both"/>
        <w:rPr>
          <w:rFonts w:asciiTheme="minorHAnsi" w:hAnsiTheme="minorHAnsi" w:cstheme="minorHAnsi"/>
          <w:bCs/>
          <w:szCs w:val="22"/>
        </w:rPr>
      </w:pPr>
    </w:p>
    <w:p w14:paraId="5AE0A3E8" w14:textId="77777777" w:rsidR="009F7745" w:rsidRPr="009F7745" w:rsidRDefault="009F7745" w:rsidP="009F7745">
      <w:pPr>
        <w:pStyle w:val="ListParagraph"/>
        <w:numPr>
          <w:ilvl w:val="1"/>
          <w:numId w:val="1"/>
        </w:numPr>
        <w:tabs>
          <w:tab w:val="clear" w:pos="1440"/>
        </w:tabs>
        <w:autoSpaceDE w:val="0"/>
        <w:autoSpaceDN w:val="0"/>
        <w:adjustRightInd w:val="0"/>
        <w:ind w:left="720" w:hanging="360"/>
        <w:jc w:val="both"/>
        <w:rPr>
          <w:rFonts w:asciiTheme="minorHAnsi" w:hAnsiTheme="minorHAnsi" w:cstheme="minorHAnsi"/>
          <w:iCs/>
          <w:szCs w:val="22"/>
          <w:lang w:val="en-CA"/>
        </w:rPr>
      </w:pPr>
      <w:r w:rsidRPr="009F7745">
        <w:rPr>
          <w:rFonts w:asciiTheme="minorHAnsi" w:hAnsiTheme="minorHAnsi" w:cstheme="minorHAnsi"/>
          <w:iCs/>
          <w:szCs w:val="22"/>
          <w:lang w:val="en-CA"/>
        </w:rPr>
        <w:t>Basis of presentation</w:t>
      </w:r>
    </w:p>
    <w:p w14:paraId="76FCD4BE" w14:textId="77777777" w:rsidR="009F7745" w:rsidRPr="009F7745" w:rsidRDefault="009F7745" w:rsidP="009F7745">
      <w:pPr>
        <w:pStyle w:val="ListParagraph"/>
        <w:autoSpaceDE w:val="0"/>
        <w:autoSpaceDN w:val="0"/>
        <w:adjustRightInd w:val="0"/>
        <w:ind w:left="1080" w:hanging="360"/>
        <w:jc w:val="both"/>
        <w:rPr>
          <w:rFonts w:asciiTheme="minorHAnsi" w:hAnsiTheme="minorHAnsi" w:cstheme="minorHAnsi"/>
          <w:iCs/>
          <w:szCs w:val="22"/>
          <w:lang w:val="en-CA"/>
        </w:rPr>
      </w:pPr>
    </w:p>
    <w:p w14:paraId="5C7A7894"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r w:rsidRPr="009F7745">
        <w:rPr>
          <w:rFonts w:asciiTheme="minorHAnsi" w:hAnsiTheme="minorHAnsi" w:cstheme="minorHAnsi"/>
          <w:bCs/>
          <w:szCs w:val="22"/>
        </w:rPr>
        <w:t xml:space="preserve">These condensed interim financial statements have been prepared on a historical cost basis, except for certain financial instruments classified as financial instruments at fair value through profit or loss, which are stated at fair value. In addition, these condensed financial statements have been prepared using the accrual basis of accounting, except for cash flow information. </w:t>
      </w:r>
    </w:p>
    <w:p w14:paraId="6170B3D5" w14:textId="77777777" w:rsidR="009F7745" w:rsidRPr="009F7745" w:rsidRDefault="009F7745" w:rsidP="009F7745">
      <w:pPr>
        <w:autoSpaceDE w:val="0"/>
        <w:autoSpaceDN w:val="0"/>
        <w:adjustRightInd w:val="0"/>
        <w:jc w:val="both"/>
        <w:rPr>
          <w:rFonts w:asciiTheme="minorHAnsi" w:hAnsiTheme="minorHAnsi" w:cstheme="minorHAnsi"/>
          <w:iCs/>
          <w:szCs w:val="22"/>
          <w:lang w:val="en-CA"/>
        </w:rPr>
      </w:pPr>
    </w:p>
    <w:p w14:paraId="3BAFEC10" w14:textId="77777777" w:rsidR="009F7745" w:rsidRPr="009F7745" w:rsidRDefault="009F7745" w:rsidP="009F7745">
      <w:pPr>
        <w:autoSpaceDE w:val="0"/>
        <w:autoSpaceDN w:val="0"/>
        <w:adjustRightInd w:val="0"/>
        <w:ind w:left="1440"/>
        <w:jc w:val="both"/>
        <w:rPr>
          <w:rFonts w:asciiTheme="minorHAnsi" w:hAnsiTheme="minorHAnsi" w:cstheme="minorHAnsi"/>
          <w:bCs/>
          <w:szCs w:val="22"/>
        </w:rPr>
      </w:pPr>
    </w:p>
    <w:p w14:paraId="66FFFB0D" w14:textId="77777777" w:rsidR="009F7745" w:rsidRPr="009F7745" w:rsidRDefault="009F7745" w:rsidP="009F7745">
      <w:pPr>
        <w:pStyle w:val="ListParagraph"/>
        <w:numPr>
          <w:ilvl w:val="0"/>
          <w:numId w:val="6"/>
        </w:numPr>
        <w:tabs>
          <w:tab w:val="clear" w:pos="720"/>
          <w:tab w:val="num" w:pos="360"/>
        </w:tabs>
        <w:rPr>
          <w:rFonts w:asciiTheme="minorHAnsi" w:hAnsiTheme="minorHAnsi" w:cstheme="minorHAnsi"/>
          <w:szCs w:val="22"/>
        </w:rPr>
      </w:pPr>
      <w:r w:rsidRPr="009F7745">
        <w:rPr>
          <w:rFonts w:asciiTheme="minorHAnsi" w:hAnsiTheme="minorHAnsi" w:cstheme="minorHAnsi"/>
          <w:b/>
          <w:bCs/>
          <w:color w:val="000000"/>
          <w:szCs w:val="22"/>
        </w:rPr>
        <w:t>CRITICAL ACCOUNTING ESTIMATES AND JUDGMENTS</w:t>
      </w:r>
    </w:p>
    <w:p w14:paraId="054F0861" w14:textId="77777777" w:rsidR="009F7745" w:rsidRPr="009F7745" w:rsidRDefault="009F7745" w:rsidP="009F7745">
      <w:pPr>
        <w:pStyle w:val="NTitleB"/>
        <w:keepNext w:val="0"/>
        <w:keepLines w:val="0"/>
        <w:widowControl/>
        <w:tabs>
          <w:tab w:val="clear" w:pos="576"/>
        </w:tabs>
        <w:spacing w:before="0"/>
        <w:ind w:left="720" w:firstLine="0"/>
        <w:rPr>
          <w:rFonts w:asciiTheme="minorHAnsi" w:hAnsiTheme="minorHAnsi" w:cstheme="minorHAnsi"/>
          <w:sz w:val="22"/>
          <w:szCs w:val="22"/>
        </w:rPr>
      </w:pPr>
    </w:p>
    <w:p w14:paraId="44011EDF"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r w:rsidRPr="009F7745">
        <w:rPr>
          <w:rFonts w:asciiTheme="minorHAnsi" w:hAnsiTheme="minorHAnsi" w:cstheme="minorHAnsi"/>
          <w:iCs/>
          <w:szCs w:val="22"/>
          <w:lang w:val="en-CA"/>
        </w:rPr>
        <w:t>Use of estimates and judgments</w:t>
      </w:r>
    </w:p>
    <w:p w14:paraId="7A0A1C3D" w14:textId="77777777" w:rsidR="009F7745" w:rsidRPr="009F7745" w:rsidRDefault="009F7745" w:rsidP="009F7745">
      <w:pPr>
        <w:pStyle w:val="ListParagraph"/>
        <w:autoSpaceDE w:val="0"/>
        <w:autoSpaceDN w:val="0"/>
        <w:adjustRightInd w:val="0"/>
        <w:jc w:val="both"/>
        <w:rPr>
          <w:rFonts w:asciiTheme="minorHAnsi" w:hAnsiTheme="minorHAnsi" w:cstheme="minorHAnsi"/>
          <w:iCs/>
          <w:szCs w:val="22"/>
          <w:lang w:val="en-CA"/>
        </w:rPr>
      </w:pPr>
    </w:p>
    <w:p w14:paraId="70EA3815"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r w:rsidRPr="009F7745">
        <w:rPr>
          <w:rFonts w:asciiTheme="minorHAnsi" w:hAnsiTheme="minorHAnsi" w:cstheme="minorHAnsi"/>
          <w:iCs/>
          <w:szCs w:val="22"/>
          <w:lang w:val="en-CA"/>
        </w:rPr>
        <w:t>The preparation of condensed interim financial statements in conformity with IFRS requires management to make judgments, estimates and assumptions that affect the application of accounting policies and the reported amounts of assets, liabilities, income and expenses. Actual results may vary from these estimates.</w:t>
      </w:r>
    </w:p>
    <w:p w14:paraId="64767B6E"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p>
    <w:p w14:paraId="306A2A44"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r w:rsidRPr="009F7745">
        <w:rPr>
          <w:rFonts w:asciiTheme="minorHAnsi" w:hAnsiTheme="minorHAnsi" w:cstheme="minorHAnsi"/>
          <w:iCs/>
          <w:szCs w:val="22"/>
          <w:lang w:val="en-CA"/>
        </w:rPr>
        <w:t>Estimates and judgments are continually evaluated and are based on historical experience and other factors, including expectations of future events that are believed to be reasonable under the circumstances. Accounting estimates will, by definition, seldom equal the actual results. Revisions to accounting estimates are recognized in the period in which the estimates are revised and in any future years affected.</w:t>
      </w:r>
    </w:p>
    <w:p w14:paraId="73E43D7B"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p>
    <w:p w14:paraId="16177C2A"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r w:rsidRPr="009F7745">
        <w:rPr>
          <w:rFonts w:asciiTheme="minorHAnsi" w:hAnsiTheme="minorHAnsi" w:cstheme="minorHAnsi"/>
          <w:iCs/>
          <w:szCs w:val="22"/>
          <w:lang w:val="en-CA"/>
        </w:rPr>
        <w:t>Significant areas requiring the use of management’s judgments include:</w:t>
      </w:r>
    </w:p>
    <w:p w14:paraId="1E032111"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p>
    <w:p w14:paraId="7918396D" w14:textId="77777777" w:rsidR="009F7745" w:rsidRPr="009F7745" w:rsidRDefault="009F7745" w:rsidP="009F7745">
      <w:pPr>
        <w:autoSpaceDE w:val="0"/>
        <w:autoSpaceDN w:val="0"/>
        <w:adjustRightInd w:val="0"/>
        <w:ind w:left="360"/>
        <w:jc w:val="both"/>
        <w:rPr>
          <w:rFonts w:asciiTheme="minorHAnsi" w:hAnsiTheme="minorHAnsi" w:cstheme="minorHAnsi"/>
          <w:i/>
          <w:iCs/>
          <w:szCs w:val="22"/>
          <w:lang w:val="en-CA"/>
        </w:rPr>
      </w:pPr>
      <w:r w:rsidRPr="009F7745">
        <w:rPr>
          <w:rFonts w:asciiTheme="minorHAnsi" w:hAnsiTheme="minorHAnsi" w:cstheme="minorHAnsi"/>
          <w:i/>
          <w:iCs/>
          <w:szCs w:val="22"/>
          <w:lang w:val="en-CA"/>
        </w:rPr>
        <w:t>Going concern</w:t>
      </w:r>
    </w:p>
    <w:p w14:paraId="316009E7" w14:textId="77777777" w:rsidR="009F7745" w:rsidRPr="009F7745" w:rsidRDefault="009F7745" w:rsidP="009F7745">
      <w:pPr>
        <w:autoSpaceDE w:val="0"/>
        <w:autoSpaceDN w:val="0"/>
        <w:adjustRightInd w:val="0"/>
        <w:ind w:left="720"/>
        <w:jc w:val="both"/>
        <w:rPr>
          <w:rFonts w:asciiTheme="minorHAnsi" w:hAnsiTheme="minorHAnsi" w:cstheme="minorHAnsi"/>
          <w:bCs/>
          <w:szCs w:val="22"/>
        </w:rPr>
      </w:pPr>
    </w:p>
    <w:p w14:paraId="4C68ADC5"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r w:rsidRPr="009F7745">
        <w:rPr>
          <w:rFonts w:asciiTheme="minorHAnsi" w:hAnsiTheme="minorHAnsi" w:cstheme="minorHAnsi"/>
          <w:iCs/>
          <w:szCs w:val="22"/>
          <w:lang w:val="en-CA"/>
        </w:rPr>
        <w:t xml:space="preserve">The assessment of whether the going concern assumption is appropriate requires management to take into account all available information about the future, which is at least, but not limited to, 12 months from the end of the reporting period. The Company is aware that material uncertainties exist related to events or conditions that may cast significant doubt upon the Company’s ability to continue as a going concern. </w:t>
      </w:r>
    </w:p>
    <w:p w14:paraId="66DF4A03"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p>
    <w:p w14:paraId="1F274110" w14:textId="77777777" w:rsidR="009F7745" w:rsidRPr="009F7745" w:rsidRDefault="009F7745" w:rsidP="009F7745">
      <w:pPr>
        <w:autoSpaceDE w:val="0"/>
        <w:autoSpaceDN w:val="0"/>
        <w:adjustRightInd w:val="0"/>
        <w:ind w:left="360"/>
        <w:jc w:val="both"/>
        <w:rPr>
          <w:rFonts w:asciiTheme="minorHAnsi" w:hAnsiTheme="minorHAnsi" w:cstheme="minorHAnsi"/>
          <w:i/>
          <w:iCs/>
          <w:szCs w:val="22"/>
          <w:lang w:val="en-CA"/>
        </w:rPr>
      </w:pPr>
      <w:r w:rsidRPr="009F7745">
        <w:rPr>
          <w:rFonts w:asciiTheme="minorHAnsi" w:hAnsiTheme="minorHAnsi" w:cstheme="minorHAnsi"/>
          <w:i/>
          <w:iCs/>
          <w:szCs w:val="22"/>
          <w:lang w:val="en-CA"/>
        </w:rPr>
        <w:t xml:space="preserve">Capitalization of mineral properties </w:t>
      </w:r>
    </w:p>
    <w:p w14:paraId="3FF7D2D6"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p>
    <w:p w14:paraId="21603549"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r w:rsidRPr="009F7745">
        <w:rPr>
          <w:rFonts w:asciiTheme="minorHAnsi" w:hAnsiTheme="minorHAnsi" w:cstheme="minorHAnsi"/>
          <w:iCs/>
          <w:szCs w:val="22"/>
          <w:lang w:val="en-CA"/>
        </w:rPr>
        <w:t>The application of the Company’s accounting policy for mineral properties requires judgement in determining whether it is likely that future economic benefits will flow to the Company, which may be based on assumptions about future events or circumstances. Estimates and assumptions made may change if new information becomes available. If, after the expenditure is capitalized, information becomes available suggesting that the recovery of the expenditure is unlikely, the amount capitalized is written off to profit or loss in the period the new information becomes available.</w:t>
      </w:r>
    </w:p>
    <w:p w14:paraId="02E8E752"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p>
    <w:p w14:paraId="3BFEF84D" w14:textId="77777777" w:rsidR="009F7745" w:rsidRPr="009F7745" w:rsidRDefault="009F7745" w:rsidP="009F7745">
      <w:pPr>
        <w:autoSpaceDE w:val="0"/>
        <w:autoSpaceDN w:val="0"/>
        <w:adjustRightInd w:val="0"/>
        <w:ind w:left="360"/>
        <w:jc w:val="both"/>
        <w:rPr>
          <w:rFonts w:asciiTheme="minorHAnsi" w:hAnsiTheme="minorHAnsi" w:cstheme="minorHAnsi"/>
          <w:iCs/>
          <w:szCs w:val="22"/>
          <w:lang w:val="en-CA"/>
        </w:rPr>
      </w:pPr>
      <w:r w:rsidRPr="009F7745">
        <w:rPr>
          <w:rFonts w:asciiTheme="minorHAnsi" w:hAnsiTheme="minorHAnsi" w:cstheme="minorHAnsi"/>
          <w:iCs/>
          <w:szCs w:val="22"/>
          <w:lang w:val="en-CA"/>
        </w:rPr>
        <w:t>Management makes estimates and assumptions that affect the reported amounts of assets and liabilities and disclosure of contingent assets and liabilities at the date of the financial statements, and the reported amounts of revenues and expenses during the reporting period. Significant areas requiring the use of management estimates include:</w:t>
      </w:r>
    </w:p>
    <w:p w14:paraId="3F886EB4" w14:textId="77777777" w:rsidR="009F7745" w:rsidRPr="009F7745" w:rsidRDefault="009F7745" w:rsidP="009F7745">
      <w:pPr>
        <w:ind w:left="720"/>
        <w:jc w:val="both"/>
        <w:rPr>
          <w:rFonts w:asciiTheme="minorHAnsi" w:hAnsiTheme="minorHAnsi" w:cstheme="minorHAnsi"/>
          <w:bCs/>
          <w:szCs w:val="22"/>
        </w:rPr>
      </w:pPr>
    </w:p>
    <w:p w14:paraId="700BB9DE" w14:textId="77777777" w:rsidR="009F7745" w:rsidRPr="009F7745" w:rsidRDefault="009F7745" w:rsidP="009F7745">
      <w:pPr>
        <w:pStyle w:val="ListParagraph"/>
        <w:numPr>
          <w:ilvl w:val="0"/>
          <w:numId w:val="5"/>
        </w:numPr>
        <w:ind w:left="908" w:hanging="454"/>
        <w:contextualSpacing/>
        <w:jc w:val="both"/>
        <w:rPr>
          <w:rFonts w:asciiTheme="minorHAnsi" w:hAnsiTheme="minorHAnsi" w:cstheme="minorHAnsi"/>
          <w:bCs/>
          <w:szCs w:val="22"/>
        </w:rPr>
      </w:pPr>
      <w:r w:rsidRPr="009F7745">
        <w:rPr>
          <w:rFonts w:asciiTheme="minorHAnsi" w:hAnsiTheme="minorHAnsi" w:cstheme="minorHAnsi"/>
          <w:bCs/>
          <w:szCs w:val="22"/>
        </w:rPr>
        <w:t>the determination of asset retirement and environmental obligations; and</w:t>
      </w:r>
    </w:p>
    <w:p w14:paraId="0CE6689F" w14:textId="77777777" w:rsidR="009F7745" w:rsidRPr="009F7745" w:rsidRDefault="009F7745" w:rsidP="009F7745">
      <w:pPr>
        <w:pStyle w:val="ListParagraph"/>
        <w:numPr>
          <w:ilvl w:val="0"/>
          <w:numId w:val="5"/>
        </w:numPr>
        <w:ind w:left="908" w:hanging="454"/>
        <w:contextualSpacing/>
        <w:jc w:val="both"/>
        <w:rPr>
          <w:rFonts w:asciiTheme="minorHAnsi" w:hAnsiTheme="minorHAnsi" w:cstheme="minorHAnsi"/>
          <w:bCs/>
          <w:szCs w:val="22"/>
        </w:rPr>
      </w:pPr>
      <w:r w:rsidRPr="009F7745">
        <w:rPr>
          <w:rFonts w:asciiTheme="minorHAnsi" w:hAnsiTheme="minorHAnsi" w:cstheme="minorHAnsi"/>
          <w:bCs/>
          <w:szCs w:val="22"/>
        </w:rPr>
        <w:t>the utilization of deferred income tax assets.</w:t>
      </w:r>
    </w:p>
    <w:p w14:paraId="7E484FAF" w14:textId="77777777" w:rsidR="009F7745" w:rsidRPr="009F7745" w:rsidRDefault="009F7745" w:rsidP="009F7745">
      <w:pPr>
        <w:rPr>
          <w:rFonts w:asciiTheme="minorHAnsi" w:hAnsiTheme="minorHAnsi" w:cstheme="minorHAnsi"/>
          <w:szCs w:val="22"/>
        </w:rPr>
      </w:pPr>
    </w:p>
    <w:p w14:paraId="3725E80F" w14:textId="77777777" w:rsidR="009F7745" w:rsidRPr="009F7745" w:rsidRDefault="009F7745" w:rsidP="009F7745">
      <w:pPr>
        <w:pStyle w:val="Ne2"/>
        <w:spacing w:before="0" w:line="240" w:lineRule="auto"/>
        <w:ind w:left="454"/>
        <w:rPr>
          <w:rFonts w:asciiTheme="minorHAnsi" w:hAnsiTheme="minorHAnsi" w:cstheme="minorHAnsi"/>
          <w:bCs/>
          <w:sz w:val="22"/>
          <w:szCs w:val="22"/>
        </w:rPr>
      </w:pPr>
      <w:r w:rsidRPr="009F7745">
        <w:rPr>
          <w:rFonts w:asciiTheme="minorHAnsi" w:hAnsiTheme="minorHAnsi" w:cstheme="minorHAnsi"/>
          <w:bCs/>
          <w:sz w:val="22"/>
          <w:szCs w:val="22"/>
        </w:rPr>
        <w:t xml:space="preserve">While management believes that these estimates are reasonable, actual results could differ from those estimates and could impact future results of operations and cash flows. </w:t>
      </w:r>
    </w:p>
    <w:p w14:paraId="4444481D" w14:textId="77777777" w:rsidR="009F7745" w:rsidRPr="009F7745" w:rsidRDefault="009F7745" w:rsidP="009F7745">
      <w:pPr>
        <w:pStyle w:val="ListParagraph"/>
        <w:ind w:left="1080" w:hanging="360"/>
        <w:jc w:val="both"/>
        <w:rPr>
          <w:rFonts w:asciiTheme="minorHAnsi" w:hAnsiTheme="minorHAnsi" w:cstheme="minorHAnsi"/>
          <w:szCs w:val="22"/>
        </w:rPr>
      </w:pPr>
    </w:p>
    <w:p w14:paraId="0A8F5103" w14:textId="77777777" w:rsidR="009F7745" w:rsidRPr="009F7745" w:rsidRDefault="009F7745" w:rsidP="009F7745">
      <w:pPr>
        <w:pStyle w:val="ListParagraph"/>
        <w:keepNext/>
        <w:keepLines/>
        <w:numPr>
          <w:ilvl w:val="0"/>
          <w:numId w:val="3"/>
        </w:numPr>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b/>
          <w:bCs/>
          <w:color w:val="000000"/>
          <w:szCs w:val="22"/>
        </w:rPr>
        <w:lastRenderedPageBreak/>
        <w:t>MINERAL PROPERTY</w:t>
      </w:r>
    </w:p>
    <w:p w14:paraId="372396B7" w14:textId="77777777" w:rsidR="009F7745" w:rsidRPr="009F7745" w:rsidRDefault="009F7745" w:rsidP="009F7745">
      <w:pPr>
        <w:pStyle w:val="ListParagraph"/>
        <w:keepNext/>
        <w:keepLines/>
        <w:autoSpaceDE w:val="0"/>
        <w:autoSpaceDN w:val="0"/>
        <w:adjustRightInd w:val="0"/>
        <w:ind w:left="360"/>
        <w:jc w:val="both"/>
        <w:rPr>
          <w:rFonts w:asciiTheme="minorHAnsi" w:hAnsiTheme="minorHAnsi" w:cstheme="minorHAnsi"/>
          <w:b/>
          <w:bCs/>
          <w:color w:val="000000"/>
          <w:szCs w:val="22"/>
        </w:rPr>
      </w:pPr>
    </w:p>
    <w:p w14:paraId="6B59ADEA" w14:textId="77777777" w:rsidR="009F7745" w:rsidRPr="009F7745" w:rsidRDefault="009F7745" w:rsidP="009F7745">
      <w:pPr>
        <w:autoSpaceDE w:val="0"/>
        <w:autoSpaceDN w:val="0"/>
        <w:adjustRightInd w:val="0"/>
        <w:ind w:left="720" w:hanging="360"/>
        <w:jc w:val="both"/>
        <w:rPr>
          <w:rFonts w:asciiTheme="minorHAnsi" w:hAnsiTheme="minorHAnsi" w:cstheme="minorHAnsi"/>
          <w:szCs w:val="22"/>
        </w:rPr>
      </w:pPr>
      <w:r w:rsidRPr="009F7745">
        <w:rPr>
          <w:rFonts w:asciiTheme="minorHAnsi" w:hAnsiTheme="minorHAnsi" w:cstheme="minorHAnsi"/>
          <w:szCs w:val="22"/>
        </w:rPr>
        <w:t>(a)</w:t>
      </w:r>
      <w:r w:rsidRPr="009F7745">
        <w:rPr>
          <w:rFonts w:asciiTheme="minorHAnsi" w:hAnsiTheme="minorHAnsi" w:cstheme="minorHAnsi"/>
          <w:szCs w:val="22"/>
        </w:rPr>
        <w:tab/>
        <w:t>Christa-Aura Property, British Columbia, Canada</w:t>
      </w:r>
    </w:p>
    <w:p w14:paraId="6A71D621" w14:textId="77777777" w:rsidR="009F7745" w:rsidRPr="009F7745" w:rsidRDefault="009F7745" w:rsidP="009F7745">
      <w:pPr>
        <w:autoSpaceDE w:val="0"/>
        <w:autoSpaceDN w:val="0"/>
        <w:adjustRightInd w:val="0"/>
        <w:ind w:left="360"/>
        <w:jc w:val="both"/>
        <w:rPr>
          <w:rFonts w:asciiTheme="minorHAnsi" w:hAnsiTheme="minorHAnsi" w:cstheme="minorHAnsi"/>
          <w:szCs w:val="22"/>
        </w:rPr>
      </w:pPr>
    </w:p>
    <w:p w14:paraId="2C308E06" w14:textId="77777777" w:rsidR="009F7745" w:rsidRPr="009F7745" w:rsidRDefault="009F7745" w:rsidP="009F7745">
      <w:pPr>
        <w:autoSpaceDE w:val="0"/>
        <w:autoSpaceDN w:val="0"/>
        <w:adjustRightInd w:val="0"/>
        <w:ind w:left="720"/>
        <w:jc w:val="both"/>
        <w:rPr>
          <w:rFonts w:asciiTheme="minorHAnsi" w:hAnsiTheme="minorHAnsi" w:cstheme="minorHAnsi"/>
          <w:szCs w:val="22"/>
        </w:rPr>
      </w:pPr>
      <w:r w:rsidRPr="009F7745">
        <w:rPr>
          <w:rFonts w:asciiTheme="minorHAnsi" w:hAnsiTheme="minorHAnsi" w:cstheme="minorHAnsi"/>
          <w:szCs w:val="22"/>
        </w:rPr>
        <w:t xml:space="preserve">In March 2018, the Company acquired the Christa-Aura Property (the “Property”), located in British Columbia, consisting of five mineral titles, through issuance of 2,350,777 common shares fair valued at $23,508 from a director. In addition, the Company incurred acquisition and staking costs of $2,019 during the period from incorporation (March 22, 2018) to August 31, 2018. The Company incurred $nil acquisition and staking cost during the three months and six month periods ended February 28, 2019. </w:t>
      </w:r>
    </w:p>
    <w:p w14:paraId="5DC55472" w14:textId="77777777" w:rsidR="009F7745" w:rsidRPr="009F7745" w:rsidRDefault="009F7745" w:rsidP="009F7745">
      <w:pPr>
        <w:autoSpaceDE w:val="0"/>
        <w:autoSpaceDN w:val="0"/>
        <w:adjustRightInd w:val="0"/>
        <w:ind w:left="720"/>
        <w:jc w:val="both"/>
        <w:rPr>
          <w:rFonts w:asciiTheme="minorHAnsi" w:hAnsiTheme="minorHAnsi" w:cstheme="minorHAnsi"/>
          <w:szCs w:val="22"/>
        </w:rPr>
      </w:pPr>
    </w:p>
    <w:p w14:paraId="76457233" w14:textId="77777777" w:rsidR="009F7745" w:rsidRPr="009F7745" w:rsidRDefault="009F7745" w:rsidP="009F7745">
      <w:pPr>
        <w:autoSpaceDE w:val="0"/>
        <w:autoSpaceDN w:val="0"/>
        <w:adjustRightInd w:val="0"/>
        <w:ind w:left="720" w:hanging="360"/>
        <w:jc w:val="both"/>
        <w:rPr>
          <w:rFonts w:asciiTheme="minorHAnsi" w:hAnsiTheme="minorHAnsi" w:cstheme="minorHAnsi"/>
          <w:szCs w:val="22"/>
        </w:rPr>
      </w:pPr>
      <w:r w:rsidRPr="009F7745">
        <w:rPr>
          <w:rFonts w:asciiTheme="minorHAnsi" w:hAnsiTheme="minorHAnsi" w:cstheme="minorHAnsi"/>
          <w:szCs w:val="22"/>
        </w:rPr>
        <w:t>(b)</w:t>
      </w:r>
      <w:r w:rsidRPr="009F7745">
        <w:rPr>
          <w:rFonts w:asciiTheme="minorHAnsi" w:hAnsiTheme="minorHAnsi" w:cstheme="minorHAnsi"/>
          <w:szCs w:val="22"/>
        </w:rPr>
        <w:tab/>
        <w:t>Exploration and evaluation costs</w:t>
      </w:r>
    </w:p>
    <w:p w14:paraId="613B1818" w14:textId="77777777" w:rsidR="009F7745" w:rsidRPr="009F7745" w:rsidRDefault="009F7745" w:rsidP="009F7745">
      <w:pPr>
        <w:autoSpaceDE w:val="0"/>
        <w:autoSpaceDN w:val="0"/>
        <w:adjustRightInd w:val="0"/>
        <w:ind w:left="720" w:hanging="360"/>
        <w:jc w:val="both"/>
        <w:rPr>
          <w:rFonts w:asciiTheme="minorHAnsi" w:hAnsiTheme="minorHAnsi" w:cstheme="minorHAnsi"/>
          <w:szCs w:val="22"/>
        </w:rPr>
      </w:pPr>
    </w:p>
    <w:p w14:paraId="33183D71" w14:textId="77777777" w:rsidR="009F7745" w:rsidRPr="009F7745" w:rsidRDefault="009F7745" w:rsidP="009F7745">
      <w:pPr>
        <w:autoSpaceDE w:val="0"/>
        <w:autoSpaceDN w:val="0"/>
        <w:adjustRightInd w:val="0"/>
        <w:ind w:left="720"/>
        <w:jc w:val="both"/>
        <w:rPr>
          <w:rFonts w:asciiTheme="minorHAnsi" w:hAnsiTheme="minorHAnsi" w:cstheme="minorHAnsi"/>
          <w:szCs w:val="22"/>
        </w:rPr>
      </w:pPr>
      <w:r w:rsidRPr="009F7745">
        <w:rPr>
          <w:rFonts w:asciiTheme="minorHAnsi" w:hAnsiTheme="minorHAnsi" w:cstheme="minorHAnsi"/>
          <w:szCs w:val="22"/>
        </w:rPr>
        <w:t>During the period from incorporation on March 22, 2018 to August 31, 2018, the Company has incurred $72,007 in exploration and evaluation expenditures on this property. The Company incurred $nil exploration and evaluation costs during the three and nine month periods ended May 31, 2019.</w:t>
      </w:r>
    </w:p>
    <w:p w14:paraId="43F9E108" w14:textId="77777777" w:rsidR="009F7745" w:rsidRPr="009F7745" w:rsidRDefault="009F7745" w:rsidP="009F7745">
      <w:pPr>
        <w:autoSpaceDE w:val="0"/>
        <w:autoSpaceDN w:val="0"/>
        <w:adjustRightInd w:val="0"/>
        <w:ind w:left="720"/>
        <w:jc w:val="both"/>
        <w:rPr>
          <w:rFonts w:asciiTheme="minorHAnsi" w:hAnsiTheme="minorHAnsi" w:cstheme="minorHAnsi"/>
          <w:szCs w:val="22"/>
        </w:rPr>
      </w:pPr>
    </w:p>
    <w:p w14:paraId="643AC699" w14:textId="77777777" w:rsidR="009F7745" w:rsidRPr="009F7745" w:rsidRDefault="009F7745" w:rsidP="009F7745">
      <w:pPr>
        <w:autoSpaceDE w:val="0"/>
        <w:autoSpaceDN w:val="0"/>
        <w:adjustRightInd w:val="0"/>
        <w:ind w:left="720"/>
        <w:jc w:val="both"/>
        <w:rPr>
          <w:rFonts w:asciiTheme="minorHAnsi" w:hAnsiTheme="minorHAnsi" w:cstheme="minorHAnsi"/>
          <w:szCs w:val="22"/>
        </w:rPr>
      </w:pPr>
      <w:r w:rsidRPr="009F7745">
        <w:rPr>
          <w:rFonts w:asciiTheme="minorHAnsi" w:hAnsiTheme="minorHAnsi" w:cstheme="minorHAnsi"/>
          <w:szCs w:val="22"/>
        </w:rPr>
        <w:t>In February 2018, a director and officer of the Company incurred $9,590 in exploration cost on the Property, through staking. The Company issued common shares to the director to acquire five mineral titles (note 4a).</w:t>
      </w:r>
    </w:p>
    <w:p w14:paraId="3DE1BB7E" w14:textId="77777777" w:rsidR="009F7745" w:rsidRPr="009F7745" w:rsidRDefault="009F7745" w:rsidP="009F7745">
      <w:pPr>
        <w:autoSpaceDE w:val="0"/>
        <w:autoSpaceDN w:val="0"/>
        <w:adjustRightInd w:val="0"/>
        <w:ind w:left="720"/>
        <w:jc w:val="both"/>
        <w:rPr>
          <w:rFonts w:asciiTheme="minorHAnsi" w:hAnsiTheme="minorHAnsi" w:cstheme="minorHAnsi"/>
          <w:szCs w:val="22"/>
        </w:rPr>
      </w:pPr>
    </w:p>
    <w:p w14:paraId="17E2976F" w14:textId="77777777" w:rsidR="009F7745" w:rsidRPr="009F7745" w:rsidRDefault="009F7745" w:rsidP="009F7745">
      <w:pPr>
        <w:autoSpaceDE w:val="0"/>
        <w:autoSpaceDN w:val="0"/>
        <w:adjustRightInd w:val="0"/>
        <w:ind w:left="720"/>
        <w:jc w:val="both"/>
        <w:rPr>
          <w:rFonts w:asciiTheme="minorHAnsi" w:hAnsiTheme="minorHAnsi" w:cstheme="minorHAnsi"/>
          <w:szCs w:val="22"/>
        </w:rPr>
      </w:pPr>
      <w:r w:rsidRPr="009F7745">
        <w:rPr>
          <w:rFonts w:asciiTheme="minorHAnsi" w:hAnsiTheme="minorHAnsi" w:cstheme="minorHAnsi"/>
          <w:szCs w:val="22"/>
        </w:rPr>
        <w:t>The resultant total of eligible exploration costs on the Property as at May 31,2019 was $81,597.</w:t>
      </w:r>
    </w:p>
    <w:p w14:paraId="6AD83BD0" w14:textId="77777777" w:rsidR="009F7745" w:rsidRPr="009F7745" w:rsidRDefault="009F7745" w:rsidP="009F7745">
      <w:pPr>
        <w:autoSpaceDE w:val="0"/>
        <w:autoSpaceDN w:val="0"/>
        <w:adjustRightInd w:val="0"/>
        <w:ind w:left="360"/>
        <w:jc w:val="both"/>
        <w:rPr>
          <w:rFonts w:asciiTheme="minorHAnsi" w:hAnsiTheme="minorHAnsi" w:cstheme="minorHAnsi"/>
          <w:szCs w:val="22"/>
        </w:rPr>
      </w:pPr>
    </w:p>
    <w:p w14:paraId="047B8723" w14:textId="77777777" w:rsidR="009F7745" w:rsidRPr="009F7745" w:rsidRDefault="009F7745" w:rsidP="009F7745">
      <w:pPr>
        <w:pStyle w:val="ListParagraph"/>
        <w:keepNext/>
        <w:keepLines/>
        <w:autoSpaceDE w:val="0"/>
        <w:autoSpaceDN w:val="0"/>
        <w:adjustRightInd w:val="0"/>
        <w:jc w:val="both"/>
        <w:rPr>
          <w:rFonts w:asciiTheme="minorHAnsi" w:hAnsiTheme="minorHAnsi" w:cstheme="minorHAnsi"/>
          <w:szCs w:val="22"/>
        </w:rPr>
      </w:pPr>
      <w:r w:rsidRPr="009F7745">
        <w:rPr>
          <w:rFonts w:asciiTheme="minorHAnsi" w:hAnsiTheme="minorHAnsi" w:cstheme="minorHAnsi"/>
          <w:szCs w:val="22"/>
        </w:rPr>
        <w:t>Details of exploration activities during the period from incorporation (March 22, 2018) to February 28, 2019 are as follows:</w:t>
      </w:r>
    </w:p>
    <w:p w14:paraId="11FC04D6" w14:textId="77777777" w:rsidR="009F7745" w:rsidRPr="009F7745" w:rsidRDefault="009F7745" w:rsidP="009F7745">
      <w:pPr>
        <w:pStyle w:val="ListParagraph"/>
        <w:keepNext/>
        <w:keepLines/>
        <w:autoSpaceDE w:val="0"/>
        <w:autoSpaceDN w:val="0"/>
        <w:adjustRightInd w:val="0"/>
        <w:jc w:val="both"/>
        <w:rPr>
          <w:rFonts w:asciiTheme="minorHAnsi" w:hAnsiTheme="minorHAnsi" w:cstheme="minorHAnsi"/>
          <w:szCs w:val="22"/>
        </w:rPr>
      </w:pPr>
    </w:p>
    <w:p w14:paraId="0C524549" w14:textId="77777777" w:rsidR="009F7745" w:rsidRPr="009F7745" w:rsidRDefault="009F7745" w:rsidP="009F7745">
      <w:pPr>
        <w:pStyle w:val="ListParagraph"/>
        <w:keepNext/>
        <w:keepLines/>
        <w:autoSpaceDE w:val="0"/>
        <w:autoSpaceDN w:val="0"/>
        <w:adjustRightInd w:val="0"/>
        <w:jc w:val="both"/>
        <w:rPr>
          <w:rFonts w:asciiTheme="minorHAnsi" w:hAnsiTheme="minorHAnsi" w:cstheme="minorHAnsi"/>
          <w:szCs w:val="22"/>
        </w:rPr>
      </w:pPr>
    </w:p>
    <w:p w14:paraId="4B38B632" w14:textId="77777777" w:rsidR="009F7745" w:rsidRPr="009F7745" w:rsidRDefault="009F7745" w:rsidP="009F7745">
      <w:pPr>
        <w:pStyle w:val="ListParagraph"/>
        <w:keepNext/>
        <w:keepLines/>
        <w:autoSpaceDE w:val="0"/>
        <w:autoSpaceDN w:val="0"/>
        <w:adjustRightInd w:val="0"/>
        <w:jc w:val="both"/>
        <w:rPr>
          <w:rFonts w:asciiTheme="minorHAnsi" w:hAnsiTheme="minorHAnsi" w:cstheme="minorHAnsi"/>
          <w:b/>
          <w:bCs/>
          <w:color w:val="000000"/>
          <w:szCs w:val="22"/>
        </w:rPr>
      </w:pPr>
    </w:p>
    <w:tbl>
      <w:tblPr>
        <w:tblW w:w="8435" w:type="dxa"/>
        <w:tblInd w:w="840" w:type="dxa"/>
        <w:tblLayout w:type="fixed"/>
        <w:tblCellMar>
          <w:left w:w="120" w:type="dxa"/>
          <w:right w:w="120" w:type="dxa"/>
        </w:tblCellMar>
        <w:tblLook w:val="04A0" w:firstRow="1" w:lastRow="0" w:firstColumn="1" w:lastColumn="0" w:noHBand="0" w:noVBand="1"/>
      </w:tblPr>
      <w:tblGrid>
        <w:gridCol w:w="6025"/>
        <w:gridCol w:w="2410"/>
      </w:tblGrid>
      <w:tr w:rsidR="009F7745" w:rsidRPr="009F7745" w14:paraId="4BE021C9" w14:textId="77777777" w:rsidTr="004D2606">
        <w:trPr>
          <w:cantSplit/>
          <w:trHeight w:hRule="exact" w:val="1171"/>
        </w:trPr>
        <w:tc>
          <w:tcPr>
            <w:tcW w:w="6025" w:type="dxa"/>
            <w:tcBorders>
              <w:top w:val="single" w:sz="4" w:space="0" w:color="auto"/>
              <w:bottom w:val="single" w:sz="4" w:space="0" w:color="auto"/>
            </w:tcBorders>
            <w:shd w:val="clear" w:color="auto" w:fill="auto"/>
            <w:vAlign w:val="bottom"/>
          </w:tcPr>
          <w:p w14:paraId="59B26A3D" w14:textId="77777777" w:rsidR="009F7745" w:rsidRPr="009F7745" w:rsidRDefault="009F7745" w:rsidP="004D2606">
            <w:pPr>
              <w:ind w:left="150"/>
              <w:rPr>
                <w:rFonts w:asciiTheme="minorHAnsi" w:hAnsiTheme="minorHAnsi" w:cstheme="minorHAnsi"/>
                <w:b/>
                <w:szCs w:val="22"/>
              </w:rPr>
            </w:pPr>
            <w:r w:rsidRPr="009F7745">
              <w:rPr>
                <w:rFonts w:asciiTheme="minorHAnsi" w:hAnsiTheme="minorHAnsi" w:cstheme="minorHAnsi"/>
                <w:b/>
                <w:szCs w:val="22"/>
              </w:rPr>
              <w:t>Property</w:t>
            </w:r>
          </w:p>
        </w:tc>
        <w:tc>
          <w:tcPr>
            <w:tcW w:w="2410" w:type="dxa"/>
            <w:tcBorders>
              <w:top w:val="single" w:sz="4" w:space="0" w:color="auto"/>
              <w:bottom w:val="single" w:sz="4" w:space="0" w:color="auto"/>
            </w:tcBorders>
            <w:shd w:val="clear" w:color="auto" w:fill="auto"/>
            <w:vAlign w:val="bottom"/>
          </w:tcPr>
          <w:p w14:paraId="2CA28A57" w14:textId="77777777" w:rsidR="009F7745" w:rsidRPr="009F7745" w:rsidRDefault="009F7745" w:rsidP="004D2606">
            <w:pPr>
              <w:jc w:val="center"/>
              <w:rPr>
                <w:rFonts w:asciiTheme="minorHAnsi" w:hAnsiTheme="minorHAnsi" w:cstheme="minorHAnsi"/>
                <w:b/>
                <w:bCs/>
                <w:szCs w:val="22"/>
              </w:rPr>
            </w:pPr>
            <w:r w:rsidRPr="009F7745">
              <w:rPr>
                <w:rFonts w:asciiTheme="minorHAnsi" w:hAnsiTheme="minorHAnsi" w:cstheme="minorHAnsi"/>
                <w:b/>
                <w:bCs/>
                <w:szCs w:val="22"/>
              </w:rPr>
              <w:t xml:space="preserve">Period from Incorporation to </w:t>
            </w:r>
          </w:p>
          <w:p w14:paraId="72A1FFD2" w14:textId="77777777" w:rsidR="009F7745" w:rsidRPr="009F7745" w:rsidRDefault="009F7745" w:rsidP="004D2606">
            <w:pPr>
              <w:jc w:val="center"/>
              <w:rPr>
                <w:rFonts w:asciiTheme="minorHAnsi" w:hAnsiTheme="minorHAnsi" w:cstheme="minorHAnsi"/>
                <w:b/>
                <w:szCs w:val="22"/>
              </w:rPr>
            </w:pPr>
            <w:r w:rsidRPr="009F7745">
              <w:rPr>
                <w:rFonts w:asciiTheme="minorHAnsi" w:hAnsiTheme="minorHAnsi" w:cstheme="minorHAnsi"/>
                <w:b/>
                <w:bCs/>
                <w:szCs w:val="22"/>
              </w:rPr>
              <w:t>May 31, 2019</w:t>
            </w:r>
          </w:p>
        </w:tc>
      </w:tr>
      <w:tr w:rsidR="009F7745" w:rsidRPr="009F7745" w14:paraId="7B32F021" w14:textId="77777777" w:rsidTr="004D2606">
        <w:trPr>
          <w:cantSplit/>
          <w:trHeight w:hRule="exact" w:val="279"/>
        </w:trPr>
        <w:tc>
          <w:tcPr>
            <w:tcW w:w="6025" w:type="dxa"/>
            <w:tcBorders>
              <w:top w:val="single" w:sz="4" w:space="0" w:color="auto"/>
            </w:tcBorders>
            <w:shd w:val="clear" w:color="auto" w:fill="auto"/>
            <w:vAlign w:val="bottom"/>
          </w:tcPr>
          <w:p w14:paraId="707CF7A7" w14:textId="77777777" w:rsidR="009F7745" w:rsidRPr="009F7745" w:rsidRDefault="009F7745" w:rsidP="004D2606">
            <w:pPr>
              <w:ind w:left="150"/>
              <w:rPr>
                <w:rFonts w:asciiTheme="minorHAnsi" w:hAnsiTheme="minorHAnsi" w:cstheme="minorHAnsi"/>
                <w:szCs w:val="22"/>
              </w:rPr>
            </w:pPr>
          </w:p>
        </w:tc>
        <w:tc>
          <w:tcPr>
            <w:tcW w:w="2410" w:type="dxa"/>
            <w:tcBorders>
              <w:top w:val="single" w:sz="4" w:space="0" w:color="auto"/>
            </w:tcBorders>
            <w:shd w:val="clear" w:color="auto" w:fill="auto"/>
            <w:vAlign w:val="bottom"/>
          </w:tcPr>
          <w:p w14:paraId="0535C77E" w14:textId="77777777" w:rsidR="009F7745" w:rsidRPr="009F7745" w:rsidRDefault="009F7745" w:rsidP="004D2606">
            <w:pPr>
              <w:jc w:val="right"/>
              <w:rPr>
                <w:rFonts w:asciiTheme="minorHAnsi" w:hAnsiTheme="minorHAnsi" w:cstheme="minorHAnsi"/>
                <w:szCs w:val="22"/>
              </w:rPr>
            </w:pPr>
          </w:p>
        </w:tc>
      </w:tr>
      <w:tr w:rsidR="009F7745" w:rsidRPr="009F7745" w14:paraId="0D55C7A8" w14:textId="77777777" w:rsidTr="004D2606">
        <w:trPr>
          <w:cantSplit/>
          <w:trHeight w:hRule="exact" w:val="279"/>
        </w:trPr>
        <w:tc>
          <w:tcPr>
            <w:tcW w:w="6025" w:type="dxa"/>
            <w:shd w:val="clear" w:color="auto" w:fill="auto"/>
            <w:vAlign w:val="bottom"/>
          </w:tcPr>
          <w:p w14:paraId="6C332D81" w14:textId="77777777" w:rsidR="009F7745" w:rsidRPr="009F7745" w:rsidRDefault="009F7745" w:rsidP="004D2606">
            <w:pPr>
              <w:ind w:left="150"/>
              <w:rPr>
                <w:rFonts w:asciiTheme="minorHAnsi" w:hAnsiTheme="minorHAnsi" w:cstheme="minorHAnsi"/>
                <w:szCs w:val="22"/>
              </w:rPr>
            </w:pPr>
            <w:r w:rsidRPr="009F7745">
              <w:rPr>
                <w:rFonts w:asciiTheme="minorHAnsi" w:hAnsiTheme="minorHAnsi" w:cstheme="minorHAnsi"/>
                <w:szCs w:val="22"/>
              </w:rPr>
              <w:t xml:space="preserve">Engineering, geology, and project management                                </w:t>
            </w:r>
          </w:p>
        </w:tc>
        <w:tc>
          <w:tcPr>
            <w:tcW w:w="2410" w:type="dxa"/>
            <w:shd w:val="clear" w:color="auto" w:fill="auto"/>
            <w:vAlign w:val="bottom"/>
          </w:tcPr>
          <w:p w14:paraId="02659019" w14:textId="77777777" w:rsidR="009F7745" w:rsidRPr="009F7745" w:rsidRDefault="009F7745" w:rsidP="004D2606">
            <w:pPr>
              <w:jc w:val="right"/>
              <w:rPr>
                <w:rFonts w:asciiTheme="minorHAnsi" w:hAnsiTheme="minorHAnsi" w:cstheme="minorHAnsi"/>
                <w:szCs w:val="22"/>
              </w:rPr>
            </w:pPr>
            <w:r w:rsidRPr="009F7745">
              <w:rPr>
                <w:rFonts w:asciiTheme="minorHAnsi" w:hAnsiTheme="minorHAnsi" w:cstheme="minorHAnsi"/>
                <w:szCs w:val="22"/>
              </w:rPr>
              <w:t>$     18,240</w:t>
            </w:r>
          </w:p>
        </w:tc>
      </w:tr>
      <w:tr w:rsidR="009F7745" w:rsidRPr="009F7745" w14:paraId="0C6E2A82" w14:textId="77777777" w:rsidTr="004D2606">
        <w:trPr>
          <w:cantSplit/>
          <w:trHeight w:hRule="exact" w:val="279"/>
        </w:trPr>
        <w:tc>
          <w:tcPr>
            <w:tcW w:w="6025" w:type="dxa"/>
            <w:shd w:val="clear" w:color="auto" w:fill="auto"/>
            <w:vAlign w:val="bottom"/>
            <w:hideMark/>
          </w:tcPr>
          <w:p w14:paraId="2ED930D5" w14:textId="77777777" w:rsidR="009F7745" w:rsidRPr="009F7745" w:rsidRDefault="009F7745" w:rsidP="004D2606">
            <w:pPr>
              <w:ind w:left="150"/>
              <w:rPr>
                <w:rFonts w:asciiTheme="minorHAnsi" w:hAnsiTheme="minorHAnsi" w:cstheme="minorHAnsi"/>
                <w:szCs w:val="22"/>
              </w:rPr>
            </w:pPr>
            <w:r w:rsidRPr="009F7745">
              <w:rPr>
                <w:rFonts w:asciiTheme="minorHAnsi" w:hAnsiTheme="minorHAnsi" w:cstheme="minorHAnsi"/>
                <w:szCs w:val="22"/>
              </w:rPr>
              <w:t xml:space="preserve">Geochemical       </w:t>
            </w:r>
          </w:p>
        </w:tc>
        <w:tc>
          <w:tcPr>
            <w:tcW w:w="2410" w:type="dxa"/>
            <w:shd w:val="clear" w:color="auto" w:fill="auto"/>
            <w:vAlign w:val="bottom"/>
          </w:tcPr>
          <w:p w14:paraId="5D3319B5" w14:textId="77777777" w:rsidR="009F7745" w:rsidRPr="009F7745" w:rsidRDefault="009F7745" w:rsidP="004D2606">
            <w:pPr>
              <w:jc w:val="right"/>
              <w:rPr>
                <w:rFonts w:asciiTheme="minorHAnsi" w:hAnsiTheme="minorHAnsi" w:cstheme="minorHAnsi"/>
                <w:szCs w:val="22"/>
              </w:rPr>
            </w:pPr>
            <w:r w:rsidRPr="009F7745">
              <w:rPr>
                <w:rFonts w:asciiTheme="minorHAnsi" w:hAnsiTheme="minorHAnsi" w:cstheme="minorHAnsi"/>
                <w:szCs w:val="22"/>
              </w:rPr>
              <w:t>724</w:t>
            </w:r>
          </w:p>
        </w:tc>
      </w:tr>
      <w:tr w:rsidR="009F7745" w:rsidRPr="009F7745" w14:paraId="0C69C33C" w14:textId="77777777" w:rsidTr="004D2606">
        <w:trPr>
          <w:cantSplit/>
          <w:trHeight w:hRule="exact" w:val="279"/>
        </w:trPr>
        <w:tc>
          <w:tcPr>
            <w:tcW w:w="6025" w:type="dxa"/>
            <w:shd w:val="clear" w:color="auto" w:fill="auto"/>
            <w:vAlign w:val="bottom"/>
            <w:hideMark/>
          </w:tcPr>
          <w:p w14:paraId="79616EAD" w14:textId="77777777" w:rsidR="009F7745" w:rsidRPr="009F7745" w:rsidRDefault="009F7745" w:rsidP="004D2606">
            <w:pPr>
              <w:ind w:left="150"/>
              <w:rPr>
                <w:rFonts w:asciiTheme="minorHAnsi" w:hAnsiTheme="minorHAnsi" w:cstheme="minorHAnsi"/>
                <w:szCs w:val="22"/>
              </w:rPr>
            </w:pPr>
            <w:r w:rsidRPr="009F7745">
              <w:rPr>
                <w:rFonts w:asciiTheme="minorHAnsi" w:hAnsiTheme="minorHAnsi" w:cstheme="minorHAnsi"/>
                <w:szCs w:val="22"/>
              </w:rPr>
              <w:t>Geophysical</w:t>
            </w:r>
          </w:p>
        </w:tc>
        <w:tc>
          <w:tcPr>
            <w:tcW w:w="2410" w:type="dxa"/>
            <w:shd w:val="clear" w:color="auto" w:fill="auto"/>
            <w:vAlign w:val="bottom"/>
          </w:tcPr>
          <w:p w14:paraId="29DFDE8E" w14:textId="77777777" w:rsidR="009F7745" w:rsidRPr="009F7745" w:rsidRDefault="009F7745" w:rsidP="004D2606">
            <w:pPr>
              <w:jc w:val="right"/>
              <w:rPr>
                <w:rFonts w:asciiTheme="minorHAnsi" w:hAnsiTheme="minorHAnsi" w:cstheme="minorHAnsi"/>
                <w:szCs w:val="22"/>
              </w:rPr>
            </w:pPr>
            <w:r w:rsidRPr="009F7745">
              <w:rPr>
                <w:rFonts w:asciiTheme="minorHAnsi" w:hAnsiTheme="minorHAnsi" w:cstheme="minorHAnsi"/>
                <w:szCs w:val="22"/>
              </w:rPr>
              <w:t>47,743</w:t>
            </w:r>
          </w:p>
        </w:tc>
      </w:tr>
      <w:tr w:rsidR="009F7745" w:rsidRPr="009F7745" w14:paraId="7A30BD5F" w14:textId="77777777" w:rsidTr="004D2606">
        <w:trPr>
          <w:cantSplit/>
          <w:trHeight w:hRule="exact" w:val="279"/>
        </w:trPr>
        <w:tc>
          <w:tcPr>
            <w:tcW w:w="6025" w:type="dxa"/>
            <w:shd w:val="clear" w:color="auto" w:fill="auto"/>
            <w:vAlign w:val="bottom"/>
            <w:hideMark/>
          </w:tcPr>
          <w:p w14:paraId="50737983" w14:textId="77777777" w:rsidR="009F7745" w:rsidRPr="009F7745" w:rsidRDefault="009F7745" w:rsidP="004D2606">
            <w:pPr>
              <w:ind w:left="150"/>
              <w:rPr>
                <w:rFonts w:asciiTheme="minorHAnsi" w:hAnsiTheme="minorHAnsi" w:cstheme="minorHAnsi"/>
                <w:szCs w:val="22"/>
              </w:rPr>
            </w:pPr>
            <w:r w:rsidRPr="009F7745">
              <w:rPr>
                <w:rFonts w:asciiTheme="minorHAnsi" w:hAnsiTheme="minorHAnsi" w:cstheme="minorHAnsi"/>
                <w:szCs w:val="22"/>
              </w:rPr>
              <w:t>Technical report</w:t>
            </w:r>
          </w:p>
        </w:tc>
        <w:tc>
          <w:tcPr>
            <w:tcW w:w="2410" w:type="dxa"/>
            <w:shd w:val="clear" w:color="auto" w:fill="auto"/>
            <w:vAlign w:val="bottom"/>
          </w:tcPr>
          <w:p w14:paraId="79097093" w14:textId="77777777" w:rsidR="009F7745" w:rsidRPr="009F7745" w:rsidRDefault="009F7745" w:rsidP="004D2606">
            <w:pPr>
              <w:jc w:val="right"/>
              <w:rPr>
                <w:rFonts w:asciiTheme="minorHAnsi" w:hAnsiTheme="minorHAnsi" w:cstheme="minorHAnsi"/>
                <w:szCs w:val="22"/>
              </w:rPr>
            </w:pPr>
            <w:r w:rsidRPr="009F7745">
              <w:rPr>
                <w:rFonts w:asciiTheme="minorHAnsi" w:hAnsiTheme="minorHAnsi" w:cstheme="minorHAnsi"/>
                <w:szCs w:val="22"/>
              </w:rPr>
              <w:t>5,300</w:t>
            </w:r>
          </w:p>
        </w:tc>
      </w:tr>
      <w:tr w:rsidR="009F7745" w:rsidRPr="009F7745" w14:paraId="6BCDF882" w14:textId="77777777" w:rsidTr="004D2606">
        <w:trPr>
          <w:cantSplit/>
          <w:trHeight w:hRule="exact" w:val="279"/>
        </w:trPr>
        <w:tc>
          <w:tcPr>
            <w:tcW w:w="6025" w:type="dxa"/>
            <w:tcBorders>
              <w:top w:val="single" w:sz="4" w:space="0" w:color="auto"/>
              <w:bottom w:val="single" w:sz="4" w:space="0" w:color="auto"/>
            </w:tcBorders>
            <w:shd w:val="clear" w:color="auto" w:fill="auto"/>
            <w:vAlign w:val="bottom"/>
          </w:tcPr>
          <w:p w14:paraId="3ADDDD06" w14:textId="77777777" w:rsidR="009F7745" w:rsidRPr="009F7745" w:rsidRDefault="009F7745" w:rsidP="004D2606">
            <w:pPr>
              <w:rPr>
                <w:rFonts w:asciiTheme="minorHAnsi" w:hAnsiTheme="minorHAnsi" w:cstheme="minorHAnsi"/>
                <w:b/>
                <w:szCs w:val="22"/>
              </w:rPr>
            </w:pPr>
            <w:r w:rsidRPr="009F7745">
              <w:rPr>
                <w:rFonts w:asciiTheme="minorHAnsi" w:hAnsiTheme="minorHAnsi" w:cstheme="minorHAnsi"/>
                <w:b/>
                <w:szCs w:val="22"/>
              </w:rPr>
              <w:t>Exploration and Evaluation costs</w:t>
            </w:r>
          </w:p>
          <w:p w14:paraId="6C74FE3A" w14:textId="77777777" w:rsidR="009F7745" w:rsidRPr="009F7745" w:rsidRDefault="009F7745" w:rsidP="004D2606">
            <w:pPr>
              <w:rPr>
                <w:rFonts w:asciiTheme="minorHAnsi" w:hAnsiTheme="minorHAnsi" w:cstheme="minorHAnsi"/>
                <w:b/>
                <w:szCs w:val="22"/>
              </w:rPr>
            </w:pPr>
          </w:p>
          <w:p w14:paraId="5F49E91C" w14:textId="77777777" w:rsidR="009F7745" w:rsidRPr="009F7745" w:rsidRDefault="009F7745" w:rsidP="004D2606">
            <w:pPr>
              <w:rPr>
                <w:rFonts w:asciiTheme="minorHAnsi" w:hAnsiTheme="minorHAnsi" w:cstheme="minorHAnsi"/>
                <w:b/>
                <w:szCs w:val="22"/>
              </w:rPr>
            </w:pPr>
          </w:p>
          <w:p w14:paraId="3180C2B2" w14:textId="77777777" w:rsidR="009F7745" w:rsidRPr="009F7745" w:rsidRDefault="009F7745" w:rsidP="004D2606">
            <w:pPr>
              <w:rPr>
                <w:rFonts w:asciiTheme="minorHAnsi" w:hAnsiTheme="minorHAnsi" w:cstheme="minorHAnsi"/>
                <w:b/>
                <w:szCs w:val="22"/>
              </w:rPr>
            </w:pPr>
            <w:r w:rsidRPr="009F7745">
              <w:rPr>
                <w:rFonts w:asciiTheme="minorHAnsi" w:hAnsiTheme="minorHAnsi" w:cstheme="minorHAnsi"/>
                <w:b/>
                <w:szCs w:val="22"/>
              </w:rPr>
              <w:t>P</w:t>
            </w:r>
          </w:p>
          <w:p w14:paraId="33B9F33E" w14:textId="77777777" w:rsidR="009F7745" w:rsidRPr="009F7745" w:rsidRDefault="009F7745" w:rsidP="004D2606">
            <w:pPr>
              <w:rPr>
                <w:rFonts w:asciiTheme="minorHAnsi" w:hAnsiTheme="minorHAnsi" w:cstheme="minorHAnsi"/>
                <w:b/>
                <w:szCs w:val="22"/>
              </w:rPr>
            </w:pPr>
            <w:proofErr w:type="spellStart"/>
            <w:r w:rsidRPr="009F7745">
              <w:rPr>
                <w:rFonts w:asciiTheme="minorHAnsi" w:hAnsiTheme="minorHAnsi" w:cstheme="minorHAnsi"/>
                <w:b/>
                <w:szCs w:val="22"/>
              </w:rPr>
              <w:t>Pploration</w:t>
            </w:r>
            <w:proofErr w:type="spellEnd"/>
            <w:r w:rsidRPr="009F7745">
              <w:rPr>
                <w:rFonts w:asciiTheme="minorHAnsi" w:hAnsiTheme="minorHAnsi" w:cstheme="minorHAnsi"/>
                <w:b/>
                <w:szCs w:val="22"/>
              </w:rPr>
              <w:t xml:space="preserve"> and evaluation costs</w:t>
            </w:r>
          </w:p>
        </w:tc>
        <w:tc>
          <w:tcPr>
            <w:tcW w:w="2410" w:type="dxa"/>
            <w:tcBorders>
              <w:top w:val="single" w:sz="4" w:space="0" w:color="auto"/>
              <w:bottom w:val="single" w:sz="4" w:space="0" w:color="auto"/>
            </w:tcBorders>
            <w:shd w:val="clear" w:color="auto" w:fill="auto"/>
            <w:vAlign w:val="bottom"/>
          </w:tcPr>
          <w:p w14:paraId="7FB55D6C" w14:textId="77777777" w:rsidR="009F7745" w:rsidRPr="009F7745" w:rsidRDefault="009F7745" w:rsidP="004D2606">
            <w:pPr>
              <w:jc w:val="right"/>
              <w:rPr>
                <w:rFonts w:asciiTheme="minorHAnsi" w:hAnsiTheme="minorHAnsi" w:cstheme="minorHAnsi"/>
                <w:szCs w:val="22"/>
              </w:rPr>
            </w:pPr>
            <w:r w:rsidRPr="009F7745">
              <w:rPr>
                <w:rFonts w:asciiTheme="minorHAnsi" w:hAnsiTheme="minorHAnsi" w:cstheme="minorHAnsi"/>
                <w:szCs w:val="22"/>
              </w:rPr>
              <w:t>$      72,007</w:t>
            </w:r>
          </w:p>
        </w:tc>
      </w:tr>
    </w:tbl>
    <w:p w14:paraId="57C3923B" w14:textId="77777777" w:rsidR="009F7745" w:rsidRPr="009F7745" w:rsidRDefault="009F7745" w:rsidP="009F7745">
      <w:pPr>
        <w:pStyle w:val="ListParagraph"/>
        <w:keepNext/>
        <w:keepLines/>
        <w:pageBreakBefore/>
        <w:numPr>
          <w:ilvl w:val="0"/>
          <w:numId w:val="3"/>
        </w:numPr>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b/>
          <w:bCs/>
          <w:color w:val="000000"/>
          <w:szCs w:val="22"/>
        </w:rPr>
        <w:lastRenderedPageBreak/>
        <w:t>EQUITY</w:t>
      </w:r>
    </w:p>
    <w:p w14:paraId="04CDB6C8" w14:textId="77777777" w:rsidR="009F7745" w:rsidRPr="009F7745" w:rsidRDefault="009F7745" w:rsidP="009F7745">
      <w:pPr>
        <w:keepNext/>
        <w:keepLines/>
        <w:autoSpaceDE w:val="0"/>
        <w:autoSpaceDN w:val="0"/>
        <w:adjustRightInd w:val="0"/>
        <w:jc w:val="both"/>
        <w:rPr>
          <w:rFonts w:asciiTheme="minorHAnsi" w:hAnsiTheme="minorHAnsi" w:cstheme="minorHAnsi"/>
          <w:b/>
          <w:bCs/>
          <w:color w:val="000000"/>
          <w:szCs w:val="22"/>
        </w:rPr>
      </w:pPr>
    </w:p>
    <w:p w14:paraId="62E9C5DC" w14:textId="77777777" w:rsidR="009F7745" w:rsidRPr="009F7745" w:rsidRDefault="009F7745" w:rsidP="009F7745">
      <w:pPr>
        <w:pStyle w:val="Nbodyindentinput"/>
        <w:widowControl/>
        <w:numPr>
          <w:ilvl w:val="1"/>
          <w:numId w:val="2"/>
        </w:numPr>
        <w:tabs>
          <w:tab w:val="clear" w:pos="1440"/>
        </w:tabs>
        <w:spacing w:before="0"/>
        <w:ind w:left="720" w:hanging="360"/>
        <w:jc w:val="left"/>
        <w:rPr>
          <w:rFonts w:asciiTheme="minorHAnsi" w:hAnsiTheme="minorHAnsi" w:cstheme="minorHAnsi"/>
          <w:sz w:val="22"/>
          <w:szCs w:val="22"/>
        </w:rPr>
      </w:pPr>
      <w:r w:rsidRPr="009F7745">
        <w:rPr>
          <w:rFonts w:asciiTheme="minorHAnsi" w:hAnsiTheme="minorHAnsi" w:cstheme="minorHAnsi"/>
          <w:sz w:val="22"/>
          <w:szCs w:val="22"/>
        </w:rPr>
        <w:t>Authorized</w:t>
      </w:r>
    </w:p>
    <w:p w14:paraId="3D587365" w14:textId="77777777" w:rsidR="009F7745" w:rsidRPr="009F7745" w:rsidRDefault="009F7745" w:rsidP="009F7745">
      <w:pPr>
        <w:pStyle w:val="Nbodyindentinput"/>
        <w:widowControl/>
        <w:spacing w:before="0"/>
        <w:ind w:left="1620"/>
        <w:jc w:val="left"/>
        <w:rPr>
          <w:rFonts w:asciiTheme="minorHAnsi" w:hAnsiTheme="minorHAnsi" w:cstheme="minorHAnsi"/>
          <w:sz w:val="22"/>
          <w:szCs w:val="22"/>
        </w:rPr>
      </w:pPr>
    </w:p>
    <w:p w14:paraId="054FC7CE" w14:textId="77777777" w:rsidR="009F7745" w:rsidRPr="009F7745" w:rsidRDefault="009F7745" w:rsidP="009F7745">
      <w:pPr>
        <w:pStyle w:val="Nbodyindentinput"/>
        <w:widowControl/>
        <w:spacing w:before="0"/>
        <w:ind w:left="720"/>
        <w:jc w:val="left"/>
        <w:rPr>
          <w:rFonts w:asciiTheme="minorHAnsi" w:hAnsiTheme="minorHAnsi" w:cstheme="minorHAnsi"/>
          <w:sz w:val="22"/>
          <w:szCs w:val="22"/>
        </w:rPr>
      </w:pPr>
      <w:r w:rsidRPr="009F7745">
        <w:rPr>
          <w:rFonts w:asciiTheme="minorHAnsi" w:hAnsiTheme="minorHAnsi" w:cstheme="minorHAnsi"/>
          <w:sz w:val="22"/>
          <w:szCs w:val="22"/>
        </w:rPr>
        <w:t>Unlimited number of common shares without par value.</w:t>
      </w:r>
    </w:p>
    <w:p w14:paraId="60B0E2B4" w14:textId="77777777" w:rsidR="009F7745" w:rsidRPr="009F7745" w:rsidRDefault="009F7745" w:rsidP="009F7745">
      <w:pPr>
        <w:pStyle w:val="Nbodyindentinput"/>
        <w:widowControl/>
        <w:spacing w:before="0"/>
        <w:jc w:val="left"/>
        <w:rPr>
          <w:rFonts w:asciiTheme="minorHAnsi" w:hAnsiTheme="minorHAnsi" w:cstheme="minorHAnsi"/>
          <w:sz w:val="22"/>
          <w:szCs w:val="22"/>
        </w:rPr>
      </w:pPr>
    </w:p>
    <w:p w14:paraId="7CF60E6B" w14:textId="77777777" w:rsidR="009F7745" w:rsidRPr="009F7745" w:rsidRDefault="009F7745" w:rsidP="009F7745">
      <w:pPr>
        <w:pStyle w:val="Nbodyindentinput"/>
        <w:widowControl/>
        <w:numPr>
          <w:ilvl w:val="1"/>
          <w:numId w:val="2"/>
        </w:numPr>
        <w:tabs>
          <w:tab w:val="clear" w:pos="1440"/>
        </w:tabs>
        <w:spacing w:before="0"/>
        <w:ind w:left="720" w:hanging="360"/>
        <w:jc w:val="left"/>
        <w:rPr>
          <w:rFonts w:asciiTheme="minorHAnsi" w:hAnsiTheme="minorHAnsi" w:cstheme="minorHAnsi"/>
          <w:sz w:val="22"/>
          <w:szCs w:val="22"/>
        </w:rPr>
      </w:pPr>
      <w:r w:rsidRPr="009F7745">
        <w:rPr>
          <w:rFonts w:asciiTheme="minorHAnsi" w:hAnsiTheme="minorHAnsi" w:cstheme="minorHAnsi"/>
          <w:sz w:val="22"/>
          <w:szCs w:val="22"/>
        </w:rPr>
        <w:t>Issued and outstanding</w:t>
      </w:r>
    </w:p>
    <w:p w14:paraId="069428D1" w14:textId="77777777" w:rsidR="009F7745" w:rsidRPr="009F7745" w:rsidRDefault="009F7745" w:rsidP="009F7745">
      <w:pPr>
        <w:autoSpaceDE w:val="0"/>
        <w:autoSpaceDN w:val="0"/>
        <w:adjustRightInd w:val="0"/>
        <w:rPr>
          <w:rFonts w:asciiTheme="minorHAnsi" w:hAnsiTheme="minorHAnsi" w:cstheme="minorHAnsi"/>
          <w:bCs/>
          <w:szCs w:val="22"/>
        </w:rPr>
      </w:pPr>
    </w:p>
    <w:p w14:paraId="7CEE9CD5"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5,840,777 common shares without par value.</w:t>
      </w:r>
    </w:p>
    <w:p w14:paraId="69039F72"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p>
    <w:p w14:paraId="4B08D339"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 xml:space="preserve">During the three months ended May 31, 2019, the Company did not have any share activity. </w:t>
      </w:r>
    </w:p>
    <w:p w14:paraId="2C9C0062" w14:textId="77777777" w:rsidR="009F7745" w:rsidRPr="009F7745" w:rsidRDefault="009F7745" w:rsidP="009F7745">
      <w:pPr>
        <w:pStyle w:val="BodyTextIndent"/>
        <w:autoSpaceDE w:val="0"/>
        <w:autoSpaceDN w:val="0"/>
        <w:adjustRightInd w:val="0"/>
        <w:ind w:left="1080"/>
        <w:jc w:val="both"/>
        <w:rPr>
          <w:rFonts w:asciiTheme="minorHAnsi" w:hAnsiTheme="minorHAnsi" w:cstheme="minorHAnsi"/>
          <w:sz w:val="22"/>
          <w:szCs w:val="22"/>
        </w:rPr>
      </w:pPr>
    </w:p>
    <w:p w14:paraId="77C77ECC" w14:textId="77777777" w:rsidR="009F7745" w:rsidRPr="009F7745" w:rsidRDefault="009F7745" w:rsidP="009F7745">
      <w:pPr>
        <w:pStyle w:val="Nbodyindentinput"/>
        <w:widowControl/>
        <w:numPr>
          <w:ilvl w:val="1"/>
          <w:numId w:val="2"/>
        </w:numPr>
        <w:tabs>
          <w:tab w:val="clear" w:pos="1440"/>
        </w:tabs>
        <w:spacing w:before="0"/>
        <w:ind w:left="720" w:hanging="360"/>
        <w:jc w:val="left"/>
        <w:rPr>
          <w:rFonts w:asciiTheme="minorHAnsi" w:hAnsiTheme="minorHAnsi" w:cstheme="minorHAnsi"/>
          <w:sz w:val="22"/>
          <w:szCs w:val="22"/>
        </w:rPr>
      </w:pPr>
      <w:r w:rsidRPr="009F7745">
        <w:rPr>
          <w:rFonts w:asciiTheme="minorHAnsi" w:hAnsiTheme="minorHAnsi" w:cstheme="minorHAnsi"/>
          <w:sz w:val="22"/>
          <w:szCs w:val="22"/>
        </w:rPr>
        <w:t xml:space="preserve">Stock options </w:t>
      </w:r>
    </w:p>
    <w:p w14:paraId="3B585816" w14:textId="77777777" w:rsidR="009F7745" w:rsidRPr="009F7745" w:rsidRDefault="009F7745" w:rsidP="009F7745">
      <w:pPr>
        <w:pStyle w:val="BodyTextIndent2"/>
        <w:ind w:left="454"/>
        <w:jc w:val="both"/>
        <w:rPr>
          <w:rFonts w:asciiTheme="minorHAnsi" w:hAnsiTheme="minorHAnsi" w:cstheme="minorHAnsi"/>
          <w:b/>
          <w:sz w:val="22"/>
          <w:szCs w:val="22"/>
        </w:rPr>
      </w:pPr>
    </w:p>
    <w:p w14:paraId="4738271F"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The Company’s stock option plan authorizes the issuance of options up to a maximum of 10% of the Company’s issued shares. The exercise price of any option granted shall not be less than the fair market value of the shares at the time of the grant. The expiry date for each option, set by the Board of Directors at the time of issue, shall not be more than ten years after the grant date. Unless stipulated by the Board of Directors, options granted generally vest fully on the date of grant.</w:t>
      </w:r>
    </w:p>
    <w:p w14:paraId="5041B603"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p>
    <w:p w14:paraId="03F0848F"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During the three months ended May 31, 2019, the Company did not grant any stock options.</w:t>
      </w:r>
    </w:p>
    <w:p w14:paraId="3D1A11E7"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p>
    <w:p w14:paraId="2C2DAE59" w14:textId="77777777" w:rsidR="009F7745" w:rsidRPr="009F7745" w:rsidRDefault="009F7745" w:rsidP="009F7745">
      <w:pPr>
        <w:pStyle w:val="ListParagraph"/>
        <w:keepNext/>
        <w:keepLines/>
        <w:numPr>
          <w:ilvl w:val="0"/>
          <w:numId w:val="3"/>
        </w:numPr>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b/>
          <w:bCs/>
          <w:color w:val="000000"/>
          <w:szCs w:val="22"/>
        </w:rPr>
        <w:t>RELATED PARTY TRANSACTIONS</w:t>
      </w:r>
    </w:p>
    <w:p w14:paraId="6F866798" w14:textId="77777777" w:rsidR="009F7745" w:rsidRPr="009F7745" w:rsidRDefault="009F7745" w:rsidP="009F7745">
      <w:pPr>
        <w:keepNext/>
        <w:keepLines/>
        <w:autoSpaceDE w:val="0"/>
        <w:autoSpaceDN w:val="0"/>
        <w:adjustRightInd w:val="0"/>
        <w:ind w:left="720"/>
        <w:jc w:val="both"/>
        <w:rPr>
          <w:rFonts w:asciiTheme="minorHAnsi" w:hAnsiTheme="minorHAnsi" w:cstheme="minorHAnsi"/>
          <w:b/>
          <w:bCs/>
          <w:color w:val="000000"/>
          <w:szCs w:val="22"/>
        </w:rPr>
      </w:pPr>
    </w:p>
    <w:p w14:paraId="12411534" w14:textId="77777777" w:rsidR="009F7745" w:rsidRPr="009F7745" w:rsidRDefault="009F7745" w:rsidP="009F7745">
      <w:pPr>
        <w:pStyle w:val="NTitleB"/>
        <w:keepNext w:val="0"/>
        <w:keepLines w:val="0"/>
        <w:widowControl/>
        <w:tabs>
          <w:tab w:val="clear" w:pos="576"/>
        </w:tabs>
        <w:spacing w:before="0"/>
        <w:ind w:left="360" w:firstLine="0"/>
        <w:jc w:val="both"/>
        <w:rPr>
          <w:rFonts w:asciiTheme="minorHAnsi" w:hAnsiTheme="minorHAnsi" w:cstheme="minorHAnsi"/>
          <w:b w:val="0"/>
          <w:sz w:val="22"/>
          <w:szCs w:val="22"/>
        </w:rPr>
      </w:pPr>
      <w:r w:rsidRPr="009F7745">
        <w:rPr>
          <w:rFonts w:asciiTheme="minorHAnsi" w:hAnsiTheme="minorHAnsi" w:cstheme="minorHAnsi"/>
          <w:b w:val="0"/>
          <w:sz w:val="22"/>
          <w:szCs w:val="22"/>
        </w:rPr>
        <w:t>Key management personnel include persons having the authority and responsibility for planning, directing and controlling the activities of the Company as a whole. The Company has determined that key management personnel consist of executive and non-executive members of the Board of Directors and corporate officers.</w:t>
      </w:r>
    </w:p>
    <w:p w14:paraId="65D71D6B" w14:textId="77777777" w:rsidR="009F7745" w:rsidRPr="009F7745" w:rsidRDefault="009F7745" w:rsidP="009F7745">
      <w:pPr>
        <w:pStyle w:val="NTitleB"/>
        <w:keepNext w:val="0"/>
        <w:keepLines w:val="0"/>
        <w:widowControl/>
        <w:tabs>
          <w:tab w:val="clear" w:pos="576"/>
        </w:tabs>
        <w:spacing w:before="0"/>
        <w:ind w:left="360" w:firstLine="0"/>
        <w:jc w:val="both"/>
        <w:rPr>
          <w:rFonts w:asciiTheme="minorHAnsi" w:hAnsiTheme="minorHAnsi" w:cstheme="minorHAnsi"/>
          <w:b w:val="0"/>
          <w:sz w:val="22"/>
          <w:szCs w:val="22"/>
        </w:rPr>
      </w:pPr>
    </w:p>
    <w:p w14:paraId="08906E30" w14:textId="77777777" w:rsidR="009F7745" w:rsidRPr="009F7745" w:rsidRDefault="009F7745" w:rsidP="009F7745">
      <w:pPr>
        <w:pStyle w:val="NTitleB"/>
        <w:keepNext w:val="0"/>
        <w:keepLines w:val="0"/>
        <w:widowControl/>
        <w:tabs>
          <w:tab w:val="clear" w:pos="576"/>
        </w:tabs>
        <w:spacing w:before="0"/>
        <w:ind w:left="360" w:firstLine="0"/>
        <w:jc w:val="both"/>
        <w:rPr>
          <w:rFonts w:asciiTheme="minorHAnsi" w:hAnsiTheme="minorHAnsi" w:cstheme="minorHAnsi"/>
          <w:b w:val="0"/>
          <w:sz w:val="22"/>
          <w:szCs w:val="22"/>
        </w:rPr>
      </w:pPr>
      <w:r w:rsidRPr="009F7745">
        <w:rPr>
          <w:rFonts w:asciiTheme="minorHAnsi" w:hAnsiTheme="minorHAnsi" w:cstheme="minorHAnsi"/>
          <w:b w:val="0"/>
          <w:sz w:val="22"/>
          <w:szCs w:val="22"/>
        </w:rPr>
        <w:t>During the period, a shareholder and director of the Company advanced a loan in the amount of $20,000, with payment on demand and an annual interest rate of 5%.</w:t>
      </w:r>
    </w:p>
    <w:p w14:paraId="27DFD286" w14:textId="77777777" w:rsidR="009F7745" w:rsidRPr="009F7745" w:rsidRDefault="009F7745" w:rsidP="009F7745">
      <w:pPr>
        <w:pStyle w:val="NTitleB"/>
        <w:keepNext w:val="0"/>
        <w:keepLines w:val="0"/>
        <w:widowControl/>
        <w:tabs>
          <w:tab w:val="clear" w:pos="576"/>
        </w:tabs>
        <w:spacing w:before="0"/>
        <w:ind w:left="360" w:firstLine="0"/>
        <w:jc w:val="both"/>
        <w:rPr>
          <w:rFonts w:asciiTheme="minorHAnsi" w:hAnsiTheme="minorHAnsi" w:cstheme="minorHAnsi"/>
          <w:b w:val="0"/>
          <w:sz w:val="22"/>
          <w:szCs w:val="22"/>
        </w:rPr>
      </w:pPr>
    </w:p>
    <w:p w14:paraId="509C232A" w14:textId="77777777" w:rsidR="009F7745" w:rsidRPr="009F7745" w:rsidRDefault="009F7745" w:rsidP="009F7745">
      <w:pPr>
        <w:pStyle w:val="NTitleB"/>
        <w:keepNext w:val="0"/>
        <w:keepLines w:val="0"/>
        <w:widowControl/>
        <w:tabs>
          <w:tab w:val="clear" w:pos="576"/>
        </w:tabs>
        <w:spacing w:before="0"/>
        <w:ind w:left="360" w:firstLine="0"/>
        <w:jc w:val="both"/>
        <w:rPr>
          <w:rFonts w:asciiTheme="minorHAnsi" w:hAnsiTheme="minorHAnsi" w:cstheme="minorHAnsi"/>
          <w:b w:val="0"/>
          <w:color w:val="auto"/>
          <w:sz w:val="22"/>
          <w:szCs w:val="22"/>
        </w:rPr>
      </w:pPr>
      <w:r w:rsidRPr="009F7745">
        <w:rPr>
          <w:rFonts w:asciiTheme="minorHAnsi" w:hAnsiTheme="minorHAnsi" w:cstheme="minorHAnsi"/>
          <w:b w:val="0"/>
          <w:color w:val="auto"/>
          <w:sz w:val="22"/>
          <w:szCs w:val="22"/>
        </w:rPr>
        <w:t>During the three months ended May 31, 2019, the Company incurred $nil for consulting management fees.</w:t>
      </w:r>
    </w:p>
    <w:p w14:paraId="10FDDCD9" w14:textId="77777777" w:rsidR="009F7745" w:rsidRPr="009F7745" w:rsidRDefault="009F7745" w:rsidP="009F7745">
      <w:pPr>
        <w:pStyle w:val="NTitleB"/>
        <w:keepNext w:val="0"/>
        <w:keepLines w:val="0"/>
        <w:widowControl/>
        <w:tabs>
          <w:tab w:val="clear" w:pos="576"/>
        </w:tabs>
        <w:spacing w:before="0"/>
        <w:ind w:left="0" w:firstLine="0"/>
        <w:jc w:val="both"/>
        <w:rPr>
          <w:rFonts w:asciiTheme="minorHAnsi" w:hAnsiTheme="minorHAnsi" w:cstheme="minorHAnsi"/>
          <w:b w:val="0"/>
          <w:sz w:val="22"/>
          <w:szCs w:val="22"/>
        </w:rPr>
      </w:pPr>
    </w:p>
    <w:p w14:paraId="760E3B75" w14:textId="77777777" w:rsidR="009F7745" w:rsidRPr="009F7745" w:rsidRDefault="009F7745" w:rsidP="009F7745">
      <w:pPr>
        <w:pStyle w:val="NTitleB"/>
        <w:keepNext w:val="0"/>
        <w:keepLines w:val="0"/>
        <w:widowControl/>
        <w:tabs>
          <w:tab w:val="clear" w:pos="576"/>
        </w:tabs>
        <w:spacing w:before="0"/>
        <w:ind w:left="360" w:firstLine="0"/>
        <w:jc w:val="both"/>
        <w:rPr>
          <w:rFonts w:asciiTheme="minorHAnsi" w:hAnsiTheme="minorHAnsi" w:cstheme="minorHAnsi"/>
          <w:b w:val="0"/>
          <w:sz w:val="22"/>
          <w:szCs w:val="22"/>
        </w:rPr>
      </w:pPr>
    </w:p>
    <w:p w14:paraId="1B0BF469" w14:textId="77777777" w:rsidR="009F7745" w:rsidRPr="009F7745" w:rsidRDefault="009F7745" w:rsidP="009F7745">
      <w:pPr>
        <w:pStyle w:val="ListParagraph"/>
        <w:keepNext/>
        <w:keepLines/>
        <w:numPr>
          <w:ilvl w:val="0"/>
          <w:numId w:val="3"/>
        </w:numPr>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b/>
          <w:bCs/>
          <w:color w:val="000000"/>
          <w:szCs w:val="22"/>
        </w:rPr>
        <w:t>FINANCIAL INSTURMENTS AND RISK MANAGEMENT</w:t>
      </w:r>
    </w:p>
    <w:p w14:paraId="34AC3231" w14:textId="77777777" w:rsidR="009F7745" w:rsidRPr="009F7745" w:rsidRDefault="009F7745" w:rsidP="009F7745">
      <w:pPr>
        <w:pStyle w:val="ListParagraph"/>
        <w:keepNext/>
        <w:keepLines/>
        <w:autoSpaceDE w:val="0"/>
        <w:autoSpaceDN w:val="0"/>
        <w:adjustRightInd w:val="0"/>
        <w:ind w:left="360"/>
        <w:jc w:val="both"/>
        <w:rPr>
          <w:rFonts w:asciiTheme="minorHAnsi" w:hAnsiTheme="minorHAnsi" w:cstheme="minorHAnsi"/>
          <w:b/>
          <w:szCs w:val="22"/>
        </w:rPr>
      </w:pPr>
    </w:p>
    <w:p w14:paraId="4D0E57AB" w14:textId="77777777" w:rsidR="009F7745" w:rsidRPr="009F7745" w:rsidRDefault="009F7745" w:rsidP="009F7745">
      <w:pPr>
        <w:pStyle w:val="Default"/>
        <w:ind w:left="360"/>
        <w:jc w:val="both"/>
        <w:rPr>
          <w:rFonts w:asciiTheme="minorHAnsi" w:hAnsiTheme="minorHAnsi" w:cstheme="minorHAnsi"/>
          <w:bCs/>
          <w:sz w:val="22"/>
          <w:szCs w:val="22"/>
        </w:rPr>
      </w:pPr>
      <w:r w:rsidRPr="009F7745">
        <w:rPr>
          <w:rFonts w:asciiTheme="minorHAnsi" w:hAnsiTheme="minorHAnsi" w:cstheme="minorHAnsi"/>
          <w:bCs/>
          <w:sz w:val="22"/>
          <w:szCs w:val="22"/>
        </w:rPr>
        <w:t>Financial instruments of the Company consist of cash, receivables, and accounts payable and accrued liabilities, all of which are included in these condensed interim financial statements. The amounts reflected in the condensed interim statements of financial position are carrying amounts and approximate their fair values due to their short-term nature.</w:t>
      </w:r>
    </w:p>
    <w:p w14:paraId="3A461B1B" w14:textId="77777777" w:rsidR="009F7745" w:rsidRPr="009F7745" w:rsidRDefault="009F7745" w:rsidP="009F7745">
      <w:pPr>
        <w:pStyle w:val="ListParagraph"/>
        <w:keepNext/>
        <w:keepLines/>
        <w:autoSpaceDE w:val="0"/>
        <w:autoSpaceDN w:val="0"/>
        <w:adjustRightInd w:val="0"/>
        <w:ind w:left="360"/>
        <w:jc w:val="both"/>
        <w:rPr>
          <w:rFonts w:asciiTheme="minorHAnsi" w:hAnsiTheme="minorHAnsi" w:cstheme="minorHAnsi"/>
          <w:b/>
          <w:szCs w:val="22"/>
        </w:rPr>
      </w:pPr>
    </w:p>
    <w:p w14:paraId="2E8AA870" w14:textId="77777777" w:rsidR="009F7745" w:rsidRPr="009F7745" w:rsidRDefault="009F7745" w:rsidP="009F7745">
      <w:pPr>
        <w:pStyle w:val="Nbodyindentinput"/>
        <w:widowControl/>
        <w:numPr>
          <w:ilvl w:val="1"/>
          <w:numId w:val="4"/>
        </w:numPr>
        <w:tabs>
          <w:tab w:val="clear" w:pos="1440"/>
        </w:tabs>
        <w:spacing w:before="0"/>
        <w:ind w:left="720" w:hanging="360"/>
        <w:jc w:val="left"/>
        <w:rPr>
          <w:rFonts w:asciiTheme="minorHAnsi" w:hAnsiTheme="minorHAnsi" w:cstheme="minorHAnsi"/>
          <w:sz w:val="22"/>
          <w:szCs w:val="22"/>
        </w:rPr>
      </w:pPr>
      <w:r w:rsidRPr="009F7745">
        <w:rPr>
          <w:rFonts w:asciiTheme="minorHAnsi" w:hAnsiTheme="minorHAnsi" w:cstheme="minorHAnsi"/>
          <w:sz w:val="22"/>
          <w:szCs w:val="22"/>
        </w:rPr>
        <w:t xml:space="preserve">Credit risk </w:t>
      </w:r>
    </w:p>
    <w:p w14:paraId="186C8B0F" w14:textId="77777777" w:rsidR="009F7745" w:rsidRPr="009F7745" w:rsidRDefault="009F7745" w:rsidP="009F7745">
      <w:pPr>
        <w:pStyle w:val="Default"/>
        <w:ind w:left="720"/>
        <w:jc w:val="both"/>
        <w:rPr>
          <w:rFonts w:asciiTheme="minorHAnsi" w:hAnsiTheme="minorHAnsi" w:cstheme="minorHAnsi"/>
          <w:sz w:val="22"/>
          <w:szCs w:val="22"/>
        </w:rPr>
      </w:pPr>
    </w:p>
    <w:p w14:paraId="171F8509"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 xml:space="preserve">Credit risk is the risk that one party to a financial instrument will cause a financial loss for the other party by failing to discharge an obligation. Credit risk for the Company is associated with its </w:t>
      </w:r>
      <w:r w:rsidRPr="009F7745">
        <w:rPr>
          <w:rFonts w:asciiTheme="minorHAnsi" w:hAnsiTheme="minorHAnsi" w:cstheme="minorHAnsi"/>
          <w:sz w:val="22"/>
          <w:szCs w:val="22"/>
        </w:rPr>
        <w:lastRenderedPageBreak/>
        <w:t xml:space="preserve">cash. The Company is not exposed to significant credit risk as its cash is placed with a major Canadian financial institution. </w:t>
      </w:r>
    </w:p>
    <w:p w14:paraId="2F3F61CB" w14:textId="77777777" w:rsidR="009F7745" w:rsidRPr="009F7745" w:rsidRDefault="009F7745" w:rsidP="009F7745">
      <w:pPr>
        <w:pStyle w:val="NTitleB"/>
        <w:keepNext w:val="0"/>
        <w:keepLines w:val="0"/>
        <w:widowControl/>
        <w:tabs>
          <w:tab w:val="clear" w:pos="576"/>
        </w:tabs>
        <w:spacing w:before="0"/>
        <w:ind w:left="288" w:firstLine="0"/>
        <w:jc w:val="both"/>
        <w:rPr>
          <w:rFonts w:asciiTheme="minorHAnsi" w:hAnsiTheme="minorHAnsi" w:cstheme="minorHAnsi"/>
          <w:b w:val="0"/>
          <w:sz w:val="22"/>
          <w:szCs w:val="22"/>
        </w:rPr>
      </w:pPr>
    </w:p>
    <w:p w14:paraId="2D977314" w14:textId="77777777" w:rsidR="009F7745" w:rsidRPr="009F7745" w:rsidRDefault="009F7745" w:rsidP="009F7745">
      <w:pPr>
        <w:pStyle w:val="Nbodyindentinput"/>
        <w:widowControl/>
        <w:numPr>
          <w:ilvl w:val="1"/>
          <w:numId w:val="4"/>
        </w:numPr>
        <w:tabs>
          <w:tab w:val="clear" w:pos="1440"/>
        </w:tabs>
        <w:spacing w:before="0"/>
        <w:ind w:left="720" w:hanging="360"/>
        <w:jc w:val="left"/>
        <w:rPr>
          <w:rFonts w:asciiTheme="minorHAnsi" w:hAnsiTheme="minorHAnsi" w:cstheme="minorHAnsi"/>
          <w:b/>
          <w:bCs/>
          <w:sz w:val="22"/>
          <w:szCs w:val="22"/>
        </w:rPr>
      </w:pPr>
      <w:r w:rsidRPr="009F7745">
        <w:rPr>
          <w:rFonts w:asciiTheme="minorHAnsi" w:hAnsiTheme="minorHAnsi" w:cstheme="minorHAnsi"/>
          <w:sz w:val="22"/>
          <w:szCs w:val="22"/>
        </w:rPr>
        <w:t>Liquidity risk</w:t>
      </w:r>
    </w:p>
    <w:p w14:paraId="262680F0" w14:textId="77777777" w:rsidR="009F7745" w:rsidRPr="009F7745" w:rsidRDefault="009F7745" w:rsidP="009F7745">
      <w:pPr>
        <w:pStyle w:val="Default"/>
        <w:ind w:left="720"/>
        <w:jc w:val="both"/>
        <w:rPr>
          <w:rFonts w:asciiTheme="minorHAnsi" w:hAnsiTheme="minorHAnsi" w:cstheme="minorHAnsi"/>
          <w:sz w:val="22"/>
          <w:szCs w:val="22"/>
        </w:rPr>
      </w:pPr>
    </w:p>
    <w:p w14:paraId="2E2D3348"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Liquidity risk is the risk that the Company will encounter difficulty in meeting obligations associated with financial liabilities that are settled by delivering cash or another financial asset. The Company is not exposed to significant liquidity risk.</w:t>
      </w:r>
    </w:p>
    <w:p w14:paraId="17151E8F"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p>
    <w:p w14:paraId="20421FC7"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 xml:space="preserve">As at Mav 31, 2019, the Company has cash of $4,553(August 31, 2018 - $65,011) available to apply against short-term business requirements and current liabilities of $27,117 (August 31, 2018 </w:t>
      </w:r>
      <w:r w:rsidRPr="009F7745">
        <w:rPr>
          <w:rFonts w:asciiTheme="minorHAnsi" w:hAnsiTheme="minorHAnsi" w:cstheme="minorHAnsi"/>
          <w:color w:val="FF0000"/>
          <w:sz w:val="22"/>
          <w:szCs w:val="22"/>
        </w:rPr>
        <w:t xml:space="preserve">- </w:t>
      </w:r>
      <w:r w:rsidRPr="009F7745">
        <w:rPr>
          <w:rFonts w:asciiTheme="minorHAnsi" w:hAnsiTheme="minorHAnsi" w:cstheme="minorHAnsi"/>
          <w:sz w:val="22"/>
          <w:szCs w:val="22"/>
        </w:rPr>
        <w:t xml:space="preserve">$7,790). All of the liabilities presented as accounts payable are due within 90 days of May 31, 2019 </w:t>
      </w:r>
    </w:p>
    <w:p w14:paraId="23C9E83E" w14:textId="77777777" w:rsidR="009F7745" w:rsidRPr="009F7745" w:rsidRDefault="009F7745" w:rsidP="009F7745">
      <w:pPr>
        <w:autoSpaceDE w:val="0"/>
        <w:autoSpaceDN w:val="0"/>
        <w:adjustRightInd w:val="0"/>
        <w:jc w:val="both"/>
        <w:rPr>
          <w:rFonts w:asciiTheme="minorHAnsi" w:hAnsiTheme="minorHAnsi" w:cstheme="minorHAnsi"/>
          <w:b/>
          <w:bCs/>
          <w:szCs w:val="22"/>
        </w:rPr>
      </w:pPr>
      <w:bookmarkStart w:id="2" w:name="_DV_M17"/>
      <w:bookmarkEnd w:id="2"/>
    </w:p>
    <w:p w14:paraId="13DF48ED" w14:textId="77777777" w:rsidR="009F7745" w:rsidRPr="009F7745" w:rsidRDefault="009F7745" w:rsidP="009F7745">
      <w:pPr>
        <w:pStyle w:val="Nbodyindentinput"/>
        <w:widowControl/>
        <w:spacing w:before="0"/>
        <w:ind w:left="720" w:hanging="720"/>
        <w:jc w:val="left"/>
        <w:rPr>
          <w:rFonts w:asciiTheme="minorHAnsi" w:hAnsiTheme="minorHAnsi" w:cstheme="minorHAnsi"/>
          <w:sz w:val="22"/>
          <w:szCs w:val="22"/>
        </w:rPr>
      </w:pPr>
      <w:r w:rsidRPr="009F7745">
        <w:rPr>
          <w:rFonts w:asciiTheme="minorHAnsi" w:hAnsiTheme="minorHAnsi" w:cstheme="minorHAnsi"/>
          <w:sz w:val="22"/>
          <w:szCs w:val="22"/>
        </w:rPr>
        <w:t xml:space="preserve">       (c)</w:t>
      </w:r>
      <w:r w:rsidRPr="009F7745">
        <w:rPr>
          <w:rFonts w:asciiTheme="minorHAnsi" w:hAnsiTheme="minorHAnsi" w:cstheme="minorHAnsi"/>
          <w:sz w:val="22"/>
          <w:szCs w:val="22"/>
        </w:rPr>
        <w:tab/>
        <w:t xml:space="preserve">Market risk </w:t>
      </w:r>
    </w:p>
    <w:p w14:paraId="77FD5AA0" w14:textId="77777777" w:rsidR="009F7745" w:rsidRPr="009F7745" w:rsidRDefault="009F7745" w:rsidP="009F7745">
      <w:pPr>
        <w:pStyle w:val="Default"/>
        <w:ind w:left="720"/>
        <w:rPr>
          <w:rFonts w:asciiTheme="minorHAnsi" w:hAnsiTheme="minorHAnsi" w:cstheme="minorHAnsi"/>
          <w:sz w:val="22"/>
          <w:szCs w:val="22"/>
        </w:rPr>
      </w:pPr>
    </w:p>
    <w:p w14:paraId="4D8AA49C" w14:textId="77777777" w:rsidR="009F7745" w:rsidRPr="009F7745" w:rsidRDefault="009F7745" w:rsidP="009F7745">
      <w:pPr>
        <w:pStyle w:val="BodyTextIndent"/>
        <w:autoSpaceDE w:val="0"/>
        <w:autoSpaceDN w:val="0"/>
        <w:adjustRightInd w:val="0"/>
        <w:jc w:val="both"/>
        <w:rPr>
          <w:rFonts w:asciiTheme="minorHAnsi" w:hAnsiTheme="minorHAnsi" w:cstheme="minorHAnsi"/>
          <w:sz w:val="22"/>
          <w:szCs w:val="22"/>
        </w:rPr>
      </w:pPr>
      <w:r w:rsidRPr="009F7745">
        <w:rPr>
          <w:rFonts w:asciiTheme="minorHAnsi" w:hAnsiTheme="minorHAnsi" w:cstheme="minorHAnsi"/>
          <w:sz w:val="22"/>
          <w:szCs w:val="22"/>
        </w:rPr>
        <w:t>Market risk is the risk that the fair value or future cash flows of a financial instrument will fluctuate due to changes in market prices. Market risk comprises three types of risk: foreign currency risk, interest rate risk and other price risk. The Company is not exposed to significant market risk.</w:t>
      </w:r>
    </w:p>
    <w:p w14:paraId="5AD9D182" w14:textId="77777777" w:rsidR="009F7745" w:rsidRPr="009F7745" w:rsidRDefault="009F7745" w:rsidP="009F7745">
      <w:pPr>
        <w:autoSpaceDE w:val="0"/>
        <w:autoSpaceDN w:val="0"/>
        <w:adjustRightInd w:val="0"/>
        <w:ind w:left="720"/>
        <w:jc w:val="both"/>
        <w:rPr>
          <w:rFonts w:asciiTheme="minorHAnsi" w:eastAsiaTheme="minorEastAsia" w:hAnsiTheme="minorHAnsi" w:cstheme="minorHAnsi"/>
          <w:szCs w:val="22"/>
          <w:lang w:val="en-CA"/>
        </w:rPr>
      </w:pPr>
    </w:p>
    <w:p w14:paraId="71474416" w14:textId="77777777" w:rsidR="009F7745" w:rsidRPr="009F7745" w:rsidRDefault="009F7745" w:rsidP="009F7745">
      <w:pPr>
        <w:pStyle w:val="ListParagraph"/>
        <w:keepNext/>
        <w:keepLines/>
        <w:numPr>
          <w:ilvl w:val="0"/>
          <w:numId w:val="3"/>
        </w:numPr>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b/>
          <w:bCs/>
          <w:color w:val="000000"/>
          <w:szCs w:val="22"/>
        </w:rPr>
        <w:t>CAPITAL MANAGEMENT</w:t>
      </w:r>
    </w:p>
    <w:p w14:paraId="560BF45B" w14:textId="77777777" w:rsidR="009F7745" w:rsidRPr="009F7745" w:rsidRDefault="009F7745" w:rsidP="009F7745">
      <w:pPr>
        <w:keepNext/>
        <w:keepLines/>
        <w:autoSpaceDE w:val="0"/>
        <w:autoSpaceDN w:val="0"/>
        <w:adjustRightInd w:val="0"/>
        <w:jc w:val="both"/>
        <w:rPr>
          <w:rFonts w:asciiTheme="minorHAnsi" w:hAnsiTheme="minorHAnsi" w:cstheme="minorHAnsi"/>
          <w:b/>
          <w:bCs/>
          <w:color w:val="000000"/>
          <w:szCs w:val="22"/>
        </w:rPr>
      </w:pPr>
    </w:p>
    <w:p w14:paraId="23AA2459" w14:textId="77777777" w:rsidR="009F7745" w:rsidRPr="009F7745" w:rsidRDefault="009F7745" w:rsidP="009F7745">
      <w:pPr>
        <w:pStyle w:val="Default"/>
        <w:ind w:left="360"/>
        <w:jc w:val="both"/>
        <w:rPr>
          <w:rFonts w:asciiTheme="minorHAnsi" w:hAnsiTheme="minorHAnsi" w:cstheme="minorHAnsi"/>
          <w:sz w:val="22"/>
          <w:szCs w:val="22"/>
          <w:lang w:val="en-GB"/>
        </w:rPr>
      </w:pPr>
      <w:r w:rsidRPr="009F7745">
        <w:rPr>
          <w:rFonts w:asciiTheme="minorHAnsi" w:hAnsiTheme="minorHAnsi" w:cstheme="minorHAnsi"/>
          <w:bCs/>
          <w:sz w:val="22"/>
          <w:szCs w:val="22"/>
        </w:rPr>
        <w:t xml:space="preserve">The Company has just commenced operations. It </w:t>
      </w:r>
      <w:r w:rsidRPr="009F7745">
        <w:rPr>
          <w:rFonts w:asciiTheme="minorHAnsi" w:hAnsiTheme="minorHAnsi" w:cstheme="minorHAnsi"/>
          <w:sz w:val="22"/>
          <w:szCs w:val="22"/>
          <w:lang w:val="en-GB"/>
        </w:rPr>
        <w:t>has not yet determined whether it will be successful in its endeavours and does not generate cash flows from operations. The Company’s primary source of funds comes from the issuance of common shares. The Company does not use other sources of financing that require fixed payments of interest and principal due to lack of cash flow from current operations and is not subject to any externally imposed capital requirements.</w:t>
      </w:r>
    </w:p>
    <w:p w14:paraId="51412347" w14:textId="77777777" w:rsidR="009F7745" w:rsidRPr="009F7745" w:rsidRDefault="009F7745" w:rsidP="009F7745">
      <w:pPr>
        <w:pStyle w:val="Default"/>
        <w:ind w:left="360"/>
        <w:jc w:val="both"/>
        <w:rPr>
          <w:rFonts w:asciiTheme="minorHAnsi" w:hAnsiTheme="minorHAnsi" w:cstheme="minorHAnsi"/>
          <w:sz w:val="22"/>
          <w:szCs w:val="22"/>
        </w:rPr>
      </w:pPr>
    </w:p>
    <w:p w14:paraId="4AF3366E" w14:textId="77777777" w:rsidR="009F7745" w:rsidRPr="009F7745" w:rsidRDefault="009F7745" w:rsidP="009F7745">
      <w:pPr>
        <w:keepNext/>
        <w:keepLines/>
        <w:autoSpaceDE w:val="0"/>
        <w:autoSpaceDN w:val="0"/>
        <w:adjustRightInd w:val="0"/>
        <w:ind w:left="360"/>
        <w:jc w:val="both"/>
        <w:rPr>
          <w:rFonts w:asciiTheme="minorHAnsi" w:hAnsiTheme="minorHAnsi" w:cstheme="minorHAnsi"/>
          <w:szCs w:val="22"/>
        </w:rPr>
      </w:pPr>
      <w:r w:rsidRPr="009F7745">
        <w:rPr>
          <w:rFonts w:asciiTheme="minorHAnsi" w:hAnsiTheme="minorHAnsi" w:cstheme="minorHAnsi"/>
          <w:szCs w:val="22"/>
        </w:rPr>
        <w:t xml:space="preserve">The Company’s objective when managing capital is to safeguard the Company’s ability to continue as a going concern. </w:t>
      </w:r>
    </w:p>
    <w:p w14:paraId="6F7BF96B" w14:textId="77777777" w:rsidR="009F7745" w:rsidRPr="009F7745" w:rsidRDefault="009F7745" w:rsidP="009F7745">
      <w:pPr>
        <w:keepNext/>
        <w:keepLines/>
        <w:autoSpaceDE w:val="0"/>
        <w:autoSpaceDN w:val="0"/>
        <w:adjustRightInd w:val="0"/>
        <w:ind w:left="360"/>
        <w:jc w:val="both"/>
        <w:rPr>
          <w:rFonts w:asciiTheme="minorHAnsi" w:hAnsiTheme="minorHAnsi" w:cstheme="minorHAnsi"/>
          <w:szCs w:val="22"/>
        </w:rPr>
      </w:pPr>
    </w:p>
    <w:p w14:paraId="021C6773" w14:textId="77777777" w:rsidR="009F7745" w:rsidRPr="009F7745" w:rsidRDefault="009F7745" w:rsidP="009F7745">
      <w:pPr>
        <w:keepNext/>
        <w:keepLines/>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szCs w:val="22"/>
        </w:rPr>
        <w:t>The Company defines its capital as shareholders’ equity. Capital requirements are driven by the Company’s general operations. To effectively manage the Company’s capital requirements, the Company monitors expenses and overhead to ensure costs and commitments are being paid.</w:t>
      </w:r>
    </w:p>
    <w:p w14:paraId="16B957B5" w14:textId="77777777" w:rsidR="009F7745" w:rsidRPr="009F7745" w:rsidRDefault="009F7745" w:rsidP="009F7745">
      <w:pPr>
        <w:pStyle w:val="Default"/>
        <w:jc w:val="both"/>
        <w:rPr>
          <w:rFonts w:asciiTheme="minorHAnsi" w:hAnsiTheme="minorHAnsi" w:cstheme="minorHAnsi"/>
          <w:sz w:val="22"/>
          <w:szCs w:val="22"/>
        </w:rPr>
      </w:pPr>
    </w:p>
    <w:p w14:paraId="5F6685AF" w14:textId="77777777" w:rsidR="009F7745" w:rsidRPr="009F7745" w:rsidRDefault="009F7745" w:rsidP="009F7745">
      <w:pPr>
        <w:pStyle w:val="Default"/>
        <w:jc w:val="both"/>
        <w:rPr>
          <w:rFonts w:asciiTheme="minorHAnsi" w:hAnsiTheme="minorHAnsi" w:cstheme="minorHAnsi"/>
          <w:sz w:val="22"/>
          <w:szCs w:val="22"/>
        </w:rPr>
      </w:pPr>
    </w:p>
    <w:p w14:paraId="7B236DA0" w14:textId="77777777" w:rsidR="009F7745" w:rsidRPr="009F7745" w:rsidRDefault="009F7745" w:rsidP="009F7745">
      <w:pPr>
        <w:pStyle w:val="ListParagraph"/>
        <w:keepNext/>
        <w:keepLines/>
        <w:numPr>
          <w:ilvl w:val="0"/>
          <w:numId w:val="3"/>
        </w:numPr>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b/>
          <w:bCs/>
          <w:color w:val="000000"/>
          <w:szCs w:val="22"/>
        </w:rPr>
        <w:t>SEGMENTED INFORMATION</w:t>
      </w:r>
    </w:p>
    <w:p w14:paraId="19319846" w14:textId="77777777" w:rsidR="009F7745" w:rsidRPr="009F7745" w:rsidRDefault="009F7745" w:rsidP="009F7745">
      <w:pPr>
        <w:keepNext/>
        <w:keepLines/>
        <w:autoSpaceDE w:val="0"/>
        <w:autoSpaceDN w:val="0"/>
        <w:adjustRightInd w:val="0"/>
        <w:ind w:left="360"/>
        <w:jc w:val="both"/>
        <w:rPr>
          <w:rFonts w:asciiTheme="minorHAnsi" w:hAnsiTheme="minorHAnsi" w:cstheme="minorHAnsi"/>
          <w:b/>
          <w:bCs/>
          <w:color w:val="000000"/>
          <w:szCs w:val="22"/>
        </w:rPr>
      </w:pPr>
    </w:p>
    <w:p w14:paraId="1EAB86BB" w14:textId="77777777" w:rsidR="009F7745" w:rsidRPr="009F7745" w:rsidRDefault="009F7745" w:rsidP="009F7745">
      <w:pPr>
        <w:keepNext/>
        <w:keepLines/>
        <w:autoSpaceDE w:val="0"/>
        <w:autoSpaceDN w:val="0"/>
        <w:adjustRightInd w:val="0"/>
        <w:ind w:left="360"/>
        <w:jc w:val="both"/>
        <w:rPr>
          <w:rFonts w:asciiTheme="minorHAnsi" w:hAnsiTheme="minorHAnsi" w:cstheme="minorHAnsi"/>
          <w:szCs w:val="22"/>
        </w:rPr>
      </w:pPr>
      <w:r w:rsidRPr="009F7745">
        <w:rPr>
          <w:rFonts w:asciiTheme="minorHAnsi" w:hAnsiTheme="minorHAnsi" w:cstheme="minorHAnsi"/>
          <w:szCs w:val="22"/>
        </w:rPr>
        <w:t xml:space="preserve">The Company has one operating segment, acquisition, exploration and evaluation of resource properties, and all long-term assets of the Company are located in Canada. </w:t>
      </w:r>
    </w:p>
    <w:p w14:paraId="355C6A7B" w14:textId="77777777" w:rsidR="009F7745" w:rsidRPr="009F7745" w:rsidRDefault="009F7745" w:rsidP="009F7745">
      <w:pPr>
        <w:keepNext/>
        <w:keepLines/>
        <w:autoSpaceDE w:val="0"/>
        <w:autoSpaceDN w:val="0"/>
        <w:adjustRightInd w:val="0"/>
        <w:jc w:val="both"/>
        <w:rPr>
          <w:rFonts w:asciiTheme="minorHAnsi" w:hAnsiTheme="minorHAnsi" w:cstheme="minorHAnsi"/>
          <w:szCs w:val="22"/>
        </w:rPr>
      </w:pPr>
    </w:p>
    <w:p w14:paraId="356DD384" w14:textId="77777777" w:rsidR="009F7745" w:rsidRPr="009F7745" w:rsidRDefault="009F7745" w:rsidP="009F7745">
      <w:pPr>
        <w:pStyle w:val="ListParagraph"/>
        <w:keepNext/>
        <w:keepLines/>
        <w:numPr>
          <w:ilvl w:val="0"/>
          <w:numId w:val="3"/>
        </w:numPr>
        <w:autoSpaceDE w:val="0"/>
        <w:autoSpaceDN w:val="0"/>
        <w:adjustRightInd w:val="0"/>
        <w:ind w:left="360"/>
        <w:jc w:val="both"/>
        <w:rPr>
          <w:rFonts w:asciiTheme="minorHAnsi" w:hAnsiTheme="minorHAnsi" w:cstheme="minorHAnsi"/>
          <w:b/>
          <w:bCs/>
          <w:color w:val="000000"/>
          <w:szCs w:val="22"/>
        </w:rPr>
      </w:pPr>
      <w:r w:rsidRPr="009F7745">
        <w:rPr>
          <w:rFonts w:asciiTheme="minorHAnsi" w:hAnsiTheme="minorHAnsi" w:cstheme="minorHAnsi"/>
          <w:b/>
          <w:bCs/>
          <w:color w:val="000000"/>
          <w:szCs w:val="22"/>
        </w:rPr>
        <w:t>EVENTS AFTER THE REPORTING PERIOD</w:t>
      </w:r>
    </w:p>
    <w:p w14:paraId="515838D5" w14:textId="77777777" w:rsidR="009F7745" w:rsidRPr="009F7745" w:rsidRDefault="009F7745" w:rsidP="009F7745">
      <w:pPr>
        <w:keepNext/>
        <w:keepLines/>
        <w:autoSpaceDE w:val="0"/>
        <w:autoSpaceDN w:val="0"/>
        <w:adjustRightInd w:val="0"/>
        <w:jc w:val="both"/>
        <w:rPr>
          <w:rFonts w:asciiTheme="minorHAnsi" w:hAnsiTheme="minorHAnsi" w:cstheme="minorHAnsi"/>
          <w:b/>
          <w:bCs/>
          <w:color w:val="000000"/>
          <w:szCs w:val="22"/>
        </w:rPr>
      </w:pPr>
    </w:p>
    <w:p w14:paraId="408920F7" w14:textId="4CBEC385" w:rsidR="009F7745" w:rsidRPr="009F7745" w:rsidRDefault="009F7745" w:rsidP="009F7745">
      <w:pPr>
        <w:spacing w:after="240"/>
        <w:jc w:val="both"/>
        <w:rPr>
          <w:rFonts w:asciiTheme="minorHAnsi" w:eastAsiaTheme="minorHAnsi" w:hAnsiTheme="minorHAnsi" w:cstheme="minorHAnsi"/>
          <w:szCs w:val="22"/>
          <w:lang w:val="en-CA"/>
        </w:rPr>
      </w:pPr>
      <w:r w:rsidRPr="009F7745">
        <w:rPr>
          <w:rFonts w:asciiTheme="minorHAnsi" w:eastAsiaTheme="minorHAnsi" w:hAnsiTheme="minorHAnsi" w:cstheme="minorHAnsi"/>
          <w:b/>
          <w:bCs/>
          <w:szCs w:val="22"/>
          <w:lang w:val="en-CA"/>
        </w:rPr>
        <w:t>On June 11, 2019,</w:t>
      </w:r>
      <w:r w:rsidRPr="009F7745">
        <w:rPr>
          <w:rFonts w:asciiTheme="minorHAnsi" w:eastAsiaTheme="minorHAnsi" w:hAnsiTheme="minorHAnsi" w:cstheme="minorHAnsi"/>
          <w:szCs w:val="22"/>
          <w:lang w:val="en-CA"/>
        </w:rPr>
        <w:t xml:space="preserve"> The Company reported that it had completed its initial public offering of common shares through its agent, Haywood Securities Inc.  The Offering consisted of 4,000,000 common shares at a price of $0.10 per common share.  The Company realized gross proceeds from the Offering of $400,000. The Company’s common shares began trading on the Canadian Securities Exchange under the symbol “PJO” on June 12, 2019.  </w:t>
      </w:r>
      <w:r w:rsidRPr="00C93DB4">
        <w:rPr>
          <w:rFonts w:asciiTheme="minorHAnsi" w:eastAsiaTheme="minorHAnsi" w:hAnsiTheme="minorHAnsi" w:cstheme="minorHAnsi"/>
          <w:szCs w:val="22"/>
          <w:lang w:val="en-CA"/>
        </w:rPr>
        <w:t>In consideration for the Agent’s services provided in connection with the Offering, the Compa</w:t>
      </w:r>
      <w:r w:rsidR="007C67BC" w:rsidRPr="00C93DB4">
        <w:rPr>
          <w:rFonts w:asciiTheme="minorHAnsi" w:eastAsiaTheme="minorHAnsi" w:hAnsiTheme="minorHAnsi" w:cstheme="minorHAnsi"/>
          <w:szCs w:val="22"/>
          <w:lang w:val="en-CA"/>
        </w:rPr>
        <w:t xml:space="preserve">ny paid a cash commission </w:t>
      </w:r>
      <w:r w:rsidRPr="00C93DB4">
        <w:rPr>
          <w:rFonts w:asciiTheme="minorHAnsi" w:eastAsiaTheme="minorHAnsi" w:hAnsiTheme="minorHAnsi" w:cstheme="minorHAnsi"/>
          <w:szCs w:val="22"/>
          <w:lang w:val="en-CA"/>
        </w:rPr>
        <w:t xml:space="preserve">of </w:t>
      </w:r>
      <w:r w:rsidR="007C67BC" w:rsidRPr="00C93DB4">
        <w:rPr>
          <w:rFonts w:asciiTheme="minorHAnsi" w:eastAsiaTheme="minorHAnsi" w:hAnsiTheme="minorHAnsi" w:cstheme="minorHAnsi"/>
          <w:szCs w:val="22"/>
          <w:lang w:val="en-CA"/>
        </w:rPr>
        <w:t xml:space="preserve">$38,000 </w:t>
      </w:r>
      <w:r w:rsidRPr="00C93DB4">
        <w:rPr>
          <w:rFonts w:asciiTheme="minorHAnsi" w:eastAsiaTheme="minorHAnsi" w:hAnsiTheme="minorHAnsi" w:cstheme="minorHAnsi"/>
          <w:szCs w:val="22"/>
          <w:lang w:val="en-CA"/>
        </w:rPr>
        <w:t xml:space="preserve">and a corporate finance fee.  </w:t>
      </w:r>
      <w:r w:rsidRPr="009F7745">
        <w:rPr>
          <w:rFonts w:asciiTheme="minorHAnsi" w:eastAsiaTheme="minorHAnsi" w:hAnsiTheme="minorHAnsi" w:cstheme="minorHAnsi"/>
          <w:szCs w:val="22"/>
          <w:lang w:val="en-CA"/>
        </w:rPr>
        <w:t xml:space="preserve">The Company also issued </w:t>
      </w:r>
      <w:r w:rsidRPr="009F7745">
        <w:rPr>
          <w:rFonts w:asciiTheme="minorHAnsi" w:eastAsiaTheme="minorHAnsi" w:hAnsiTheme="minorHAnsi" w:cstheme="minorHAnsi"/>
          <w:szCs w:val="22"/>
          <w:lang w:val="en-CA"/>
        </w:rPr>
        <w:lastRenderedPageBreak/>
        <w:t>380,000 compensation options to purchase common shares of the Company, each Agent’s Compensation Option exercisable to purchase one common share for a price of $0.10 per common share until June 11, 2021.  The Company’s CEO, an insider, participated in the Offering, acquiring 200,000 shares. Proceeds of the Offering will be applied to finance exploration work on the Company’s Aura property and for working capital.</w:t>
      </w:r>
    </w:p>
    <w:p w14:paraId="67C2788C" w14:textId="77777777" w:rsidR="009F7745" w:rsidRPr="009F7745" w:rsidRDefault="009F7745" w:rsidP="009F7745">
      <w:pPr>
        <w:spacing w:after="240"/>
        <w:jc w:val="both"/>
        <w:rPr>
          <w:rFonts w:asciiTheme="minorHAnsi" w:eastAsiaTheme="minorHAnsi" w:hAnsiTheme="minorHAnsi" w:cstheme="minorHAnsi"/>
          <w:szCs w:val="22"/>
          <w:lang w:val="en-CA"/>
        </w:rPr>
      </w:pPr>
      <w:r w:rsidRPr="009F7745">
        <w:rPr>
          <w:rFonts w:asciiTheme="minorHAnsi" w:eastAsiaTheme="minorHAnsi" w:hAnsiTheme="minorHAnsi" w:cstheme="minorHAnsi"/>
          <w:b/>
          <w:bCs/>
          <w:szCs w:val="22"/>
          <w:lang w:val="en-CA"/>
        </w:rPr>
        <w:t>On June 24, 2019</w:t>
      </w:r>
      <w:r w:rsidRPr="009F7745">
        <w:rPr>
          <w:rFonts w:asciiTheme="minorHAnsi" w:eastAsiaTheme="minorHAnsi" w:hAnsiTheme="minorHAnsi" w:cstheme="minorHAnsi"/>
          <w:szCs w:val="22"/>
          <w:lang w:val="en-CA"/>
        </w:rPr>
        <w:t xml:space="preserve">, the Company announced that it had begun the mobilization for fieldwork at its wholly owned Aura Project located approximately 150 km east of Vancouver, near the Spences Bridge Gold Belt. The program has been designed to follow up on the encouraging results of a 2018 aeromagnetic survey completed on the property and are detailed in the Company's Technical Report dated July 15, 2018 </w:t>
      </w:r>
    </w:p>
    <w:p w14:paraId="2A978461" w14:textId="77777777" w:rsidR="009F7745" w:rsidRPr="009F7745" w:rsidRDefault="009F7745" w:rsidP="009F7745">
      <w:pPr>
        <w:spacing w:after="240"/>
        <w:jc w:val="both"/>
        <w:rPr>
          <w:rFonts w:asciiTheme="minorHAnsi" w:eastAsiaTheme="minorHAnsi" w:hAnsiTheme="minorHAnsi" w:cstheme="minorHAnsi"/>
          <w:szCs w:val="22"/>
          <w:lang w:val="en-CA"/>
        </w:rPr>
      </w:pPr>
      <w:r w:rsidRPr="009F7745">
        <w:rPr>
          <w:rFonts w:asciiTheme="minorHAnsi" w:eastAsiaTheme="minorHAnsi" w:hAnsiTheme="minorHAnsi" w:cstheme="minorHAnsi"/>
          <w:szCs w:val="22"/>
          <w:lang w:val="en-CA"/>
        </w:rPr>
        <w:t xml:space="preserve">The program has been designed to follow up on the encouraging results of a 2018 aeromagnetic survey completed on the property and are detailed in the Company's Technical Report dated July 15, 2018. The compilation of geophysical results indicated an additional three airborne magnetic anomalies throughout the property, which have not received any exploration. Soil sampling grids are scheduled to be completed over these new geophysical anomalies with the goal of determining if mineralization can be discovered in those three areas. Results from the work program will be released when they become available. </w:t>
      </w:r>
    </w:p>
    <w:p w14:paraId="11BE37D6" w14:textId="77777777" w:rsidR="009F7745" w:rsidRPr="009F7745" w:rsidRDefault="009F7745" w:rsidP="009F7745">
      <w:pPr>
        <w:keepNext/>
        <w:keepLines/>
        <w:autoSpaceDE w:val="0"/>
        <w:autoSpaceDN w:val="0"/>
        <w:adjustRightInd w:val="0"/>
        <w:jc w:val="both"/>
        <w:rPr>
          <w:rFonts w:asciiTheme="minorHAnsi" w:hAnsiTheme="minorHAnsi" w:cstheme="minorHAnsi"/>
          <w:b/>
          <w:bCs/>
          <w:color w:val="000000"/>
          <w:szCs w:val="22"/>
        </w:rPr>
      </w:pPr>
    </w:p>
    <w:bookmarkEnd w:id="1"/>
    <w:p w14:paraId="4970C1DE" w14:textId="77777777" w:rsidR="009F7745" w:rsidRPr="009F7745" w:rsidRDefault="009F7745" w:rsidP="009F7745">
      <w:pPr>
        <w:pStyle w:val="ListParagraph"/>
        <w:keepNext/>
        <w:keepLines/>
        <w:autoSpaceDE w:val="0"/>
        <w:autoSpaceDN w:val="0"/>
        <w:adjustRightInd w:val="0"/>
        <w:ind w:left="360"/>
        <w:jc w:val="both"/>
        <w:rPr>
          <w:rFonts w:asciiTheme="minorHAnsi" w:hAnsiTheme="minorHAnsi" w:cstheme="minorHAnsi"/>
          <w:b/>
          <w:bCs/>
          <w:color w:val="000000"/>
          <w:szCs w:val="22"/>
        </w:rPr>
      </w:pPr>
    </w:p>
    <w:p w14:paraId="05CA332D" w14:textId="77777777" w:rsidR="00977581" w:rsidRPr="009F7745" w:rsidRDefault="00977581" w:rsidP="00977581">
      <w:pPr>
        <w:tabs>
          <w:tab w:val="right" w:pos="8550"/>
        </w:tabs>
        <w:jc w:val="center"/>
        <w:rPr>
          <w:rFonts w:asciiTheme="minorHAnsi" w:hAnsiTheme="minorHAnsi" w:cstheme="minorHAnsi"/>
          <w:szCs w:val="22"/>
        </w:rPr>
      </w:pPr>
    </w:p>
    <w:sectPr w:rsidR="00977581" w:rsidRPr="009F7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A43"/>
    <w:multiLevelType w:val="multilevel"/>
    <w:tmpl w:val="364C7F08"/>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DED7F7F"/>
    <w:multiLevelType w:val="multilevel"/>
    <w:tmpl w:val="D7264EA2"/>
    <w:lvl w:ilvl="0">
      <w:start w:val="2"/>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CB4638"/>
    <w:multiLevelType w:val="multilevel"/>
    <w:tmpl w:val="364C7F08"/>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D411018"/>
    <w:multiLevelType w:val="hybridMultilevel"/>
    <w:tmpl w:val="393AB0A8"/>
    <w:lvl w:ilvl="0" w:tplc="04090001">
      <w:start w:val="1"/>
      <w:numFmt w:val="bullet"/>
      <w:lvlText w:val=""/>
      <w:lvlJc w:val="left"/>
      <w:pPr>
        <w:ind w:left="1253" w:hanging="360"/>
      </w:pPr>
      <w:rPr>
        <w:rFonts w:ascii="Symbol" w:hAnsi="Symbol" w:hint="default"/>
      </w:rPr>
    </w:lvl>
    <w:lvl w:ilvl="1" w:tplc="10090001">
      <w:start w:val="1"/>
      <w:numFmt w:val="bullet"/>
      <w:lvlText w:val=""/>
      <w:lvlJc w:val="left"/>
      <w:pPr>
        <w:ind w:left="1973" w:hanging="360"/>
      </w:pPr>
      <w:rPr>
        <w:rFonts w:ascii="Symbol" w:hAnsi="Symbol"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15:restartNumberingAfterBreak="0">
    <w:nsid w:val="43A5516B"/>
    <w:multiLevelType w:val="multilevel"/>
    <w:tmpl w:val="288CE4E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7CF935C5"/>
    <w:multiLevelType w:val="hybridMultilevel"/>
    <w:tmpl w:val="C600706A"/>
    <w:lvl w:ilvl="0" w:tplc="590453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E0"/>
    <w:rsid w:val="000D10EB"/>
    <w:rsid w:val="001C589C"/>
    <w:rsid w:val="00464705"/>
    <w:rsid w:val="004A08E0"/>
    <w:rsid w:val="004C0D70"/>
    <w:rsid w:val="006558AA"/>
    <w:rsid w:val="0070088D"/>
    <w:rsid w:val="007317E0"/>
    <w:rsid w:val="00796369"/>
    <w:rsid w:val="007C67BC"/>
    <w:rsid w:val="00815D90"/>
    <w:rsid w:val="00874B76"/>
    <w:rsid w:val="00901D54"/>
    <w:rsid w:val="0097050C"/>
    <w:rsid w:val="00977581"/>
    <w:rsid w:val="0099374A"/>
    <w:rsid w:val="009B3878"/>
    <w:rsid w:val="009F7745"/>
    <w:rsid w:val="00A8212B"/>
    <w:rsid w:val="00BE236A"/>
    <w:rsid w:val="00C5540C"/>
    <w:rsid w:val="00C647C6"/>
    <w:rsid w:val="00C93DB4"/>
    <w:rsid w:val="00CF1B28"/>
    <w:rsid w:val="00D85FD5"/>
    <w:rsid w:val="00E66A08"/>
    <w:rsid w:val="00EC1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164F"/>
  <w15:docId w15:val="{FF9F05F0-8CE9-46D8-A57E-76B3BB06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E0"/>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rial">
    <w:name w:val="Body Arial"/>
    <w:basedOn w:val="Normal"/>
    <w:uiPriority w:val="99"/>
    <w:rsid w:val="007317E0"/>
    <w:pPr>
      <w:spacing w:after="120"/>
      <w:jc w:val="both"/>
    </w:pPr>
    <w:rPr>
      <w:rFonts w:ascii="Calibri" w:eastAsia="MS Mincho" w:hAnsi="Calibri"/>
      <w:sz w:val="20"/>
      <w:szCs w:val="22"/>
      <w:lang w:val="en-CA"/>
    </w:rPr>
  </w:style>
  <w:style w:type="paragraph" w:customStyle="1" w:styleId="FSBodyIndent">
    <w:name w:val="FS Body Indent"/>
    <w:basedOn w:val="NoSpacing"/>
    <w:qFormat/>
    <w:rsid w:val="00977581"/>
    <w:pPr>
      <w:spacing w:before="120" w:after="120"/>
      <w:ind w:left="360"/>
      <w:jc w:val="both"/>
    </w:pPr>
    <w:rPr>
      <w:rFonts w:ascii="Calibri" w:eastAsia="MS Mincho" w:hAnsi="Calibri"/>
      <w:lang w:eastAsia="pt-BR"/>
    </w:rPr>
  </w:style>
  <w:style w:type="paragraph" w:styleId="NoSpacing">
    <w:name w:val="No Spacing"/>
    <w:uiPriority w:val="1"/>
    <w:qFormat/>
    <w:rsid w:val="00977581"/>
    <w:pPr>
      <w:spacing w:after="0" w:line="240" w:lineRule="auto"/>
    </w:pPr>
    <w:rPr>
      <w:rFonts w:ascii="Arial" w:eastAsia="Times New Roman" w:hAnsi="Arial" w:cs="Times New Roman"/>
      <w:szCs w:val="24"/>
      <w:lang w:val="en-US"/>
    </w:rPr>
  </w:style>
  <w:style w:type="paragraph" w:styleId="BodyTextIndent">
    <w:name w:val="Body Text Indent"/>
    <w:basedOn w:val="Normal"/>
    <w:link w:val="BodyTextIndentChar"/>
    <w:uiPriority w:val="99"/>
    <w:rsid w:val="009F7745"/>
    <w:pPr>
      <w:ind w:left="720"/>
    </w:pPr>
    <w:rPr>
      <w:sz w:val="20"/>
    </w:rPr>
  </w:style>
  <w:style w:type="character" w:customStyle="1" w:styleId="BodyTextIndentChar">
    <w:name w:val="Body Text Indent Char"/>
    <w:basedOn w:val="DefaultParagraphFont"/>
    <w:link w:val="BodyTextIndent"/>
    <w:uiPriority w:val="99"/>
    <w:rsid w:val="009F7745"/>
    <w:rPr>
      <w:rFonts w:ascii="Arial" w:eastAsia="Times New Roman" w:hAnsi="Arial" w:cs="Times New Roman"/>
      <w:sz w:val="20"/>
      <w:szCs w:val="24"/>
      <w:lang w:val="en-US"/>
    </w:rPr>
  </w:style>
  <w:style w:type="paragraph" w:styleId="BodyTextIndent2">
    <w:name w:val="Body Text Indent 2"/>
    <w:basedOn w:val="Normal"/>
    <w:link w:val="BodyTextIndent2Char"/>
    <w:uiPriority w:val="99"/>
    <w:rsid w:val="009F7745"/>
    <w:pPr>
      <w:ind w:left="1800"/>
    </w:pPr>
    <w:rPr>
      <w:sz w:val="20"/>
    </w:rPr>
  </w:style>
  <w:style w:type="character" w:customStyle="1" w:styleId="BodyTextIndent2Char">
    <w:name w:val="Body Text Indent 2 Char"/>
    <w:basedOn w:val="DefaultParagraphFont"/>
    <w:link w:val="BodyTextIndent2"/>
    <w:uiPriority w:val="99"/>
    <w:rsid w:val="009F7745"/>
    <w:rPr>
      <w:rFonts w:ascii="Arial" w:eastAsia="Times New Roman" w:hAnsi="Arial" w:cs="Times New Roman"/>
      <w:sz w:val="20"/>
      <w:szCs w:val="24"/>
      <w:lang w:val="en-US"/>
    </w:rPr>
  </w:style>
  <w:style w:type="paragraph" w:customStyle="1" w:styleId="NTitleB">
    <w:name w:val="N Title B"/>
    <w:uiPriority w:val="99"/>
    <w:rsid w:val="009F7745"/>
    <w:pPr>
      <w:keepNext/>
      <w:keepLines/>
      <w:widowControl w:val="0"/>
      <w:tabs>
        <w:tab w:val="left" w:pos="576"/>
      </w:tabs>
      <w:autoSpaceDE w:val="0"/>
      <w:autoSpaceDN w:val="0"/>
      <w:adjustRightInd w:val="0"/>
      <w:spacing w:before="216" w:after="0" w:line="240" w:lineRule="auto"/>
      <w:ind w:left="576" w:hanging="504"/>
    </w:pPr>
    <w:rPr>
      <w:rFonts w:ascii="Arial" w:eastAsia="Times New Roman" w:hAnsi="Arial" w:cs="Arial"/>
      <w:b/>
      <w:bCs/>
      <w:color w:val="000000"/>
      <w:sz w:val="20"/>
      <w:szCs w:val="20"/>
      <w:lang w:val="en-US"/>
    </w:rPr>
  </w:style>
  <w:style w:type="paragraph" w:customStyle="1" w:styleId="Nbody">
    <w:name w:val="N body"/>
    <w:uiPriority w:val="99"/>
    <w:rsid w:val="009F7745"/>
    <w:pPr>
      <w:widowControl w:val="0"/>
      <w:autoSpaceDE w:val="0"/>
      <w:autoSpaceDN w:val="0"/>
      <w:adjustRightInd w:val="0"/>
      <w:spacing w:before="216" w:after="0" w:line="240" w:lineRule="auto"/>
      <w:ind w:left="576"/>
      <w:jc w:val="both"/>
    </w:pPr>
    <w:rPr>
      <w:rFonts w:ascii="Arial" w:eastAsia="Times New Roman" w:hAnsi="Arial" w:cs="Arial"/>
      <w:color w:val="000000"/>
      <w:sz w:val="20"/>
      <w:szCs w:val="20"/>
      <w:lang w:val="en-US"/>
    </w:rPr>
  </w:style>
  <w:style w:type="paragraph" w:customStyle="1" w:styleId="Nbodyindentinput">
    <w:name w:val="N body indent input"/>
    <w:uiPriority w:val="99"/>
    <w:rsid w:val="009F7745"/>
    <w:pPr>
      <w:widowControl w:val="0"/>
      <w:autoSpaceDE w:val="0"/>
      <w:autoSpaceDN w:val="0"/>
      <w:adjustRightInd w:val="0"/>
      <w:spacing w:before="216" w:after="0" w:line="240" w:lineRule="auto"/>
      <w:ind w:left="1440"/>
      <w:jc w:val="both"/>
    </w:pPr>
    <w:rPr>
      <w:rFonts w:ascii="Arial" w:eastAsia="Times New Roman" w:hAnsi="Arial" w:cs="Arial"/>
      <w:color w:val="000000"/>
      <w:sz w:val="20"/>
      <w:szCs w:val="20"/>
      <w:lang w:val="en-US"/>
    </w:rPr>
  </w:style>
  <w:style w:type="paragraph" w:customStyle="1" w:styleId="Default">
    <w:name w:val="Default"/>
    <w:rsid w:val="009F774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link w:val="ListParagraphChar"/>
    <w:uiPriority w:val="34"/>
    <w:qFormat/>
    <w:rsid w:val="009F7745"/>
    <w:pPr>
      <w:ind w:left="720"/>
    </w:pPr>
  </w:style>
  <w:style w:type="character" w:customStyle="1" w:styleId="ListParagraphChar">
    <w:name w:val="List Paragraph Char"/>
    <w:link w:val="ListParagraph"/>
    <w:uiPriority w:val="34"/>
    <w:rsid w:val="009F7745"/>
    <w:rPr>
      <w:rFonts w:ascii="Arial" w:eastAsia="Times New Roman" w:hAnsi="Arial" w:cs="Times New Roman"/>
      <w:szCs w:val="24"/>
      <w:lang w:val="en-US"/>
    </w:rPr>
  </w:style>
  <w:style w:type="paragraph" w:customStyle="1" w:styleId="Ne2">
    <w:name w:val="Ne2"/>
    <w:basedOn w:val="Normal"/>
    <w:uiPriority w:val="99"/>
    <w:rsid w:val="009F7745"/>
    <w:pPr>
      <w:overflowPunct w:val="0"/>
      <w:autoSpaceDE w:val="0"/>
      <w:autoSpaceDN w:val="0"/>
      <w:adjustRightInd w:val="0"/>
      <w:spacing w:before="120" w:line="280" w:lineRule="atLeast"/>
      <w:ind w:left="360"/>
      <w:jc w:val="both"/>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44819">
      <w:bodyDiv w:val="1"/>
      <w:marLeft w:val="0"/>
      <w:marRight w:val="0"/>
      <w:marTop w:val="0"/>
      <w:marBottom w:val="0"/>
      <w:divBdr>
        <w:top w:val="none" w:sz="0" w:space="0" w:color="auto"/>
        <w:left w:val="none" w:sz="0" w:space="0" w:color="auto"/>
        <w:bottom w:val="none" w:sz="0" w:space="0" w:color="auto"/>
        <w:right w:val="none" w:sz="0" w:space="0" w:color="auto"/>
      </w:divBdr>
    </w:div>
    <w:div w:id="606232083">
      <w:bodyDiv w:val="1"/>
      <w:marLeft w:val="0"/>
      <w:marRight w:val="0"/>
      <w:marTop w:val="0"/>
      <w:marBottom w:val="0"/>
      <w:divBdr>
        <w:top w:val="none" w:sz="0" w:space="0" w:color="auto"/>
        <w:left w:val="none" w:sz="0" w:space="0" w:color="auto"/>
        <w:bottom w:val="none" w:sz="0" w:space="0" w:color="auto"/>
        <w:right w:val="none" w:sz="0" w:space="0" w:color="auto"/>
      </w:divBdr>
    </w:div>
    <w:div w:id="815269337">
      <w:bodyDiv w:val="1"/>
      <w:marLeft w:val="0"/>
      <w:marRight w:val="0"/>
      <w:marTop w:val="0"/>
      <w:marBottom w:val="0"/>
      <w:divBdr>
        <w:top w:val="none" w:sz="0" w:space="0" w:color="auto"/>
        <w:left w:val="none" w:sz="0" w:space="0" w:color="auto"/>
        <w:bottom w:val="none" w:sz="0" w:space="0" w:color="auto"/>
        <w:right w:val="none" w:sz="0" w:space="0" w:color="auto"/>
      </w:divBdr>
    </w:div>
    <w:div w:id="1174420801">
      <w:bodyDiv w:val="1"/>
      <w:marLeft w:val="0"/>
      <w:marRight w:val="0"/>
      <w:marTop w:val="0"/>
      <w:marBottom w:val="0"/>
      <w:divBdr>
        <w:top w:val="none" w:sz="0" w:space="0" w:color="auto"/>
        <w:left w:val="none" w:sz="0" w:space="0" w:color="auto"/>
        <w:bottom w:val="none" w:sz="0" w:space="0" w:color="auto"/>
        <w:right w:val="none" w:sz="0" w:space="0" w:color="auto"/>
      </w:divBdr>
    </w:div>
    <w:div w:id="2133551211">
      <w:bodyDiv w:val="1"/>
      <w:marLeft w:val="0"/>
      <w:marRight w:val="0"/>
      <w:marTop w:val="0"/>
      <w:marBottom w:val="0"/>
      <w:divBdr>
        <w:top w:val="none" w:sz="0" w:space="0" w:color="auto"/>
        <w:left w:val="none" w:sz="0" w:space="0" w:color="auto"/>
        <w:bottom w:val="none" w:sz="0" w:space="0" w:color="auto"/>
        <w:right w:val="none" w:sz="0" w:space="0" w:color="auto"/>
      </w:divBdr>
    </w:div>
    <w:div w:id="21390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Laara Shaffer</dc:creator>
  <cp:keywords/>
  <dc:description/>
  <cp:lastModifiedBy>brian Roberts</cp:lastModifiedBy>
  <cp:revision>2</cp:revision>
  <dcterms:created xsi:type="dcterms:W3CDTF">2019-07-29T19:13:00Z</dcterms:created>
  <dcterms:modified xsi:type="dcterms:W3CDTF">2019-07-29T19:13:00Z</dcterms:modified>
</cp:coreProperties>
</file>