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7F13" w14:textId="77777777"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6256DF55"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Number of Outstanding </w:t>
      </w:r>
      <w:r w:rsidR="00C27A18" w:rsidRPr="007B3FA2">
        <w:rPr>
          <w:rFonts w:ascii="Arial" w:hAnsi="Arial" w:cs="Arial"/>
          <w:color w:val="000000"/>
          <w:szCs w:val="24"/>
        </w:rPr>
        <w:t>Listed</w:t>
      </w:r>
      <w:r w:rsidRPr="007B3FA2">
        <w:rPr>
          <w:rFonts w:ascii="Arial" w:hAnsi="Arial" w:cs="Arial"/>
          <w:color w:val="000000"/>
          <w:szCs w:val="24"/>
        </w:rPr>
        <w:t xml:space="preserve"> Securities: </w:t>
      </w:r>
      <w:r w:rsidR="006F7737" w:rsidRPr="006F7737">
        <w:rPr>
          <w:rFonts w:ascii="Arial" w:hAnsi="Arial" w:cs="Arial"/>
          <w:color w:val="000000"/>
          <w:szCs w:val="24"/>
          <w:u w:val="single"/>
        </w:rPr>
        <w:t>40,</w:t>
      </w:r>
      <w:r w:rsidR="00CD340A">
        <w:rPr>
          <w:rFonts w:ascii="Arial" w:hAnsi="Arial" w:cs="Arial"/>
          <w:color w:val="000000"/>
          <w:szCs w:val="24"/>
          <w:u w:val="single"/>
        </w:rPr>
        <w:t>680</w:t>
      </w:r>
      <w:r w:rsidR="006F7737" w:rsidRPr="006F7737">
        <w:rPr>
          <w:rFonts w:ascii="Arial" w:hAnsi="Arial" w:cs="Arial"/>
          <w:color w:val="000000"/>
          <w:szCs w:val="24"/>
          <w:u w:val="single"/>
        </w:rPr>
        <w:t>,</w:t>
      </w:r>
      <w:r w:rsidR="00CD340A">
        <w:rPr>
          <w:rFonts w:ascii="Arial" w:hAnsi="Arial" w:cs="Arial"/>
          <w:color w:val="000000"/>
          <w:szCs w:val="24"/>
          <w:u w:val="single"/>
        </w:rPr>
        <w:t>364</w:t>
      </w:r>
      <w:r w:rsidR="006F7737">
        <w:rPr>
          <w:rFonts w:ascii="Arial" w:hAnsi="Arial" w:cs="Arial"/>
          <w:color w:val="000000"/>
          <w:szCs w:val="24"/>
          <w:u w:val="single"/>
        </w:rPr>
        <w:t xml:space="preserve"> </w:t>
      </w:r>
      <w:r w:rsidR="00C0678E" w:rsidRPr="007B3FA2">
        <w:rPr>
          <w:rFonts w:ascii="Arial" w:hAnsi="Arial" w:cs="Arial"/>
          <w:color w:val="000000"/>
          <w:szCs w:val="24"/>
          <w:u w:val="single"/>
        </w:rPr>
        <w:t>Common Shares</w:t>
      </w:r>
      <w:r w:rsidRPr="007B3FA2">
        <w:rPr>
          <w:rFonts w:ascii="Arial" w:hAnsi="Arial" w:cs="Arial"/>
          <w:color w:val="000000"/>
          <w:szCs w:val="24"/>
          <w:u w:val="single"/>
        </w:rPr>
        <w:tab/>
      </w:r>
      <w:r w:rsidRPr="007B3FA2">
        <w:rPr>
          <w:rFonts w:ascii="Arial" w:hAnsi="Arial" w:cs="Arial"/>
          <w:color w:val="000000"/>
          <w:szCs w:val="24"/>
          <w:u w:val="single"/>
        </w:rPr>
        <w:tab/>
      </w:r>
    </w:p>
    <w:p w14:paraId="24619AA5" w14:textId="11285119"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Date: </w:t>
      </w:r>
      <w:r w:rsidR="00B23CA4">
        <w:rPr>
          <w:rFonts w:ascii="Arial" w:hAnsi="Arial" w:cs="Arial"/>
          <w:color w:val="000000"/>
          <w:szCs w:val="24"/>
          <w:u w:val="single"/>
        </w:rPr>
        <w:t>June 8</w:t>
      </w:r>
      <w:r w:rsidR="00C76E14">
        <w:rPr>
          <w:rFonts w:ascii="Arial" w:hAnsi="Arial" w:cs="Arial"/>
          <w:color w:val="000000"/>
          <w:szCs w:val="24"/>
          <w:u w:val="single"/>
        </w:rPr>
        <w:t>, 2021</w:t>
      </w:r>
      <w:r w:rsidRPr="007B3FA2">
        <w:rPr>
          <w:rFonts w:ascii="Arial" w:hAnsi="Arial" w:cs="Arial"/>
          <w:color w:val="000000"/>
          <w:szCs w:val="24"/>
          <w:u w:val="single"/>
        </w:rPr>
        <w:tab/>
      </w:r>
      <w:r w:rsidRPr="007B3FA2">
        <w:rPr>
          <w:rFonts w:ascii="Arial" w:hAnsi="Arial" w:cs="Arial"/>
          <w:color w:val="000000"/>
          <w:szCs w:val="24"/>
          <w:u w:val="single"/>
        </w:rP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72DC36EF"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1752EDBA"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lastRenderedPageBreak/>
        <w:t xml:space="preserve">During the month of </w:t>
      </w:r>
      <w:r w:rsidR="00B23CA4">
        <w:rPr>
          <w:rFonts w:ascii="Arial" w:hAnsi="Arial" w:cs="Arial"/>
          <w:b/>
          <w:bCs/>
          <w:szCs w:val="24"/>
        </w:rPr>
        <w:t>May</w:t>
      </w:r>
      <w:r w:rsidR="0039529A" w:rsidRPr="007B3FA2">
        <w:rPr>
          <w:rFonts w:ascii="Arial" w:hAnsi="Arial" w:cs="Arial"/>
          <w:b/>
          <w:bCs/>
          <w:szCs w:val="24"/>
        </w:rPr>
        <w:t xml:space="preserve"> the </w:t>
      </w:r>
      <w:r>
        <w:rPr>
          <w:rFonts w:ascii="Arial" w:hAnsi="Arial" w:cs="Arial"/>
          <w:b/>
          <w:bCs/>
          <w:szCs w:val="24"/>
        </w:rPr>
        <w:t xml:space="preserve">Issuer </w:t>
      </w:r>
      <w:r w:rsidR="0039529A" w:rsidRPr="007B3FA2">
        <w:rPr>
          <w:rFonts w:ascii="Arial" w:hAnsi="Arial" w:cs="Arial"/>
          <w:b/>
          <w:bCs/>
          <w:szCs w:val="24"/>
        </w:rPr>
        <w:t xml:space="preserve">continued its business development objectives of </w:t>
      </w:r>
      <w:r w:rsidR="00E90E85">
        <w:rPr>
          <w:rFonts w:ascii="Arial" w:hAnsi="Arial" w:cs="Arial"/>
          <w:b/>
          <w:bCs/>
          <w:szCs w:val="24"/>
        </w:rPr>
        <w:t xml:space="preserve">assessing development and redevelopment of </w:t>
      </w:r>
      <w:r w:rsidR="001545BD">
        <w:rPr>
          <w:rFonts w:ascii="Arial" w:hAnsi="Arial" w:cs="Arial"/>
          <w:b/>
          <w:bCs/>
          <w:szCs w:val="24"/>
        </w:rPr>
        <w:t xml:space="preserve">its current </w:t>
      </w:r>
      <w:r>
        <w:rPr>
          <w:rFonts w:ascii="Arial" w:hAnsi="Arial" w:cs="Arial"/>
          <w:b/>
          <w:bCs/>
          <w:szCs w:val="24"/>
        </w:rPr>
        <w:t xml:space="preserve">oil and gas </w:t>
      </w:r>
      <w:r w:rsidR="001545BD">
        <w:rPr>
          <w:rFonts w:ascii="Arial" w:hAnsi="Arial" w:cs="Arial"/>
          <w:b/>
          <w:bCs/>
          <w:szCs w:val="24"/>
        </w:rPr>
        <w:t>properties</w:t>
      </w:r>
      <w:r w:rsidR="00C76E14">
        <w:rPr>
          <w:rFonts w:ascii="Arial" w:hAnsi="Arial" w:cs="Arial"/>
          <w:b/>
          <w:bCs/>
          <w:szCs w:val="24"/>
        </w:rPr>
        <w:t xml:space="preserve"> as well as reviewing additional oil and gas properties for possible </w:t>
      </w:r>
      <w:r w:rsidR="00E90E85">
        <w:rPr>
          <w:rFonts w:ascii="Arial" w:hAnsi="Arial" w:cs="Arial"/>
          <w:b/>
          <w:bCs/>
          <w:szCs w:val="24"/>
        </w:rPr>
        <w:t>acquisitions. The</w:t>
      </w:r>
      <w:r w:rsidR="00967F1F">
        <w:rPr>
          <w:rFonts w:ascii="Arial" w:hAnsi="Arial" w:cs="Arial"/>
          <w:b/>
          <w:bCs/>
          <w:szCs w:val="24"/>
        </w:rPr>
        <w:t xml:space="preserve"> issuer continued in</w:t>
      </w:r>
      <w:r w:rsidR="0039529A" w:rsidRPr="007B3FA2">
        <w:rPr>
          <w:rFonts w:ascii="Arial" w:hAnsi="Arial" w:cs="Arial"/>
          <w:b/>
          <w:bCs/>
          <w:szCs w:val="24"/>
        </w:rPr>
        <w:t xml:space="preserve">creasing </w:t>
      </w:r>
      <w:r w:rsidR="00E90E85">
        <w:rPr>
          <w:rFonts w:ascii="Arial" w:hAnsi="Arial" w:cs="Arial"/>
          <w:b/>
          <w:bCs/>
          <w:szCs w:val="24"/>
        </w:rPr>
        <w:t xml:space="preserve">its </w:t>
      </w:r>
      <w:r w:rsidR="0039529A" w:rsidRPr="007B3FA2">
        <w:rPr>
          <w:rFonts w:ascii="Arial" w:hAnsi="Arial" w:cs="Arial"/>
          <w:b/>
          <w:bCs/>
          <w:szCs w:val="24"/>
        </w:rPr>
        <w:t xml:space="preserve">corporate brand </w:t>
      </w:r>
      <w:r w:rsidR="00967F1F">
        <w:rPr>
          <w:rFonts w:ascii="Arial" w:hAnsi="Arial" w:cs="Arial"/>
          <w:b/>
          <w:bCs/>
          <w:szCs w:val="24"/>
        </w:rPr>
        <w:t>awareness</w:t>
      </w:r>
      <w:r w:rsidR="005D1818">
        <w:rPr>
          <w:rFonts w:ascii="Arial" w:hAnsi="Arial" w:cs="Arial"/>
          <w:b/>
          <w:bCs/>
          <w:szCs w:val="24"/>
        </w:rPr>
        <w:t xml:space="preserve"> as well as launching a new investor relations website.</w:t>
      </w:r>
      <w:r w:rsidR="00967F1F">
        <w:rPr>
          <w:rFonts w:ascii="Arial" w:hAnsi="Arial" w:cs="Arial"/>
          <w:b/>
          <w:bCs/>
          <w:szCs w:val="24"/>
        </w:rPr>
        <w:t xml:space="preserve">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54782B62"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p>
    <w:p w14:paraId="4D8FCCBF" w14:textId="30129702" w:rsidR="00BC5EA0" w:rsidRPr="009E7F6B" w:rsidRDefault="009E7F6B" w:rsidP="00B44810">
      <w:pPr>
        <w:pStyle w:val="List"/>
        <w:numPr>
          <w:ilvl w:val="0"/>
          <w:numId w:val="28"/>
        </w:numPr>
        <w:spacing w:before="120"/>
        <w:jc w:val="both"/>
        <w:rPr>
          <w:rFonts w:ascii="Arial" w:hAnsi="Arial" w:cs="Arial"/>
          <w:b/>
        </w:rPr>
      </w:pPr>
      <w:r w:rsidRPr="007B3FA2">
        <w:rPr>
          <w:rFonts w:ascii="Arial" w:hAnsi="Arial" w:cs="Arial"/>
          <w:szCs w:val="24"/>
        </w:rPr>
        <w:t xml:space="preserve">Describe and provide details of any new products or services developed or offered. </w:t>
      </w:r>
      <w:r>
        <w:rPr>
          <w:rFonts w:ascii="Arial" w:hAnsi="Arial" w:cs="Arial"/>
          <w:szCs w:val="24"/>
        </w:rPr>
        <w:t xml:space="preserve">For </w:t>
      </w:r>
      <w:r w:rsidR="00640E94" w:rsidRPr="007B3FA2">
        <w:rPr>
          <w:rFonts w:ascii="Arial" w:hAnsi="Arial" w:cs="Arial"/>
          <w:szCs w:val="24"/>
        </w:rPr>
        <w:t xml:space="preserve">resource companies, provide details of new drilling, exploration or production programs and acquisitions of any new properties </w:t>
      </w:r>
      <w:r w:rsidR="00640E94" w:rsidRPr="00C471C6">
        <w:rPr>
          <w:rFonts w:ascii="Arial" w:hAnsi="Arial" w:cs="Arial"/>
          <w:szCs w:val="24"/>
        </w:rPr>
        <w:t>and attach any mineral or oil and gas or other reports required under Ontario securities law.</w:t>
      </w:r>
      <w:r w:rsidR="00D13F86" w:rsidRPr="00C471C6">
        <w:rPr>
          <w:rFonts w:ascii="Arial" w:hAnsi="Arial" w:cs="Arial"/>
          <w:szCs w:val="24"/>
        </w:rPr>
        <w:t xml:space="preserve"> </w:t>
      </w:r>
      <w:r w:rsidR="00AA1B39">
        <w:rPr>
          <w:rFonts w:ascii="Arial" w:hAnsi="Arial" w:cs="Arial"/>
          <w:b/>
          <w:bCs/>
          <w:szCs w:val="24"/>
        </w:rPr>
        <w:t>N/A</w:t>
      </w:r>
      <w:r w:rsidR="008F0BDE">
        <w:rPr>
          <w:rFonts w:ascii="Arial" w:hAnsi="Arial" w:cs="Arial"/>
          <w:b/>
          <w:bCs/>
          <w:szCs w:val="24"/>
        </w:rPr>
        <w:t xml:space="preserve"> </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6480052A" w14:textId="4F024141" w:rsidR="00640E94" w:rsidRPr="008F0BDE" w:rsidRDefault="00640E94" w:rsidP="00FE6C5F">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p>
    <w:p w14:paraId="248E3CD9" w14:textId="3346D939" w:rsidR="008F0BDE" w:rsidRDefault="00AA1B39" w:rsidP="008F0BDE">
      <w:pPr>
        <w:pStyle w:val="List"/>
        <w:spacing w:before="120"/>
        <w:ind w:left="720" w:firstLine="0"/>
        <w:jc w:val="both"/>
        <w:rPr>
          <w:rFonts w:ascii="Arial" w:hAnsi="Arial" w:cs="Arial"/>
          <w:szCs w:val="24"/>
        </w:rPr>
      </w:pPr>
      <w:r>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6D0792C5"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p>
    <w:p w14:paraId="56967B76" w14:textId="51C78883" w:rsidR="00E90E85" w:rsidRDefault="00E90E85" w:rsidP="00E90E85">
      <w:pPr>
        <w:pStyle w:val="List"/>
        <w:spacing w:before="120"/>
        <w:ind w:left="720" w:firstLine="0"/>
        <w:jc w:val="both"/>
        <w:rPr>
          <w:rFonts w:ascii="Arial" w:hAnsi="Arial" w:cs="Arial"/>
          <w:b/>
          <w:szCs w:val="24"/>
        </w:rPr>
      </w:pPr>
      <w:r>
        <w:rPr>
          <w:rFonts w:ascii="Arial" w:hAnsi="Arial" w:cs="Arial"/>
          <w:b/>
          <w:bCs/>
          <w:szCs w:val="24"/>
          <w:lang w:val="en-US"/>
        </w:rPr>
        <w:t xml:space="preserve">The Company acquired varies Royalty Interests (“RI”) </w:t>
      </w:r>
      <w:r w:rsidR="005D1818">
        <w:rPr>
          <w:rFonts w:ascii="Arial" w:hAnsi="Arial" w:cs="Arial"/>
          <w:b/>
          <w:bCs/>
          <w:szCs w:val="24"/>
          <w:lang w:val="en-US"/>
        </w:rPr>
        <w:t>in</w:t>
      </w:r>
      <w:r>
        <w:rPr>
          <w:rFonts w:ascii="Arial" w:hAnsi="Arial" w:cs="Arial"/>
          <w:b/>
          <w:bCs/>
          <w:szCs w:val="24"/>
          <w:lang w:val="en-US"/>
        </w:rPr>
        <w:t xml:space="preserve"> oil and gas producing properties located in</w:t>
      </w:r>
      <w:r w:rsidR="005D1818">
        <w:rPr>
          <w:rFonts w:ascii="Arial" w:hAnsi="Arial" w:cs="Arial"/>
          <w:b/>
          <w:bCs/>
          <w:szCs w:val="24"/>
          <w:lang w:val="en-US"/>
        </w:rPr>
        <w:t xml:space="preserve"> Texas</w:t>
      </w:r>
      <w:r>
        <w:rPr>
          <w:rFonts w:ascii="Arial" w:hAnsi="Arial" w:cs="Arial"/>
          <w:b/>
          <w:bCs/>
          <w:szCs w:val="24"/>
          <w:lang w:val="en-US"/>
        </w:rPr>
        <w:t xml:space="preserve"> for a combined consideration of $</w:t>
      </w:r>
      <w:r w:rsidR="008F4ADF">
        <w:rPr>
          <w:rFonts w:ascii="Arial" w:hAnsi="Arial" w:cs="Arial"/>
          <w:b/>
          <w:bCs/>
          <w:szCs w:val="24"/>
          <w:lang w:val="en-US"/>
        </w:rPr>
        <w:t>2</w:t>
      </w:r>
      <w:r w:rsidR="00B23CA4">
        <w:rPr>
          <w:rFonts w:ascii="Arial" w:hAnsi="Arial" w:cs="Arial"/>
          <w:b/>
          <w:bCs/>
          <w:szCs w:val="24"/>
          <w:lang w:val="en-US"/>
        </w:rPr>
        <w:t>4</w:t>
      </w:r>
      <w:r w:rsidR="008F4ADF">
        <w:rPr>
          <w:rFonts w:ascii="Arial" w:hAnsi="Arial" w:cs="Arial"/>
          <w:b/>
          <w:bCs/>
          <w:szCs w:val="24"/>
          <w:lang w:val="en-US"/>
        </w:rPr>
        <w:t>,</w:t>
      </w:r>
      <w:r w:rsidR="00B23CA4">
        <w:rPr>
          <w:rFonts w:ascii="Arial" w:hAnsi="Arial" w:cs="Arial"/>
          <w:b/>
          <w:bCs/>
          <w:szCs w:val="24"/>
          <w:lang w:val="en-US"/>
        </w:rPr>
        <w:t>000</w:t>
      </w:r>
      <w:r w:rsidR="008F4ADF">
        <w:rPr>
          <w:rFonts w:ascii="Arial" w:hAnsi="Arial" w:cs="Arial"/>
          <w:b/>
          <w:bCs/>
          <w:szCs w:val="24"/>
          <w:lang w:val="en-US"/>
        </w:rPr>
        <w:t>.00</w:t>
      </w:r>
      <w:r>
        <w:rPr>
          <w:rFonts w:ascii="Arial" w:hAnsi="Arial" w:cs="Arial"/>
          <w:b/>
          <w:bCs/>
          <w:szCs w:val="24"/>
          <w:lang w:val="en-US"/>
        </w:rPr>
        <w:t xml:space="preserve"> USD from a Non-Related company. These assets are being operated by </w:t>
      </w:r>
      <w:r w:rsidR="00B23CA4">
        <w:rPr>
          <w:rFonts w:ascii="Arial" w:hAnsi="Arial" w:cs="Arial"/>
          <w:b/>
          <w:bCs/>
          <w:szCs w:val="24"/>
          <w:lang w:val="en-US"/>
        </w:rPr>
        <w:t>EOG Resources of Houston, Texas.</w:t>
      </w:r>
      <w:r>
        <w:rPr>
          <w:rFonts w:ascii="Arial" w:hAnsi="Arial" w:cs="Arial"/>
          <w:b/>
          <w:bCs/>
          <w:szCs w:val="24"/>
          <w:lang w:val="en-US"/>
        </w:rPr>
        <w:t xml:space="preserve"> </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77777777" w:rsidR="004B6C8C" w:rsidRPr="004B4F7B"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lastRenderedPageBreak/>
        <w:t>Report on any employee hirings, terminations or lay-offs with details of anticipated length of lay-offs.</w:t>
      </w:r>
      <w:r w:rsidR="004B4F7B">
        <w:rPr>
          <w:rFonts w:ascii="Arial" w:hAnsi="Arial" w:cs="Arial"/>
          <w:szCs w:val="24"/>
        </w:rPr>
        <w:t xml:space="preserve"> </w:t>
      </w:r>
      <w:r w:rsidR="004B4F7B" w:rsidRPr="004B4F7B">
        <w:rPr>
          <w:rFonts w:ascii="Arial" w:hAnsi="Arial" w:cs="Arial"/>
          <w:b/>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7ADED0F0"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company continued to expedite servicing its accounts payable through funds received from the divestiture. </w:t>
      </w:r>
    </w:p>
    <w:p w14:paraId="4818BF90" w14:textId="0F9120D9" w:rsidR="002D4767" w:rsidRPr="009D1BE3"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77777777" w:rsidR="00640E94" w:rsidRPr="000C06B6"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F310D50" w14:textId="23B24318" w:rsidR="008F7BB3" w:rsidRPr="006330F3" w:rsidRDefault="00640E94" w:rsidP="006330F3">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67D863B1" w14:textId="7777777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567462" w:rsidRPr="000C06B6">
        <w:rPr>
          <w:rFonts w:ascii="Arial" w:hAnsi="Arial" w:cs="Arial"/>
          <w:b/>
          <w:szCs w:val="24"/>
        </w:rPr>
        <w:t>N/A</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21EEDBDE" w:rsidR="00640E94" w:rsidRPr="007B3FA2" w:rsidRDefault="00640E94">
      <w:pPr>
        <w:pStyle w:val="BodyText"/>
        <w:tabs>
          <w:tab w:val="left" w:pos="4680"/>
          <w:tab w:val="left" w:pos="7200"/>
        </w:tabs>
        <w:spacing w:before="480"/>
        <w:jc w:val="both"/>
        <w:rPr>
          <w:rFonts w:ascii="Arial" w:hAnsi="Arial" w:cs="Arial"/>
          <w:szCs w:val="24"/>
        </w:rPr>
      </w:pPr>
      <w:r w:rsidRPr="007B3FA2">
        <w:rPr>
          <w:rFonts w:ascii="Arial" w:hAnsi="Arial" w:cs="Arial"/>
          <w:szCs w:val="24"/>
        </w:rPr>
        <w:t xml:space="preserve">Dated </w:t>
      </w:r>
      <w:r w:rsidR="00B23CA4">
        <w:rPr>
          <w:rFonts w:ascii="Arial" w:hAnsi="Arial" w:cs="Arial"/>
          <w:szCs w:val="24"/>
          <w:u w:val="single"/>
        </w:rPr>
        <w:t>June 8</w:t>
      </w:r>
      <w:r w:rsidR="00593224">
        <w:rPr>
          <w:rFonts w:ascii="Arial" w:hAnsi="Arial" w:cs="Arial"/>
          <w:szCs w:val="24"/>
          <w:u w:val="single"/>
        </w:rPr>
        <w:t>,</w:t>
      </w:r>
      <w:r w:rsidR="00CD4B61" w:rsidRPr="007B3FA2">
        <w:rPr>
          <w:rFonts w:ascii="Arial" w:hAnsi="Arial" w:cs="Arial"/>
          <w:szCs w:val="24"/>
          <w:u w:val="single"/>
        </w:rPr>
        <w:t xml:space="preserve"> 20</w:t>
      </w:r>
      <w:r w:rsidR="00400797">
        <w:rPr>
          <w:rFonts w:ascii="Arial" w:hAnsi="Arial" w:cs="Arial"/>
          <w:szCs w:val="24"/>
          <w:u w:val="single"/>
        </w:rPr>
        <w:t>2</w:t>
      </w:r>
      <w:r w:rsidR="00E46782">
        <w:rPr>
          <w:rFonts w:ascii="Arial" w:hAnsi="Arial" w:cs="Arial"/>
          <w:szCs w:val="24"/>
          <w:u w:val="single"/>
        </w:rPr>
        <w:t>1</w:t>
      </w:r>
      <w:r w:rsidRPr="007B3FA2">
        <w:rPr>
          <w:rFonts w:ascii="Arial" w:hAnsi="Arial" w:cs="Arial"/>
          <w:szCs w:val="24"/>
          <w:u w:val="single"/>
        </w:rPr>
        <w:tab/>
      </w:r>
      <w:r w:rsidRPr="007B3FA2">
        <w:rPr>
          <w:rFonts w:ascii="Arial" w:hAnsi="Arial" w:cs="Arial"/>
          <w:szCs w:val="24"/>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055FE242"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B23CA4">
              <w:rPr>
                <w:rFonts w:ascii="Arial" w:hAnsi="Arial" w:cs="Arial"/>
                <w:szCs w:val="24"/>
              </w:rPr>
              <w:t>May</w:t>
            </w:r>
            <w:r w:rsidR="00C76E14">
              <w:rPr>
                <w:rFonts w:ascii="Arial" w:hAnsi="Arial" w:cs="Arial"/>
                <w:szCs w:val="24"/>
              </w:rPr>
              <w:t xml:space="preserve"> 2021</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658778B0" w:rsidR="00CD4B61" w:rsidRPr="007B3FA2" w:rsidRDefault="006C3A22" w:rsidP="00B44810">
            <w:pPr>
              <w:pStyle w:val="BodyText"/>
              <w:spacing w:before="0"/>
              <w:rPr>
                <w:rFonts w:ascii="Arial" w:hAnsi="Arial" w:cs="Arial"/>
                <w:szCs w:val="24"/>
              </w:rPr>
            </w:pPr>
            <w:r>
              <w:rPr>
                <w:rFonts w:ascii="Arial" w:hAnsi="Arial" w:cs="Arial"/>
                <w:szCs w:val="24"/>
              </w:rPr>
              <w:t>202</w:t>
            </w:r>
            <w:r w:rsidR="00AA1B39">
              <w:rPr>
                <w:rFonts w:ascii="Arial" w:hAnsi="Arial" w:cs="Arial"/>
                <w:szCs w:val="24"/>
              </w:rPr>
              <w:t>1</w:t>
            </w:r>
            <w:r w:rsidR="002D4767">
              <w:rPr>
                <w:rFonts w:ascii="Arial" w:hAnsi="Arial" w:cs="Arial"/>
                <w:szCs w:val="24"/>
              </w:rPr>
              <w:t>/</w:t>
            </w:r>
            <w:r>
              <w:rPr>
                <w:rFonts w:ascii="Arial" w:hAnsi="Arial" w:cs="Arial"/>
                <w:szCs w:val="24"/>
              </w:rPr>
              <w:t>0</w:t>
            </w:r>
            <w:r w:rsidR="00B23CA4">
              <w:rPr>
                <w:rFonts w:ascii="Arial" w:hAnsi="Arial" w:cs="Arial"/>
                <w:szCs w:val="24"/>
              </w:rPr>
              <w:t>6</w:t>
            </w:r>
            <w:r w:rsidR="002D4767">
              <w:rPr>
                <w:rFonts w:ascii="Arial" w:hAnsi="Arial" w:cs="Arial"/>
                <w:szCs w:val="24"/>
              </w:rPr>
              <w:t>/</w:t>
            </w:r>
            <w:r w:rsidR="00B23CA4">
              <w:rPr>
                <w:rFonts w:ascii="Arial" w:hAnsi="Arial" w:cs="Arial"/>
                <w:szCs w:val="24"/>
              </w:rPr>
              <w:t>08</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72ADBBFB" w:rsidR="00CD4B61" w:rsidRPr="007B3FA2" w:rsidRDefault="005D1818">
            <w:pPr>
              <w:pStyle w:val="BodyText"/>
              <w:spacing w:before="0"/>
              <w:rPr>
                <w:rFonts w:ascii="Arial" w:hAnsi="Arial" w:cs="Arial"/>
                <w:szCs w:val="24"/>
              </w:rPr>
            </w:pPr>
            <w:r>
              <w:rPr>
                <w:rFonts w:ascii="Arial" w:hAnsi="Arial" w:cs="Arial"/>
                <w:szCs w:val="24"/>
              </w:rPr>
              <w:t>214</w:t>
            </w:r>
            <w:r w:rsidR="00593224">
              <w:rPr>
                <w:rFonts w:ascii="Arial" w:hAnsi="Arial" w:cs="Arial"/>
                <w:szCs w:val="24"/>
              </w:rPr>
              <w:t>-</w:t>
            </w:r>
            <w:r>
              <w:rPr>
                <w:rFonts w:ascii="Arial" w:hAnsi="Arial" w:cs="Arial"/>
                <w:szCs w:val="24"/>
              </w:rPr>
              <w:t>459</w:t>
            </w:r>
            <w:r w:rsidR="00593224">
              <w:rPr>
                <w:rFonts w:ascii="Arial" w:hAnsi="Arial" w:cs="Arial"/>
                <w:szCs w:val="24"/>
              </w:rPr>
              <w:t>-</w:t>
            </w:r>
            <w:r>
              <w:rPr>
                <w:rFonts w:ascii="Arial" w:hAnsi="Arial" w:cs="Arial"/>
                <w:szCs w:val="24"/>
              </w:rPr>
              <w:t>2782</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6E655C">
            <w:pPr>
              <w:pStyle w:val="BodyText"/>
              <w:spacing w:before="0"/>
              <w:rPr>
                <w:rFonts w:ascii="Arial" w:hAnsi="Arial" w:cs="Arial"/>
                <w:szCs w:val="24"/>
              </w:rPr>
            </w:pPr>
            <w:hyperlink r:id="rId7"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6E655C" w:rsidP="00CD4B61">
            <w:pPr>
              <w:pStyle w:val="BodyText"/>
              <w:spacing w:before="0"/>
              <w:rPr>
                <w:rFonts w:ascii="Arial" w:hAnsi="Arial" w:cs="Arial"/>
                <w:szCs w:val="24"/>
              </w:rPr>
            </w:pPr>
            <w:hyperlink r:id="rId8"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8FBF" w14:textId="77777777" w:rsidR="006E655C" w:rsidRDefault="006E655C">
      <w:r>
        <w:separator/>
      </w:r>
    </w:p>
  </w:endnote>
  <w:endnote w:type="continuationSeparator" w:id="0">
    <w:p w14:paraId="02CF0D6F" w14:textId="77777777" w:rsidR="006E655C" w:rsidRDefault="006E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C2DB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85C086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E6A9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6D0A" w14:textId="77777777" w:rsidR="006E655C" w:rsidRDefault="006E655C">
      <w:r>
        <w:separator/>
      </w:r>
    </w:p>
  </w:footnote>
  <w:footnote w:type="continuationSeparator" w:id="0">
    <w:p w14:paraId="7D002952" w14:textId="77777777" w:rsidR="006E655C" w:rsidRDefault="006E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537F7"/>
    <w:rsid w:val="000724C9"/>
    <w:rsid w:val="000730FD"/>
    <w:rsid w:val="000859C9"/>
    <w:rsid w:val="000A1AB1"/>
    <w:rsid w:val="000A435F"/>
    <w:rsid w:val="000C06B6"/>
    <w:rsid w:val="000C1FE7"/>
    <w:rsid w:val="000E0B11"/>
    <w:rsid w:val="00102F51"/>
    <w:rsid w:val="00123927"/>
    <w:rsid w:val="001545BD"/>
    <w:rsid w:val="00172150"/>
    <w:rsid w:val="00194858"/>
    <w:rsid w:val="001A4407"/>
    <w:rsid w:val="001D3BAA"/>
    <w:rsid w:val="001D7429"/>
    <w:rsid w:val="002058B0"/>
    <w:rsid w:val="002218EC"/>
    <w:rsid w:val="00221C82"/>
    <w:rsid w:val="00246C09"/>
    <w:rsid w:val="002A0024"/>
    <w:rsid w:val="002C281E"/>
    <w:rsid w:val="002D4767"/>
    <w:rsid w:val="002F00EB"/>
    <w:rsid w:val="002F2467"/>
    <w:rsid w:val="002F4850"/>
    <w:rsid w:val="003208DE"/>
    <w:rsid w:val="003605C4"/>
    <w:rsid w:val="003669A9"/>
    <w:rsid w:val="00371A64"/>
    <w:rsid w:val="00387FA8"/>
    <w:rsid w:val="00390905"/>
    <w:rsid w:val="00391D2C"/>
    <w:rsid w:val="0039529A"/>
    <w:rsid w:val="003A03C1"/>
    <w:rsid w:val="003C4B2F"/>
    <w:rsid w:val="003C5177"/>
    <w:rsid w:val="003E6CB9"/>
    <w:rsid w:val="003F436A"/>
    <w:rsid w:val="00400797"/>
    <w:rsid w:val="00442812"/>
    <w:rsid w:val="00445A19"/>
    <w:rsid w:val="0045699F"/>
    <w:rsid w:val="00495384"/>
    <w:rsid w:val="004B090F"/>
    <w:rsid w:val="004B4F7B"/>
    <w:rsid w:val="004B6C8C"/>
    <w:rsid w:val="004D320E"/>
    <w:rsid w:val="004D3785"/>
    <w:rsid w:val="004D74C5"/>
    <w:rsid w:val="004E54C9"/>
    <w:rsid w:val="004F4BD2"/>
    <w:rsid w:val="00505A59"/>
    <w:rsid w:val="00512CC8"/>
    <w:rsid w:val="005225AD"/>
    <w:rsid w:val="00532B3C"/>
    <w:rsid w:val="005453C8"/>
    <w:rsid w:val="00552765"/>
    <w:rsid w:val="0056548A"/>
    <w:rsid w:val="00567462"/>
    <w:rsid w:val="005717F4"/>
    <w:rsid w:val="00576885"/>
    <w:rsid w:val="00591ACB"/>
    <w:rsid w:val="00593224"/>
    <w:rsid w:val="00594738"/>
    <w:rsid w:val="005A2482"/>
    <w:rsid w:val="005A24AC"/>
    <w:rsid w:val="005B2B49"/>
    <w:rsid w:val="005C2AA3"/>
    <w:rsid w:val="005C6264"/>
    <w:rsid w:val="005D1818"/>
    <w:rsid w:val="005E7D04"/>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76E4D"/>
    <w:rsid w:val="006848A0"/>
    <w:rsid w:val="00684A21"/>
    <w:rsid w:val="00696201"/>
    <w:rsid w:val="006C3A22"/>
    <w:rsid w:val="006D1A06"/>
    <w:rsid w:val="006E2DC1"/>
    <w:rsid w:val="006E368F"/>
    <w:rsid w:val="006E655C"/>
    <w:rsid w:val="006F5510"/>
    <w:rsid w:val="006F6552"/>
    <w:rsid w:val="006F7737"/>
    <w:rsid w:val="00730201"/>
    <w:rsid w:val="00737342"/>
    <w:rsid w:val="007429D7"/>
    <w:rsid w:val="00752924"/>
    <w:rsid w:val="00762D21"/>
    <w:rsid w:val="00765C57"/>
    <w:rsid w:val="00775D15"/>
    <w:rsid w:val="0078039C"/>
    <w:rsid w:val="00792E18"/>
    <w:rsid w:val="007B35F6"/>
    <w:rsid w:val="007B3F6C"/>
    <w:rsid w:val="007B3FA2"/>
    <w:rsid w:val="007C68B4"/>
    <w:rsid w:val="007D7359"/>
    <w:rsid w:val="00830A2F"/>
    <w:rsid w:val="008974F9"/>
    <w:rsid w:val="008A48B7"/>
    <w:rsid w:val="008A586C"/>
    <w:rsid w:val="008B7E92"/>
    <w:rsid w:val="008C1C7B"/>
    <w:rsid w:val="008F0BDE"/>
    <w:rsid w:val="008F4ADF"/>
    <w:rsid w:val="008F7BB3"/>
    <w:rsid w:val="00913D98"/>
    <w:rsid w:val="00922A46"/>
    <w:rsid w:val="009447B7"/>
    <w:rsid w:val="00967F1F"/>
    <w:rsid w:val="00993090"/>
    <w:rsid w:val="009D1BE3"/>
    <w:rsid w:val="009E7F6B"/>
    <w:rsid w:val="00A0730F"/>
    <w:rsid w:val="00A14103"/>
    <w:rsid w:val="00A16012"/>
    <w:rsid w:val="00A20740"/>
    <w:rsid w:val="00A248D7"/>
    <w:rsid w:val="00A47914"/>
    <w:rsid w:val="00A4792F"/>
    <w:rsid w:val="00A92DE2"/>
    <w:rsid w:val="00A971D9"/>
    <w:rsid w:val="00AA1B39"/>
    <w:rsid w:val="00AB270F"/>
    <w:rsid w:val="00AB7AA2"/>
    <w:rsid w:val="00AC1E54"/>
    <w:rsid w:val="00AC386F"/>
    <w:rsid w:val="00AC4321"/>
    <w:rsid w:val="00B23CA4"/>
    <w:rsid w:val="00B24E80"/>
    <w:rsid w:val="00B35F4A"/>
    <w:rsid w:val="00B44810"/>
    <w:rsid w:val="00B46923"/>
    <w:rsid w:val="00B603CC"/>
    <w:rsid w:val="00B67D7B"/>
    <w:rsid w:val="00B704F6"/>
    <w:rsid w:val="00B71F60"/>
    <w:rsid w:val="00B8047A"/>
    <w:rsid w:val="00B96033"/>
    <w:rsid w:val="00B973A3"/>
    <w:rsid w:val="00BC5EA0"/>
    <w:rsid w:val="00BD43DF"/>
    <w:rsid w:val="00BE19A9"/>
    <w:rsid w:val="00C0678E"/>
    <w:rsid w:val="00C27A18"/>
    <w:rsid w:val="00C304F9"/>
    <w:rsid w:val="00C43B3A"/>
    <w:rsid w:val="00C471C6"/>
    <w:rsid w:val="00C6383E"/>
    <w:rsid w:val="00C63EE2"/>
    <w:rsid w:val="00C73578"/>
    <w:rsid w:val="00C74196"/>
    <w:rsid w:val="00C76E14"/>
    <w:rsid w:val="00C8679E"/>
    <w:rsid w:val="00CD340A"/>
    <w:rsid w:val="00CD4B61"/>
    <w:rsid w:val="00CD4FBF"/>
    <w:rsid w:val="00CE2737"/>
    <w:rsid w:val="00D13F86"/>
    <w:rsid w:val="00D5747B"/>
    <w:rsid w:val="00D70CDE"/>
    <w:rsid w:val="00D920B4"/>
    <w:rsid w:val="00DB1397"/>
    <w:rsid w:val="00DC39AA"/>
    <w:rsid w:val="00DC7C67"/>
    <w:rsid w:val="00DF76D6"/>
    <w:rsid w:val="00E06728"/>
    <w:rsid w:val="00E123AA"/>
    <w:rsid w:val="00E3089F"/>
    <w:rsid w:val="00E36141"/>
    <w:rsid w:val="00E46782"/>
    <w:rsid w:val="00E46CBB"/>
    <w:rsid w:val="00E56DA9"/>
    <w:rsid w:val="00E571FC"/>
    <w:rsid w:val="00E64E63"/>
    <w:rsid w:val="00E668C5"/>
    <w:rsid w:val="00E6694D"/>
    <w:rsid w:val="00E7149A"/>
    <w:rsid w:val="00E83E58"/>
    <w:rsid w:val="00E90E85"/>
    <w:rsid w:val="00EE3B7B"/>
    <w:rsid w:val="00EF45F0"/>
    <w:rsid w:val="00F17183"/>
    <w:rsid w:val="00F17D35"/>
    <w:rsid w:val="00F42CCA"/>
    <w:rsid w:val="00F55C3E"/>
    <w:rsid w:val="00F844FB"/>
    <w:rsid w:val="00F84FA9"/>
    <w:rsid w:val="00F97E32"/>
    <w:rsid w:val="00FE32E9"/>
    <w:rsid w:val="00FE6C5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31952"/>
  <w15:docId w15:val="{95B131A3-79AA-4FC7-9CE9-21D4C40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san@permexpetrol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Mehran Ehsan</cp:lastModifiedBy>
  <cp:revision>2</cp:revision>
  <cp:lastPrinted>2019-07-03T19:57:00Z</cp:lastPrinted>
  <dcterms:created xsi:type="dcterms:W3CDTF">2021-06-08T17:29:00Z</dcterms:created>
  <dcterms:modified xsi:type="dcterms:W3CDTF">2021-06-08T17:29:00Z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