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AD81" w14:textId="77777777" w:rsidR="00B17A87" w:rsidRPr="00A62156" w:rsidRDefault="009723A6" w:rsidP="00310CD4">
      <w:pPr>
        <w:spacing w:after="240"/>
        <w:jc w:val="center"/>
        <w:rPr>
          <w:rFonts w:ascii="Calibri" w:hAnsi="Calibri" w:cs="Calibri"/>
          <w:b/>
          <w:sz w:val="23"/>
          <w:szCs w:val="23"/>
        </w:rPr>
      </w:pPr>
      <w:r w:rsidRPr="00A62156">
        <w:rPr>
          <w:rFonts w:ascii="Calibri" w:hAnsi="Calibri" w:cs="Calibri"/>
          <w:b/>
          <w:sz w:val="23"/>
          <w:szCs w:val="23"/>
        </w:rPr>
        <w:t>FORM 51-102F3</w:t>
      </w:r>
      <w:r w:rsidRPr="00A62156">
        <w:rPr>
          <w:rFonts w:ascii="Calibri" w:hAnsi="Calibri" w:cs="Calibri"/>
          <w:b/>
          <w:sz w:val="23"/>
          <w:szCs w:val="23"/>
        </w:rPr>
        <w:br/>
      </w:r>
      <w:r w:rsidR="00B071B1" w:rsidRPr="00A62156">
        <w:rPr>
          <w:rFonts w:ascii="Calibri" w:hAnsi="Calibri" w:cs="Calibri"/>
          <w:b/>
          <w:sz w:val="23"/>
          <w:szCs w:val="23"/>
        </w:rPr>
        <w:t>MATERIAL CHANGE REPORT</w:t>
      </w:r>
      <w:r w:rsidR="00310CD4" w:rsidRPr="00A62156">
        <w:rPr>
          <w:rFonts w:ascii="Calibri" w:hAnsi="Calibri" w:cs="Calibri"/>
          <w:b/>
          <w:sz w:val="23"/>
          <w:szCs w:val="23"/>
        </w:rPr>
        <w:br/>
      </w:r>
    </w:p>
    <w:p w14:paraId="6E4EF844" w14:textId="77777777" w:rsidR="009723A6" w:rsidRPr="00A62156" w:rsidRDefault="009723A6">
      <w:pPr>
        <w:spacing w:after="240"/>
        <w:rPr>
          <w:rFonts w:ascii="Calibri" w:hAnsi="Calibri" w:cs="Calibri"/>
          <w:b/>
          <w:sz w:val="23"/>
          <w:szCs w:val="23"/>
        </w:rPr>
      </w:pPr>
      <w:r w:rsidRPr="00A62156">
        <w:rPr>
          <w:rFonts w:ascii="Calibri" w:hAnsi="Calibri" w:cs="Calibri"/>
          <w:b/>
          <w:sz w:val="23"/>
          <w:szCs w:val="23"/>
        </w:rPr>
        <w:t>ITEM 1.</w:t>
      </w:r>
      <w:r w:rsidR="00310CD4" w:rsidRPr="00A62156">
        <w:rPr>
          <w:rFonts w:ascii="Calibri" w:hAnsi="Calibri" w:cs="Calibri"/>
          <w:b/>
          <w:sz w:val="23"/>
          <w:szCs w:val="23"/>
        </w:rPr>
        <w:tab/>
      </w:r>
      <w:r w:rsidRPr="00A62156">
        <w:rPr>
          <w:rFonts w:ascii="Calibri" w:hAnsi="Calibri" w:cs="Calibri"/>
          <w:b/>
          <w:sz w:val="23"/>
          <w:szCs w:val="23"/>
        </w:rPr>
        <w:tab/>
        <w:t xml:space="preserve">NAME AND ADDRESS OF </w:t>
      </w:r>
      <w:r w:rsidR="00B003D4" w:rsidRPr="00A62156">
        <w:rPr>
          <w:rFonts w:ascii="Calibri" w:hAnsi="Calibri" w:cs="Calibri"/>
          <w:b/>
          <w:sz w:val="23"/>
          <w:szCs w:val="23"/>
        </w:rPr>
        <w:t>ISSUER</w:t>
      </w:r>
    </w:p>
    <w:p w14:paraId="669730B4" w14:textId="0A928F35" w:rsidR="00390F60" w:rsidRPr="00A62156" w:rsidRDefault="00A62156" w:rsidP="00A62156">
      <w:pPr>
        <w:ind w:left="1440"/>
        <w:rPr>
          <w:rFonts w:ascii="Calibri" w:hAnsi="Calibri" w:cs="Calibri"/>
          <w:sz w:val="23"/>
          <w:szCs w:val="23"/>
        </w:rPr>
      </w:pPr>
      <w:r w:rsidRPr="00A62156">
        <w:rPr>
          <w:rFonts w:ascii="Calibri" w:hAnsi="Calibri" w:cs="Calibri"/>
          <w:sz w:val="23"/>
          <w:szCs w:val="23"/>
        </w:rPr>
        <w:t xml:space="preserve">Permex Petroleum Corporation </w:t>
      </w:r>
      <w:r w:rsidR="00390F60" w:rsidRPr="00A62156">
        <w:rPr>
          <w:rFonts w:ascii="Calibri" w:hAnsi="Calibri" w:cs="Calibri"/>
          <w:sz w:val="23"/>
          <w:szCs w:val="23"/>
        </w:rPr>
        <w:t xml:space="preserve">(the </w:t>
      </w:r>
      <w:r w:rsidR="00672488" w:rsidRPr="00A62156">
        <w:rPr>
          <w:rFonts w:ascii="Calibri" w:hAnsi="Calibri" w:cs="Calibri"/>
          <w:sz w:val="23"/>
          <w:szCs w:val="23"/>
        </w:rPr>
        <w:t>“</w:t>
      </w:r>
      <w:r w:rsidR="00390F60" w:rsidRPr="00A62156">
        <w:rPr>
          <w:rFonts w:ascii="Calibri" w:hAnsi="Calibri" w:cs="Calibri"/>
          <w:b/>
          <w:bCs/>
          <w:sz w:val="23"/>
          <w:szCs w:val="23"/>
        </w:rPr>
        <w:t>Company</w:t>
      </w:r>
      <w:r w:rsidR="00672488" w:rsidRPr="00A62156">
        <w:rPr>
          <w:rFonts w:ascii="Calibri" w:hAnsi="Calibri" w:cs="Calibri"/>
          <w:sz w:val="23"/>
          <w:szCs w:val="23"/>
        </w:rPr>
        <w:t>”</w:t>
      </w:r>
      <w:r w:rsidR="002D5BE4" w:rsidRPr="00A62156">
        <w:rPr>
          <w:rFonts w:ascii="Calibri" w:hAnsi="Calibri" w:cs="Calibri"/>
          <w:sz w:val="23"/>
          <w:szCs w:val="23"/>
        </w:rPr>
        <w:t xml:space="preserve"> or “</w:t>
      </w:r>
      <w:r w:rsidRPr="00A62156">
        <w:rPr>
          <w:rFonts w:ascii="Calibri" w:hAnsi="Calibri" w:cs="Calibri"/>
          <w:b/>
          <w:bCs/>
          <w:sz w:val="23"/>
          <w:szCs w:val="23"/>
        </w:rPr>
        <w:t>Permex</w:t>
      </w:r>
      <w:r w:rsidR="002D5BE4" w:rsidRPr="00A62156">
        <w:rPr>
          <w:rFonts w:ascii="Calibri" w:hAnsi="Calibri" w:cs="Calibri"/>
          <w:sz w:val="23"/>
          <w:szCs w:val="23"/>
        </w:rPr>
        <w:t>”</w:t>
      </w:r>
      <w:r w:rsidR="00390F60" w:rsidRPr="00A62156">
        <w:rPr>
          <w:rFonts w:ascii="Calibri" w:hAnsi="Calibri" w:cs="Calibri"/>
          <w:sz w:val="23"/>
          <w:szCs w:val="23"/>
        </w:rPr>
        <w:t>)</w:t>
      </w:r>
      <w:r w:rsidR="00F12283" w:rsidRPr="00A62156">
        <w:rPr>
          <w:rFonts w:ascii="Calibri" w:hAnsi="Calibri" w:cs="Calibri"/>
          <w:sz w:val="23"/>
          <w:szCs w:val="23"/>
        </w:rPr>
        <w:t xml:space="preserve"> </w:t>
      </w:r>
    </w:p>
    <w:p w14:paraId="2BEC964A" w14:textId="78C61698" w:rsidR="00A62156" w:rsidRPr="00A62156" w:rsidRDefault="00C71A9B" w:rsidP="00A62156">
      <w:pPr>
        <w:spacing w:after="240"/>
        <w:ind w:left="1440"/>
        <w:rPr>
          <w:rFonts w:ascii="Calibri" w:hAnsi="Calibri" w:cs="Calibri"/>
          <w:sz w:val="23"/>
          <w:szCs w:val="23"/>
        </w:rPr>
      </w:pPr>
      <w:r w:rsidRPr="00A62156">
        <w:rPr>
          <w:rFonts w:ascii="Calibri" w:hAnsi="Calibri" w:cs="Calibri"/>
          <w:sz w:val="23"/>
          <w:szCs w:val="23"/>
        </w:rPr>
        <w:t xml:space="preserve">Suite </w:t>
      </w:r>
      <w:r>
        <w:rPr>
          <w:rFonts w:ascii="Calibri" w:hAnsi="Calibri" w:cs="Calibri"/>
          <w:sz w:val="23"/>
          <w:szCs w:val="23"/>
        </w:rPr>
        <w:t>500</w:t>
      </w:r>
      <w:r w:rsidRPr="00A62156">
        <w:rPr>
          <w:rFonts w:ascii="Calibri" w:hAnsi="Calibri" w:cs="Calibri"/>
          <w:sz w:val="23"/>
          <w:szCs w:val="23"/>
        </w:rPr>
        <w:t xml:space="preserve"> </w:t>
      </w:r>
      <w:r>
        <w:rPr>
          <w:rFonts w:ascii="Calibri" w:hAnsi="Calibri" w:cs="Calibri"/>
          <w:sz w:val="23"/>
          <w:szCs w:val="23"/>
        </w:rPr>
        <w:t>–</w:t>
      </w:r>
      <w:r w:rsidRPr="00A62156">
        <w:rPr>
          <w:rFonts w:ascii="Calibri" w:hAnsi="Calibri" w:cs="Calibri"/>
          <w:sz w:val="23"/>
          <w:szCs w:val="23"/>
        </w:rPr>
        <w:t xml:space="preserve"> </w:t>
      </w:r>
      <w:r>
        <w:rPr>
          <w:rFonts w:ascii="Calibri" w:hAnsi="Calibri" w:cs="Calibri"/>
          <w:sz w:val="23"/>
          <w:szCs w:val="23"/>
        </w:rPr>
        <w:t>666 Burrard</w:t>
      </w:r>
      <w:r w:rsidRPr="00A62156">
        <w:rPr>
          <w:rFonts w:ascii="Calibri" w:hAnsi="Calibri" w:cs="Calibri"/>
          <w:sz w:val="23"/>
          <w:szCs w:val="23"/>
        </w:rPr>
        <w:t xml:space="preserve"> Street</w:t>
      </w:r>
      <w:r w:rsidRPr="00A62156">
        <w:rPr>
          <w:rFonts w:ascii="Calibri" w:hAnsi="Calibri" w:cs="Calibri"/>
          <w:sz w:val="23"/>
          <w:szCs w:val="23"/>
        </w:rPr>
        <w:br/>
        <w:t>Vancouver, British Columbia</w:t>
      </w:r>
      <w:r w:rsidRPr="00A62156">
        <w:rPr>
          <w:rFonts w:ascii="Calibri" w:hAnsi="Calibri" w:cs="Calibri"/>
          <w:sz w:val="23"/>
          <w:szCs w:val="23"/>
        </w:rPr>
        <w:br/>
        <w:t>V6</w:t>
      </w:r>
      <w:r>
        <w:rPr>
          <w:rFonts w:ascii="Calibri" w:hAnsi="Calibri" w:cs="Calibri"/>
          <w:sz w:val="23"/>
          <w:szCs w:val="23"/>
        </w:rPr>
        <w:t>C</w:t>
      </w:r>
      <w:r w:rsidRPr="00A62156">
        <w:rPr>
          <w:rFonts w:ascii="Calibri" w:hAnsi="Calibri" w:cs="Calibri"/>
          <w:sz w:val="23"/>
          <w:szCs w:val="23"/>
        </w:rPr>
        <w:t xml:space="preserve"> </w:t>
      </w:r>
      <w:r>
        <w:rPr>
          <w:rFonts w:ascii="Calibri" w:hAnsi="Calibri" w:cs="Calibri"/>
          <w:sz w:val="23"/>
          <w:szCs w:val="23"/>
        </w:rPr>
        <w:t>2</w:t>
      </w:r>
      <w:r w:rsidRPr="00A62156">
        <w:rPr>
          <w:rFonts w:ascii="Calibri" w:hAnsi="Calibri" w:cs="Calibri"/>
          <w:sz w:val="23"/>
          <w:szCs w:val="23"/>
        </w:rPr>
        <w:t>X</w:t>
      </w:r>
      <w:r>
        <w:rPr>
          <w:rFonts w:ascii="Calibri" w:hAnsi="Calibri" w:cs="Calibri"/>
          <w:sz w:val="23"/>
          <w:szCs w:val="23"/>
        </w:rPr>
        <w:t>8</w:t>
      </w:r>
    </w:p>
    <w:p w14:paraId="343C6FEB" w14:textId="69E668B8" w:rsidR="009723A6" w:rsidRPr="00A62156" w:rsidRDefault="009723A6">
      <w:pPr>
        <w:spacing w:after="240"/>
        <w:rPr>
          <w:rFonts w:ascii="Calibri" w:hAnsi="Calibri" w:cs="Calibri"/>
          <w:b/>
          <w:sz w:val="23"/>
          <w:szCs w:val="23"/>
        </w:rPr>
      </w:pPr>
      <w:r w:rsidRPr="00A62156">
        <w:rPr>
          <w:rFonts w:ascii="Calibri" w:hAnsi="Calibri" w:cs="Calibri"/>
          <w:b/>
          <w:sz w:val="23"/>
          <w:szCs w:val="23"/>
        </w:rPr>
        <w:t>ITEM 2.</w:t>
      </w:r>
      <w:r w:rsidRPr="00A62156">
        <w:rPr>
          <w:rFonts w:ascii="Calibri" w:hAnsi="Calibri" w:cs="Calibri"/>
          <w:b/>
          <w:sz w:val="23"/>
          <w:szCs w:val="23"/>
        </w:rPr>
        <w:tab/>
      </w:r>
      <w:r w:rsidR="00D24DC3" w:rsidRPr="00A62156">
        <w:rPr>
          <w:rFonts w:ascii="Calibri" w:hAnsi="Calibri" w:cs="Calibri"/>
          <w:b/>
          <w:sz w:val="23"/>
          <w:szCs w:val="23"/>
        </w:rPr>
        <w:tab/>
      </w:r>
      <w:r w:rsidRPr="00A62156">
        <w:rPr>
          <w:rFonts w:ascii="Calibri" w:hAnsi="Calibri" w:cs="Calibri"/>
          <w:b/>
          <w:sz w:val="23"/>
          <w:szCs w:val="23"/>
        </w:rPr>
        <w:t>DATE OF MATERIAL CHANGE</w:t>
      </w:r>
    </w:p>
    <w:p w14:paraId="0D9E6902" w14:textId="643C685B" w:rsidR="009723A6" w:rsidRPr="00A62156" w:rsidRDefault="000D1AE4" w:rsidP="0026317E">
      <w:pPr>
        <w:spacing w:after="240"/>
        <w:ind w:left="1440"/>
        <w:rPr>
          <w:rFonts w:ascii="Calibri" w:hAnsi="Calibri" w:cs="Calibri"/>
          <w:sz w:val="23"/>
          <w:szCs w:val="23"/>
        </w:rPr>
      </w:pPr>
      <w:r>
        <w:rPr>
          <w:rFonts w:ascii="Calibri" w:hAnsi="Calibri" w:cs="Calibri"/>
          <w:sz w:val="23"/>
          <w:szCs w:val="23"/>
        </w:rPr>
        <w:t>November 2</w:t>
      </w:r>
      <w:r w:rsidR="002D5BE4" w:rsidRPr="00A62156">
        <w:rPr>
          <w:rFonts w:ascii="Calibri" w:hAnsi="Calibri" w:cs="Calibri"/>
          <w:sz w:val="23"/>
          <w:szCs w:val="23"/>
        </w:rPr>
        <w:t>, 202</w:t>
      </w:r>
      <w:r w:rsidR="0065514B" w:rsidRPr="00A62156">
        <w:rPr>
          <w:rFonts w:ascii="Calibri" w:hAnsi="Calibri" w:cs="Calibri"/>
          <w:sz w:val="23"/>
          <w:szCs w:val="23"/>
        </w:rPr>
        <w:t>2</w:t>
      </w:r>
    </w:p>
    <w:p w14:paraId="112F3504" w14:textId="77777777" w:rsidR="009723A6" w:rsidRPr="00A62156" w:rsidRDefault="009723A6">
      <w:pPr>
        <w:spacing w:after="240"/>
        <w:rPr>
          <w:rFonts w:ascii="Calibri" w:hAnsi="Calibri" w:cs="Calibri"/>
          <w:b/>
          <w:sz w:val="23"/>
          <w:szCs w:val="23"/>
        </w:rPr>
      </w:pPr>
      <w:r w:rsidRPr="00A62156">
        <w:rPr>
          <w:rFonts w:ascii="Calibri" w:hAnsi="Calibri" w:cs="Calibri"/>
          <w:b/>
          <w:sz w:val="23"/>
          <w:szCs w:val="23"/>
        </w:rPr>
        <w:t>ITEM 3.</w:t>
      </w:r>
      <w:r w:rsidR="00D24DC3" w:rsidRPr="00A62156">
        <w:rPr>
          <w:rFonts w:ascii="Calibri" w:hAnsi="Calibri" w:cs="Calibri"/>
          <w:b/>
          <w:sz w:val="23"/>
          <w:szCs w:val="23"/>
        </w:rPr>
        <w:tab/>
      </w:r>
      <w:r w:rsidRPr="00A62156">
        <w:rPr>
          <w:rFonts w:ascii="Calibri" w:hAnsi="Calibri" w:cs="Calibri"/>
          <w:b/>
          <w:sz w:val="23"/>
          <w:szCs w:val="23"/>
        </w:rPr>
        <w:tab/>
        <w:t>NEWS RELEASE</w:t>
      </w:r>
    </w:p>
    <w:p w14:paraId="5B119246" w14:textId="351DCE01" w:rsidR="009723A6" w:rsidRPr="00A62156" w:rsidRDefault="006E4217" w:rsidP="00A300AB">
      <w:pPr>
        <w:spacing w:after="240"/>
        <w:ind w:left="1440"/>
        <w:jc w:val="both"/>
        <w:rPr>
          <w:rFonts w:ascii="Calibri" w:hAnsi="Calibri" w:cs="Calibri"/>
          <w:sz w:val="23"/>
          <w:szCs w:val="23"/>
        </w:rPr>
      </w:pPr>
      <w:r w:rsidRPr="00A62156">
        <w:rPr>
          <w:rFonts w:ascii="Calibri" w:hAnsi="Calibri" w:cs="Calibri"/>
          <w:sz w:val="23"/>
          <w:szCs w:val="23"/>
        </w:rPr>
        <w:t xml:space="preserve">The news release was issued and disseminated on </w:t>
      </w:r>
      <w:r w:rsidR="0065514B" w:rsidRPr="00A62156">
        <w:rPr>
          <w:rFonts w:ascii="Calibri" w:hAnsi="Calibri" w:cs="Calibri"/>
          <w:sz w:val="23"/>
          <w:szCs w:val="23"/>
        </w:rPr>
        <w:t xml:space="preserve">October </w:t>
      </w:r>
      <w:r w:rsidR="00A62156" w:rsidRPr="00A62156">
        <w:rPr>
          <w:rFonts w:ascii="Calibri" w:hAnsi="Calibri" w:cs="Calibri"/>
          <w:sz w:val="23"/>
          <w:szCs w:val="23"/>
        </w:rPr>
        <w:t>31</w:t>
      </w:r>
      <w:r w:rsidR="00B7290F" w:rsidRPr="00A62156">
        <w:rPr>
          <w:rFonts w:ascii="Calibri" w:hAnsi="Calibri" w:cs="Calibri"/>
          <w:sz w:val="23"/>
          <w:szCs w:val="23"/>
        </w:rPr>
        <w:t xml:space="preserve">, </w:t>
      </w:r>
      <w:proofErr w:type="gramStart"/>
      <w:r w:rsidR="00B7290F" w:rsidRPr="00A62156">
        <w:rPr>
          <w:rFonts w:ascii="Calibri" w:hAnsi="Calibri" w:cs="Calibri"/>
          <w:sz w:val="23"/>
          <w:szCs w:val="23"/>
        </w:rPr>
        <w:t>202</w:t>
      </w:r>
      <w:r w:rsidR="0065514B" w:rsidRPr="00A62156">
        <w:rPr>
          <w:rFonts w:ascii="Calibri" w:hAnsi="Calibri" w:cs="Calibri"/>
          <w:sz w:val="23"/>
          <w:szCs w:val="23"/>
        </w:rPr>
        <w:t>2</w:t>
      </w:r>
      <w:proofErr w:type="gramEnd"/>
      <w:r w:rsidR="00545A5B" w:rsidRPr="00A62156">
        <w:rPr>
          <w:rFonts w:ascii="Calibri" w:hAnsi="Calibri" w:cs="Calibri"/>
          <w:sz w:val="23"/>
          <w:szCs w:val="23"/>
        </w:rPr>
        <w:t xml:space="preserve"> </w:t>
      </w:r>
      <w:r w:rsidRPr="00A62156">
        <w:rPr>
          <w:rFonts w:ascii="Calibri" w:hAnsi="Calibri" w:cs="Calibri"/>
          <w:sz w:val="23"/>
          <w:szCs w:val="23"/>
        </w:rPr>
        <w:t>on the System for Electronic Document Analysis and Retrieval (“</w:t>
      </w:r>
      <w:r w:rsidRPr="00A62156">
        <w:rPr>
          <w:rFonts w:ascii="Calibri" w:hAnsi="Calibri" w:cs="Calibri"/>
          <w:b/>
          <w:sz w:val="23"/>
          <w:szCs w:val="23"/>
        </w:rPr>
        <w:t>SEDAR</w:t>
      </w:r>
      <w:r w:rsidRPr="00A62156">
        <w:rPr>
          <w:rFonts w:ascii="Calibri" w:hAnsi="Calibri" w:cs="Calibri"/>
          <w:sz w:val="23"/>
          <w:szCs w:val="23"/>
        </w:rPr>
        <w:t>”) (www.sedar.com).</w:t>
      </w:r>
    </w:p>
    <w:p w14:paraId="4C256DA2" w14:textId="77777777" w:rsidR="009723A6" w:rsidRPr="00A62156" w:rsidRDefault="009723A6">
      <w:pPr>
        <w:spacing w:after="240"/>
        <w:rPr>
          <w:rFonts w:ascii="Calibri" w:hAnsi="Calibri" w:cs="Calibri"/>
          <w:b/>
          <w:sz w:val="23"/>
          <w:szCs w:val="23"/>
        </w:rPr>
      </w:pPr>
      <w:r w:rsidRPr="00A62156">
        <w:rPr>
          <w:rFonts w:ascii="Calibri" w:hAnsi="Calibri" w:cs="Calibri"/>
          <w:b/>
          <w:sz w:val="23"/>
          <w:szCs w:val="23"/>
        </w:rPr>
        <w:t>ITEM 4.</w:t>
      </w:r>
      <w:r w:rsidRPr="00A62156">
        <w:rPr>
          <w:rFonts w:ascii="Calibri" w:hAnsi="Calibri" w:cs="Calibri"/>
          <w:b/>
          <w:sz w:val="23"/>
          <w:szCs w:val="23"/>
        </w:rPr>
        <w:tab/>
      </w:r>
      <w:r w:rsidR="00105D1C" w:rsidRPr="00A62156">
        <w:rPr>
          <w:rFonts w:ascii="Calibri" w:hAnsi="Calibri" w:cs="Calibri"/>
          <w:b/>
          <w:sz w:val="23"/>
          <w:szCs w:val="23"/>
        </w:rPr>
        <w:tab/>
      </w:r>
      <w:r w:rsidRPr="00A62156">
        <w:rPr>
          <w:rFonts w:ascii="Calibri" w:hAnsi="Calibri" w:cs="Calibri"/>
          <w:b/>
          <w:sz w:val="23"/>
          <w:szCs w:val="23"/>
        </w:rPr>
        <w:t>SUMMARY OF MATERIAL CHANGE</w:t>
      </w:r>
    </w:p>
    <w:p w14:paraId="5DC64AEA" w14:textId="0747CC6E" w:rsidR="0046415A" w:rsidRPr="00A62156" w:rsidRDefault="002D5BE4" w:rsidP="00A62156">
      <w:pPr>
        <w:spacing w:after="240"/>
        <w:ind w:left="1440"/>
        <w:jc w:val="both"/>
        <w:rPr>
          <w:rFonts w:ascii="Calibri" w:hAnsi="Calibri" w:cs="Calibri"/>
          <w:sz w:val="23"/>
          <w:szCs w:val="23"/>
        </w:rPr>
      </w:pPr>
      <w:r w:rsidRPr="00A62156">
        <w:rPr>
          <w:rFonts w:ascii="Calibri" w:hAnsi="Calibri" w:cs="Calibri"/>
          <w:sz w:val="23"/>
          <w:szCs w:val="23"/>
        </w:rPr>
        <w:t>The Company announced that</w:t>
      </w:r>
      <w:r w:rsidR="00953A3C" w:rsidRPr="00A62156">
        <w:rPr>
          <w:rFonts w:ascii="Calibri" w:hAnsi="Calibri" w:cs="Calibri"/>
          <w:sz w:val="23"/>
          <w:szCs w:val="23"/>
        </w:rPr>
        <w:t xml:space="preserve"> </w:t>
      </w:r>
      <w:r w:rsidR="00A62156">
        <w:rPr>
          <w:rFonts w:ascii="Calibri" w:hAnsi="Calibri" w:cs="Calibri"/>
          <w:sz w:val="23"/>
          <w:szCs w:val="23"/>
        </w:rPr>
        <w:t xml:space="preserve">it </w:t>
      </w:r>
      <w:r w:rsidR="00634940">
        <w:rPr>
          <w:rFonts w:ascii="Calibri" w:hAnsi="Calibri" w:cs="Calibri"/>
          <w:sz w:val="23"/>
          <w:szCs w:val="23"/>
        </w:rPr>
        <w:t>would be</w:t>
      </w:r>
      <w:r w:rsidR="00A62156" w:rsidRPr="00A62156">
        <w:rPr>
          <w:rFonts w:ascii="Calibri" w:hAnsi="Calibri" w:cs="Calibri"/>
          <w:sz w:val="23"/>
          <w:szCs w:val="23"/>
        </w:rPr>
        <w:t xml:space="preserve"> consolidating </w:t>
      </w:r>
      <w:proofErr w:type="gramStart"/>
      <w:r w:rsidR="00A62156" w:rsidRPr="00A62156">
        <w:rPr>
          <w:rFonts w:ascii="Calibri" w:hAnsi="Calibri" w:cs="Calibri"/>
          <w:sz w:val="23"/>
          <w:szCs w:val="23"/>
        </w:rPr>
        <w:t>all of</w:t>
      </w:r>
      <w:proofErr w:type="gramEnd"/>
      <w:r w:rsidR="00A62156" w:rsidRPr="00A62156">
        <w:rPr>
          <w:rFonts w:ascii="Calibri" w:hAnsi="Calibri" w:cs="Calibri"/>
          <w:sz w:val="23"/>
          <w:szCs w:val="23"/>
        </w:rPr>
        <w:t xml:space="preserve"> its issued and outstanding common shares (the "</w:t>
      </w:r>
      <w:r w:rsidR="00A62156" w:rsidRPr="00A62156">
        <w:rPr>
          <w:rFonts w:ascii="Calibri" w:hAnsi="Calibri" w:cs="Calibri"/>
          <w:b/>
          <w:bCs/>
          <w:sz w:val="23"/>
          <w:szCs w:val="23"/>
        </w:rPr>
        <w:t>Shares</w:t>
      </w:r>
      <w:r w:rsidR="00A62156" w:rsidRPr="00A62156">
        <w:rPr>
          <w:rFonts w:ascii="Calibri" w:hAnsi="Calibri" w:cs="Calibri"/>
          <w:sz w:val="23"/>
          <w:szCs w:val="23"/>
        </w:rPr>
        <w:t>") on the basis of one (1) post-consolidated Share for every sixty (60) pre-consolidated Shares held (the "</w:t>
      </w:r>
      <w:r w:rsidR="00A62156" w:rsidRPr="00A62156">
        <w:rPr>
          <w:rFonts w:ascii="Calibri" w:hAnsi="Calibri" w:cs="Calibri"/>
          <w:b/>
          <w:bCs/>
          <w:sz w:val="23"/>
          <w:szCs w:val="23"/>
        </w:rPr>
        <w:t>Consolidation</w:t>
      </w:r>
      <w:r w:rsidR="00A62156" w:rsidRPr="00A62156">
        <w:rPr>
          <w:rFonts w:ascii="Calibri" w:hAnsi="Calibri" w:cs="Calibri"/>
          <w:sz w:val="23"/>
          <w:szCs w:val="23"/>
        </w:rPr>
        <w:t>").</w:t>
      </w:r>
    </w:p>
    <w:p w14:paraId="1B34CD73" w14:textId="77777777" w:rsidR="009723A6" w:rsidRPr="00A62156" w:rsidRDefault="009723A6" w:rsidP="0046415A">
      <w:pPr>
        <w:spacing w:after="240"/>
        <w:jc w:val="both"/>
        <w:rPr>
          <w:rFonts w:ascii="Calibri" w:hAnsi="Calibri" w:cs="Calibri"/>
          <w:b/>
          <w:sz w:val="23"/>
          <w:szCs w:val="23"/>
        </w:rPr>
      </w:pPr>
      <w:r w:rsidRPr="00A62156">
        <w:rPr>
          <w:rFonts w:ascii="Calibri" w:hAnsi="Calibri" w:cs="Calibri"/>
          <w:b/>
          <w:sz w:val="23"/>
          <w:szCs w:val="23"/>
        </w:rPr>
        <w:t>ITEM 5.</w:t>
      </w:r>
      <w:r w:rsidR="00420A58" w:rsidRPr="00A62156">
        <w:rPr>
          <w:rFonts w:ascii="Calibri" w:hAnsi="Calibri" w:cs="Calibri"/>
          <w:b/>
          <w:sz w:val="23"/>
          <w:szCs w:val="23"/>
        </w:rPr>
        <w:t>1</w:t>
      </w:r>
      <w:r w:rsidRPr="00A62156">
        <w:rPr>
          <w:rFonts w:ascii="Calibri" w:hAnsi="Calibri" w:cs="Calibri"/>
          <w:b/>
          <w:sz w:val="23"/>
          <w:szCs w:val="23"/>
        </w:rPr>
        <w:tab/>
        <w:t>FULL DESCRIPTION OF MATERIAL CHANGE</w:t>
      </w:r>
    </w:p>
    <w:p w14:paraId="552F7BE7" w14:textId="203A1681"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t>The Company announced that it w</w:t>
      </w:r>
      <w:r w:rsidR="00634940">
        <w:rPr>
          <w:rFonts w:ascii="Calibri" w:hAnsi="Calibri" w:cs="Calibri"/>
          <w:sz w:val="23"/>
          <w:szCs w:val="23"/>
        </w:rPr>
        <w:t>ould be</w:t>
      </w:r>
      <w:r w:rsidRPr="00A62156">
        <w:rPr>
          <w:rFonts w:ascii="Calibri" w:hAnsi="Calibri" w:cs="Calibri"/>
          <w:sz w:val="23"/>
          <w:szCs w:val="23"/>
        </w:rPr>
        <w:t xml:space="preserve"> consolidating </w:t>
      </w:r>
      <w:proofErr w:type="gramStart"/>
      <w:r w:rsidRPr="00A62156">
        <w:rPr>
          <w:rFonts w:ascii="Calibri" w:hAnsi="Calibri" w:cs="Calibri"/>
          <w:sz w:val="23"/>
          <w:szCs w:val="23"/>
        </w:rPr>
        <w:t>all of</w:t>
      </w:r>
      <w:proofErr w:type="gramEnd"/>
      <w:r w:rsidRPr="00A62156">
        <w:rPr>
          <w:rFonts w:ascii="Calibri" w:hAnsi="Calibri" w:cs="Calibri"/>
          <w:sz w:val="23"/>
          <w:szCs w:val="23"/>
        </w:rPr>
        <w:t xml:space="preserve"> its Shares on the basis of one (1) post-consolidated Share for every sixty (60) pre-consolidated Shares held.</w:t>
      </w:r>
    </w:p>
    <w:p w14:paraId="19B136F2" w14:textId="484C07A1"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t xml:space="preserve">The Company's board of directors approved the Consolidation on </w:t>
      </w:r>
      <w:bookmarkStart w:id="0" w:name="_Hlk117611666"/>
      <w:r w:rsidRPr="00A62156">
        <w:rPr>
          <w:rFonts w:ascii="Calibri" w:hAnsi="Calibri" w:cs="Calibri"/>
          <w:sz w:val="23"/>
          <w:szCs w:val="23"/>
        </w:rPr>
        <w:t>October 26</w:t>
      </w:r>
      <w:bookmarkEnd w:id="0"/>
      <w:r w:rsidRPr="00A62156">
        <w:rPr>
          <w:rFonts w:ascii="Calibri" w:hAnsi="Calibri" w:cs="Calibri"/>
          <w:sz w:val="23"/>
          <w:szCs w:val="23"/>
        </w:rPr>
        <w:t xml:space="preserve">, 2022, and set November 2, </w:t>
      </w:r>
      <w:proofErr w:type="gramStart"/>
      <w:r w:rsidRPr="00A62156">
        <w:rPr>
          <w:rFonts w:ascii="Calibri" w:hAnsi="Calibri" w:cs="Calibri"/>
          <w:sz w:val="23"/>
          <w:szCs w:val="23"/>
        </w:rPr>
        <w:t>2022</w:t>
      </w:r>
      <w:proofErr w:type="gramEnd"/>
      <w:r w:rsidRPr="00A62156">
        <w:rPr>
          <w:rFonts w:ascii="Calibri" w:hAnsi="Calibri" w:cs="Calibri"/>
          <w:sz w:val="23"/>
          <w:szCs w:val="23"/>
        </w:rPr>
        <w:t xml:space="preserve"> as the effective date of the Consolidation. Trading of the Shares on a post-Consolidation basis on the Canadian Securities Exchange ("</w:t>
      </w:r>
      <w:r w:rsidRPr="00FF764C">
        <w:rPr>
          <w:rFonts w:ascii="Calibri" w:hAnsi="Calibri" w:cs="Calibri"/>
          <w:b/>
          <w:bCs/>
          <w:sz w:val="23"/>
          <w:szCs w:val="23"/>
        </w:rPr>
        <w:t>CSE</w:t>
      </w:r>
      <w:r w:rsidRPr="00A62156">
        <w:rPr>
          <w:rFonts w:ascii="Calibri" w:hAnsi="Calibri" w:cs="Calibri"/>
          <w:sz w:val="23"/>
          <w:szCs w:val="23"/>
        </w:rPr>
        <w:t xml:space="preserve">"), Frankfurt Stock Exchange and the OTCQB </w:t>
      </w:r>
      <w:r w:rsidR="001B776F">
        <w:rPr>
          <w:rFonts w:ascii="Calibri" w:hAnsi="Calibri" w:cs="Calibri"/>
          <w:sz w:val="23"/>
          <w:szCs w:val="23"/>
        </w:rPr>
        <w:t xml:space="preserve">commenced on </w:t>
      </w:r>
      <w:r w:rsidRPr="00A62156">
        <w:rPr>
          <w:rFonts w:ascii="Calibri" w:hAnsi="Calibri" w:cs="Calibri"/>
          <w:sz w:val="23"/>
          <w:szCs w:val="23"/>
        </w:rPr>
        <w:t xml:space="preserve">November </w:t>
      </w:r>
      <w:r w:rsidR="000D1AE4">
        <w:rPr>
          <w:rFonts w:ascii="Calibri" w:hAnsi="Calibri" w:cs="Calibri"/>
          <w:sz w:val="23"/>
          <w:szCs w:val="23"/>
        </w:rPr>
        <w:t>2</w:t>
      </w:r>
      <w:r w:rsidRPr="00A62156">
        <w:rPr>
          <w:rFonts w:ascii="Calibri" w:hAnsi="Calibri" w:cs="Calibri"/>
          <w:sz w:val="23"/>
          <w:szCs w:val="23"/>
        </w:rPr>
        <w:t xml:space="preserve">, 2022, </w:t>
      </w:r>
      <w:r w:rsidR="00D31EA2">
        <w:rPr>
          <w:rFonts w:ascii="Calibri" w:hAnsi="Calibri" w:cs="Calibri"/>
          <w:sz w:val="23"/>
          <w:szCs w:val="23"/>
        </w:rPr>
        <w:t>after receiving</w:t>
      </w:r>
      <w:r w:rsidRPr="00A62156">
        <w:rPr>
          <w:rFonts w:ascii="Calibri" w:hAnsi="Calibri" w:cs="Calibri"/>
          <w:sz w:val="23"/>
          <w:szCs w:val="23"/>
        </w:rPr>
        <w:t xml:space="preserve"> final approval by the CSE and the Financial Industry Regulatory Authority, or FINRA. The new CUSIP number for the post-Consolidation Shares </w:t>
      </w:r>
      <w:r w:rsidR="00D31EA2">
        <w:rPr>
          <w:rFonts w:ascii="Calibri" w:hAnsi="Calibri" w:cs="Calibri"/>
          <w:sz w:val="23"/>
          <w:szCs w:val="23"/>
        </w:rPr>
        <w:t>is</w:t>
      </w:r>
      <w:r w:rsidRPr="00A62156">
        <w:rPr>
          <w:rFonts w:ascii="Calibri" w:hAnsi="Calibri" w:cs="Calibri"/>
          <w:sz w:val="23"/>
          <w:szCs w:val="23"/>
        </w:rPr>
        <w:t xml:space="preserve"> 71422P204 and the new ISIN number </w:t>
      </w:r>
      <w:r w:rsidR="00D31EA2">
        <w:rPr>
          <w:rFonts w:ascii="Calibri" w:hAnsi="Calibri" w:cs="Calibri"/>
          <w:sz w:val="23"/>
          <w:szCs w:val="23"/>
        </w:rPr>
        <w:t>is</w:t>
      </w:r>
      <w:r w:rsidRPr="00A62156">
        <w:rPr>
          <w:rFonts w:ascii="Calibri" w:hAnsi="Calibri" w:cs="Calibri"/>
          <w:sz w:val="23"/>
          <w:szCs w:val="23"/>
        </w:rPr>
        <w:t xml:space="preserve"> CA71422P2044. The Company's name and stock symbols will remain unchanged following the Consolidation.</w:t>
      </w:r>
    </w:p>
    <w:p w14:paraId="3E959637" w14:textId="67FCFAF8"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t xml:space="preserve">No fractional Shares </w:t>
      </w:r>
      <w:r w:rsidR="001B776F">
        <w:rPr>
          <w:rFonts w:ascii="Calibri" w:hAnsi="Calibri" w:cs="Calibri"/>
          <w:sz w:val="23"/>
          <w:szCs w:val="23"/>
        </w:rPr>
        <w:t>were</w:t>
      </w:r>
      <w:r w:rsidRPr="00A62156">
        <w:rPr>
          <w:rFonts w:ascii="Calibri" w:hAnsi="Calibri" w:cs="Calibri"/>
          <w:sz w:val="23"/>
          <w:szCs w:val="23"/>
        </w:rPr>
        <w:t xml:space="preserve"> issued </w:t>
      </w:r>
      <w:proofErr w:type="gramStart"/>
      <w:r w:rsidRPr="00A62156">
        <w:rPr>
          <w:rFonts w:ascii="Calibri" w:hAnsi="Calibri" w:cs="Calibri"/>
          <w:sz w:val="23"/>
          <w:szCs w:val="23"/>
        </w:rPr>
        <w:t>as a result of</w:t>
      </w:r>
      <w:proofErr w:type="gramEnd"/>
      <w:r w:rsidRPr="00A62156">
        <w:rPr>
          <w:rFonts w:ascii="Calibri" w:hAnsi="Calibri" w:cs="Calibri"/>
          <w:sz w:val="23"/>
          <w:szCs w:val="23"/>
        </w:rPr>
        <w:t xml:space="preserve"> the Consolidation. Any fractional Shares </w:t>
      </w:r>
      <w:r w:rsidR="001B776F">
        <w:rPr>
          <w:rFonts w:ascii="Calibri" w:hAnsi="Calibri" w:cs="Calibri"/>
          <w:sz w:val="23"/>
          <w:szCs w:val="23"/>
        </w:rPr>
        <w:t>were</w:t>
      </w:r>
      <w:r w:rsidRPr="00A62156">
        <w:rPr>
          <w:rFonts w:ascii="Calibri" w:hAnsi="Calibri" w:cs="Calibri"/>
          <w:sz w:val="23"/>
          <w:szCs w:val="23"/>
        </w:rPr>
        <w:t xml:space="preserve"> rounded either up or down to the nearest whole number of Shares. Specifically, each fractional Share remaining </w:t>
      </w:r>
      <w:proofErr w:type="gramStart"/>
      <w:r w:rsidRPr="00A62156">
        <w:rPr>
          <w:rFonts w:ascii="Calibri" w:hAnsi="Calibri" w:cs="Calibri"/>
          <w:sz w:val="23"/>
          <w:szCs w:val="23"/>
        </w:rPr>
        <w:t>as a result of</w:t>
      </w:r>
      <w:proofErr w:type="gramEnd"/>
      <w:r w:rsidRPr="00A62156">
        <w:rPr>
          <w:rFonts w:ascii="Calibri" w:hAnsi="Calibri" w:cs="Calibri"/>
          <w:sz w:val="23"/>
          <w:szCs w:val="23"/>
        </w:rPr>
        <w:t xml:space="preserve"> the Consolidation that </w:t>
      </w:r>
      <w:r w:rsidR="00D31EA2">
        <w:rPr>
          <w:rFonts w:ascii="Calibri" w:hAnsi="Calibri" w:cs="Calibri"/>
          <w:sz w:val="23"/>
          <w:szCs w:val="23"/>
        </w:rPr>
        <w:t>was</w:t>
      </w:r>
      <w:r w:rsidRPr="00A62156">
        <w:rPr>
          <w:rFonts w:ascii="Calibri" w:hAnsi="Calibri" w:cs="Calibri"/>
          <w:sz w:val="23"/>
          <w:szCs w:val="23"/>
        </w:rPr>
        <w:t xml:space="preserve"> less than half of a Share </w:t>
      </w:r>
      <w:r w:rsidR="001B776F">
        <w:rPr>
          <w:rFonts w:ascii="Calibri" w:hAnsi="Calibri" w:cs="Calibri"/>
          <w:sz w:val="23"/>
          <w:szCs w:val="23"/>
        </w:rPr>
        <w:t>was</w:t>
      </w:r>
      <w:r w:rsidRPr="00A62156">
        <w:rPr>
          <w:rFonts w:ascii="Calibri" w:hAnsi="Calibri" w:cs="Calibri"/>
          <w:sz w:val="23"/>
          <w:szCs w:val="23"/>
        </w:rPr>
        <w:t xml:space="preserve"> cancelled and each fractional Share that </w:t>
      </w:r>
      <w:r w:rsidR="00D31EA2">
        <w:rPr>
          <w:rFonts w:ascii="Calibri" w:hAnsi="Calibri" w:cs="Calibri"/>
          <w:sz w:val="23"/>
          <w:szCs w:val="23"/>
        </w:rPr>
        <w:t>was</w:t>
      </w:r>
      <w:r w:rsidRPr="00A62156">
        <w:rPr>
          <w:rFonts w:ascii="Calibri" w:hAnsi="Calibri" w:cs="Calibri"/>
          <w:sz w:val="23"/>
          <w:szCs w:val="23"/>
        </w:rPr>
        <w:t xml:space="preserve"> at least half of a Share </w:t>
      </w:r>
      <w:r w:rsidR="001B776F">
        <w:rPr>
          <w:rFonts w:ascii="Calibri" w:hAnsi="Calibri" w:cs="Calibri"/>
          <w:sz w:val="23"/>
          <w:szCs w:val="23"/>
        </w:rPr>
        <w:t>was</w:t>
      </w:r>
      <w:r w:rsidRPr="00A62156">
        <w:rPr>
          <w:rFonts w:ascii="Calibri" w:hAnsi="Calibri" w:cs="Calibri"/>
          <w:sz w:val="23"/>
          <w:szCs w:val="23"/>
        </w:rPr>
        <w:t xml:space="preserve"> changed to one whole Share. The exercise price and number of Shares issuable pursuant to the exercise of any outstanding securities convertible or exercisable into common shares, including options and warrants, </w:t>
      </w:r>
      <w:r w:rsidR="001B776F">
        <w:rPr>
          <w:rFonts w:ascii="Calibri" w:hAnsi="Calibri" w:cs="Calibri"/>
          <w:sz w:val="23"/>
          <w:szCs w:val="23"/>
        </w:rPr>
        <w:t>were</w:t>
      </w:r>
      <w:r w:rsidRPr="00A62156">
        <w:rPr>
          <w:rFonts w:ascii="Calibri" w:hAnsi="Calibri" w:cs="Calibri"/>
          <w:sz w:val="23"/>
          <w:szCs w:val="23"/>
        </w:rPr>
        <w:t xml:space="preserve"> also adjusted in accordance with the Consolidation ratio.</w:t>
      </w:r>
    </w:p>
    <w:p w14:paraId="0BB08D95" w14:textId="0FA4E8D6"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lastRenderedPageBreak/>
        <w:t xml:space="preserve">As of </w:t>
      </w:r>
      <w:r w:rsidR="001B776F">
        <w:rPr>
          <w:rFonts w:ascii="Calibri" w:hAnsi="Calibri" w:cs="Calibri"/>
          <w:sz w:val="23"/>
          <w:szCs w:val="23"/>
        </w:rPr>
        <w:t>October 31, 2022</w:t>
      </w:r>
      <w:r w:rsidRPr="00A62156">
        <w:rPr>
          <w:rFonts w:ascii="Calibri" w:hAnsi="Calibri" w:cs="Calibri"/>
          <w:sz w:val="23"/>
          <w:szCs w:val="23"/>
        </w:rPr>
        <w:t>, the Company ha</w:t>
      </w:r>
      <w:r w:rsidR="001B776F">
        <w:rPr>
          <w:rFonts w:ascii="Calibri" w:hAnsi="Calibri" w:cs="Calibri"/>
          <w:sz w:val="23"/>
          <w:szCs w:val="23"/>
        </w:rPr>
        <w:t>d</w:t>
      </w:r>
      <w:r w:rsidRPr="00A62156">
        <w:rPr>
          <w:rFonts w:ascii="Calibri" w:hAnsi="Calibri" w:cs="Calibri"/>
          <w:sz w:val="23"/>
          <w:szCs w:val="23"/>
        </w:rPr>
        <w:t xml:space="preserve"> 115,956,026 Shares issued and outstanding. </w:t>
      </w:r>
      <w:proofErr w:type="gramStart"/>
      <w:r w:rsidRPr="00A62156">
        <w:rPr>
          <w:rFonts w:ascii="Calibri" w:hAnsi="Calibri" w:cs="Calibri"/>
          <w:sz w:val="23"/>
          <w:szCs w:val="23"/>
        </w:rPr>
        <w:t>The Consolidation</w:t>
      </w:r>
      <w:proofErr w:type="gramEnd"/>
      <w:r w:rsidRPr="00A62156">
        <w:rPr>
          <w:rFonts w:ascii="Calibri" w:hAnsi="Calibri" w:cs="Calibri"/>
          <w:sz w:val="23"/>
          <w:szCs w:val="23"/>
        </w:rPr>
        <w:t xml:space="preserve"> reduce</w:t>
      </w:r>
      <w:r w:rsidR="001B776F">
        <w:rPr>
          <w:rFonts w:ascii="Calibri" w:hAnsi="Calibri" w:cs="Calibri"/>
          <w:sz w:val="23"/>
          <w:szCs w:val="23"/>
        </w:rPr>
        <w:t>d</w:t>
      </w:r>
      <w:r w:rsidRPr="00A62156">
        <w:rPr>
          <w:rFonts w:ascii="Calibri" w:hAnsi="Calibri" w:cs="Calibri"/>
          <w:sz w:val="23"/>
          <w:szCs w:val="23"/>
        </w:rPr>
        <w:t xml:space="preserve"> the number of outstanding Shares to 1,932,60</w:t>
      </w:r>
      <w:r w:rsidR="002A2540">
        <w:rPr>
          <w:rFonts w:ascii="Calibri" w:hAnsi="Calibri" w:cs="Calibri"/>
          <w:sz w:val="23"/>
          <w:szCs w:val="23"/>
        </w:rPr>
        <w:t>4</w:t>
      </w:r>
      <w:r w:rsidRPr="00A62156">
        <w:rPr>
          <w:rFonts w:ascii="Calibri" w:hAnsi="Calibri" w:cs="Calibri"/>
          <w:sz w:val="23"/>
          <w:szCs w:val="23"/>
        </w:rPr>
        <w:t xml:space="preserve"> Shares issued and outstanding.</w:t>
      </w:r>
    </w:p>
    <w:p w14:paraId="0F343931" w14:textId="77777777"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t>The registered shareholders of the Company (the "</w:t>
      </w:r>
      <w:r w:rsidRPr="001B776F">
        <w:rPr>
          <w:rFonts w:ascii="Calibri" w:hAnsi="Calibri" w:cs="Calibri"/>
          <w:b/>
          <w:bCs/>
          <w:sz w:val="23"/>
          <w:szCs w:val="23"/>
        </w:rPr>
        <w:t>Shareholders</w:t>
      </w:r>
      <w:r w:rsidRPr="00A62156">
        <w:rPr>
          <w:rFonts w:ascii="Calibri" w:hAnsi="Calibri" w:cs="Calibri"/>
          <w:sz w:val="23"/>
          <w:szCs w:val="23"/>
        </w:rPr>
        <w:t>") will receive a letter of transmittal (each a "</w:t>
      </w:r>
      <w:r w:rsidRPr="001B776F">
        <w:rPr>
          <w:rFonts w:ascii="Calibri" w:hAnsi="Calibri" w:cs="Calibri"/>
          <w:b/>
          <w:bCs/>
          <w:sz w:val="23"/>
          <w:szCs w:val="23"/>
        </w:rPr>
        <w:t>Letter of Transmittal</w:t>
      </w:r>
      <w:r w:rsidRPr="00A62156">
        <w:rPr>
          <w:rFonts w:ascii="Calibri" w:hAnsi="Calibri" w:cs="Calibri"/>
          <w:sz w:val="23"/>
          <w:szCs w:val="23"/>
        </w:rPr>
        <w:t>") with respect to the Consolidation, with information on how to surrender share certificates or DRS statement(s) representing pre-consolidated Shares to the Company's transfer agent, TSX Trust Company (“</w:t>
      </w:r>
      <w:r w:rsidRPr="001B776F">
        <w:rPr>
          <w:rFonts w:ascii="Calibri" w:hAnsi="Calibri" w:cs="Calibri"/>
          <w:b/>
          <w:bCs/>
          <w:sz w:val="23"/>
          <w:szCs w:val="23"/>
        </w:rPr>
        <w:t>TSX</w:t>
      </w:r>
      <w:r w:rsidRPr="00A62156">
        <w:rPr>
          <w:rFonts w:ascii="Calibri" w:hAnsi="Calibri" w:cs="Calibri"/>
          <w:sz w:val="23"/>
          <w:szCs w:val="23"/>
        </w:rPr>
        <w:t>”). All Shareholders who submit a duly completed Letter of Transmittal along with their respective Share certificate(s) representing the pre-consolidated Shares to the Company's transfer agent, TSX, will receive a certificate or DRS statement(s) representing the post-consolidated Shares.</w:t>
      </w:r>
    </w:p>
    <w:p w14:paraId="6182B8C8" w14:textId="77777777" w:rsidR="00A62156" w:rsidRPr="00A62156" w:rsidRDefault="00A62156" w:rsidP="00A62156">
      <w:pPr>
        <w:spacing w:after="240"/>
        <w:ind w:left="1440"/>
        <w:jc w:val="both"/>
        <w:rPr>
          <w:rFonts w:ascii="Calibri" w:hAnsi="Calibri" w:cs="Calibri"/>
          <w:sz w:val="23"/>
          <w:szCs w:val="23"/>
        </w:rPr>
      </w:pPr>
      <w:r w:rsidRPr="00A62156">
        <w:rPr>
          <w:rFonts w:ascii="Calibri" w:hAnsi="Calibri" w:cs="Calibri"/>
          <w:sz w:val="23"/>
          <w:szCs w:val="23"/>
        </w:rPr>
        <w:t>The Consolidation is intended to make the Shares more attractive to new and current investors.</w:t>
      </w:r>
    </w:p>
    <w:p w14:paraId="6956B6F4" w14:textId="6EF7C265" w:rsidR="00420A58" w:rsidRPr="00A62156" w:rsidRDefault="00420A58" w:rsidP="00A62156">
      <w:pPr>
        <w:spacing w:after="240"/>
        <w:jc w:val="both"/>
        <w:rPr>
          <w:rFonts w:ascii="Calibri" w:hAnsi="Calibri" w:cs="Calibri"/>
          <w:b/>
          <w:sz w:val="23"/>
          <w:szCs w:val="23"/>
        </w:rPr>
      </w:pPr>
      <w:r w:rsidRPr="00A62156">
        <w:rPr>
          <w:rFonts w:ascii="Calibri" w:hAnsi="Calibri" w:cs="Calibri"/>
          <w:b/>
          <w:sz w:val="23"/>
          <w:szCs w:val="23"/>
        </w:rPr>
        <w:t>ITEM 5.2</w:t>
      </w:r>
      <w:r w:rsidRPr="00A62156">
        <w:rPr>
          <w:rFonts w:ascii="Calibri" w:hAnsi="Calibri" w:cs="Calibri"/>
          <w:b/>
          <w:sz w:val="23"/>
          <w:szCs w:val="23"/>
        </w:rPr>
        <w:tab/>
        <w:t>DISCLOSURE FOR RESTRUCTURING TRANSACTIONS</w:t>
      </w:r>
    </w:p>
    <w:p w14:paraId="3EB5AC72" w14:textId="77777777" w:rsidR="00420A58" w:rsidRPr="00A62156" w:rsidRDefault="00243AA9" w:rsidP="0026317E">
      <w:pPr>
        <w:spacing w:after="240"/>
        <w:ind w:left="1440"/>
        <w:rPr>
          <w:rFonts w:ascii="Calibri" w:hAnsi="Calibri" w:cs="Calibri"/>
          <w:sz w:val="23"/>
          <w:szCs w:val="23"/>
        </w:rPr>
      </w:pPr>
      <w:r w:rsidRPr="00A62156">
        <w:rPr>
          <w:rFonts w:ascii="Calibri" w:hAnsi="Calibri" w:cs="Calibri"/>
          <w:sz w:val="23"/>
          <w:szCs w:val="23"/>
        </w:rPr>
        <w:t>Not applicable.</w:t>
      </w:r>
    </w:p>
    <w:p w14:paraId="5AA56A47" w14:textId="77777777" w:rsidR="00EC6A45" w:rsidRPr="00DF55CA" w:rsidRDefault="009723A6" w:rsidP="00370FD6">
      <w:pPr>
        <w:keepNext/>
        <w:keepLines/>
        <w:spacing w:after="240"/>
        <w:ind w:left="1440" w:right="-360" w:hanging="1440"/>
        <w:rPr>
          <w:rFonts w:ascii="Calibri" w:hAnsi="Calibri" w:cs="Calibri"/>
          <w:b/>
          <w:sz w:val="23"/>
          <w:szCs w:val="23"/>
        </w:rPr>
      </w:pPr>
      <w:r w:rsidRPr="00DF55CA">
        <w:rPr>
          <w:rFonts w:ascii="Calibri" w:hAnsi="Calibri" w:cs="Calibri"/>
          <w:b/>
          <w:sz w:val="23"/>
          <w:szCs w:val="23"/>
        </w:rPr>
        <w:t>ITEM 6.</w:t>
      </w:r>
      <w:r w:rsidRPr="00DF55CA">
        <w:rPr>
          <w:rFonts w:ascii="Calibri" w:hAnsi="Calibri" w:cs="Calibri"/>
          <w:b/>
          <w:sz w:val="23"/>
          <w:szCs w:val="23"/>
        </w:rPr>
        <w:tab/>
        <w:t xml:space="preserve">RELIANCE ON SUBSECTION </w:t>
      </w:r>
      <w:r w:rsidR="0063335C" w:rsidRPr="00DF55CA">
        <w:rPr>
          <w:rFonts w:ascii="Calibri" w:hAnsi="Calibri" w:cs="Calibri"/>
          <w:b/>
          <w:sz w:val="23"/>
          <w:szCs w:val="23"/>
        </w:rPr>
        <w:t>7.1</w:t>
      </w:r>
      <w:r w:rsidR="00482D9B" w:rsidRPr="00DF55CA">
        <w:rPr>
          <w:rFonts w:ascii="Calibri" w:hAnsi="Calibri" w:cs="Calibri"/>
          <w:b/>
          <w:sz w:val="23"/>
          <w:szCs w:val="23"/>
        </w:rPr>
        <w:t>(2)</w:t>
      </w:r>
      <w:r w:rsidRPr="00DF55CA">
        <w:rPr>
          <w:rFonts w:ascii="Calibri" w:hAnsi="Calibri" w:cs="Calibri"/>
          <w:b/>
          <w:sz w:val="23"/>
          <w:szCs w:val="23"/>
        </w:rPr>
        <w:t xml:space="preserve"> OF NATIONAL INSTRUMENT </w:t>
      </w:r>
      <w:r w:rsidR="008A2809" w:rsidRPr="00DF55CA">
        <w:rPr>
          <w:rFonts w:ascii="Calibri" w:hAnsi="Calibri" w:cs="Calibri"/>
          <w:b/>
          <w:sz w:val="23"/>
          <w:szCs w:val="23"/>
        </w:rPr>
        <w:t>5</w:t>
      </w:r>
      <w:r w:rsidR="00482D9B" w:rsidRPr="00DF55CA">
        <w:rPr>
          <w:rFonts w:ascii="Calibri" w:hAnsi="Calibri" w:cs="Calibri"/>
          <w:b/>
          <w:sz w:val="23"/>
          <w:szCs w:val="23"/>
        </w:rPr>
        <w:t>1-10</w:t>
      </w:r>
      <w:r w:rsidR="008A2809" w:rsidRPr="00DF55CA">
        <w:rPr>
          <w:rFonts w:ascii="Calibri" w:hAnsi="Calibri" w:cs="Calibri"/>
          <w:b/>
          <w:sz w:val="23"/>
          <w:szCs w:val="23"/>
        </w:rPr>
        <w:t>2</w:t>
      </w:r>
    </w:p>
    <w:p w14:paraId="16EB0FF8" w14:textId="77777777" w:rsidR="009723A6" w:rsidRPr="00DF55CA" w:rsidRDefault="009723A6" w:rsidP="00370FD6">
      <w:pPr>
        <w:keepNext/>
        <w:keepLines/>
        <w:spacing w:after="240"/>
        <w:ind w:left="1440"/>
        <w:rPr>
          <w:rFonts w:ascii="Calibri" w:hAnsi="Calibri" w:cs="Calibri"/>
          <w:b/>
          <w:sz w:val="23"/>
          <w:szCs w:val="23"/>
        </w:rPr>
      </w:pPr>
      <w:r w:rsidRPr="00DF55CA">
        <w:rPr>
          <w:rFonts w:ascii="Calibri" w:hAnsi="Calibri" w:cs="Calibri"/>
          <w:sz w:val="23"/>
          <w:szCs w:val="23"/>
        </w:rPr>
        <w:t>Not Applicable.</w:t>
      </w:r>
    </w:p>
    <w:p w14:paraId="52D05F54" w14:textId="77777777" w:rsidR="009723A6" w:rsidRPr="00A62156" w:rsidRDefault="009723A6" w:rsidP="00910A8B">
      <w:pPr>
        <w:keepNext/>
        <w:spacing w:after="240"/>
        <w:rPr>
          <w:rFonts w:ascii="Calibri" w:hAnsi="Calibri" w:cs="Calibri"/>
          <w:b/>
          <w:sz w:val="23"/>
          <w:szCs w:val="23"/>
        </w:rPr>
      </w:pPr>
      <w:r w:rsidRPr="00A62156">
        <w:rPr>
          <w:rFonts w:ascii="Calibri" w:hAnsi="Calibri" w:cs="Calibri"/>
          <w:b/>
          <w:sz w:val="23"/>
          <w:szCs w:val="23"/>
        </w:rPr>
        <w:t>ITEM 7.</w:t>
      </w:r>
      <w:r w:rsidRPr="00A62156">
        <w:rPr>
          <w:rFonts w:ascii="Calibri" w:hAnsi="Calibri" w:cs="Calibri"/>
          <w:b/>
          <w:sz w:val="23"/>
          <w:szCs w:val="23"/>
        </w:rPr>
        <w:tab/>
      </w:r>
      <w:r w:rsidR="00526073" w:rsidRPr="00A62156">
        <w:rPr>
          <w:rFonts w:ascii="Calibri" w:hAnsi="Calibri" w:cs="Calibri"/>
          <w:b/>
          <w:sz w:val="23"/>
          <w:szCs w:val="23"/>
        </w:rPr>
        <w:tab/>
      </w:r>
      <w:r w:rsidRPr="00A62156">
        <w:rPr>
          <w:rFonts w:ascii="Calibri" w:hAnsi="Calibri" w:cs="Calibri"/>
          <w:b/>
          <w:sz w:val="23"/>
          <w:szCs w:val="23"/>
        </w:rPr>
        <w:t>OMITTED INFORMATION</w:t>
      </w:r>
    </w:p>
    <w:p w14:paraId="1EE6093C" w14:textId="77777777" w:rsidR="009723A6" w:rsidRPr="00DF55CA" w:rsidRDefault="009723A6" w:rsidP="0026317E">
      <w:pPr>
        <w:spacing w:after="240"/>
        <w:ind w:left="1440"/>
        <w:rPr>
          <w:rFonts w:ascii="Calibri" w:hAnsi="Calibri" w:cs="Calibri"/>
          <w:sz w:val="23"/>
          <w:szCs w:val="23"/>
        </w:rPr>
      </w:pPr>
      <w:r w:rsidRPr="00A62156">
        <w:rPr>
          <w:rFonts w:ascii="Calibri" w:hAnsi="Calibri" w:cs="Calibri"/>
          <w:sz w:val="23"/>
          <w:szCs w:val="23"/>
        </w:rPr>
        <w:t xml:space="preserve">There are no significant facts required to be disclosed herein which have been </w:t>
      </w:r>
      <w:r w:rsidRPr="00DF55CA">
        <w:rPr>
          <w:rFonts w:ascii="Calibri" w:hAnsi="Calibri" w:cs="Calibri"/>
          <w:sz w:val="23"/>
          <w:szCs w:val="23"/>
        </w:rPr>
        <w:t>omitted.</w:t>
      </w:r>
    </w:p>
    <w:p w14:paraId="79FD15F7" w14:textId="77777777" w:rsidR="009723A6" w:rsidRPr="00DF55CA" w:rsidRDefault="009723A6" w:rsidP="00910A8B">
      <w:pPr>
        <w:keepNext/>
        <w:spacing w:after="240"/>
        <w:rPr>
          <w:rFonts w:ascii="Calibri" w:hAnsi="Calibri" w:cs="Calibri"/>
          <w:b/>
          <w:sz w:val="23"/>
          <w:szCs w:val="23"/>
        </w:rPr>
      </w:pPr>
      <w:r w:rsidRPr="00DF55CA">
        <w:rPr>
          <w:rFonts w:ascii="Calibri" w:hAnsi="Calibri" w:cs="Calibri"/>
          <w:b/>
          <w:sz w:val="23"/>
          <w:szCs w:val="23"/>
        </w:rPr>
        <w:t>ITEM 8.</w:t>
      </w:r>
      <w:r w:rsidRPr="00DF55CA">
        <w:rPr>
          <w:rFonts w:ascii="Calibri" w:hAnsi="Calibri" w:cs="Calibri"/>
          <w:b/>
          <w:sz w:val="23"/>
          <w:szCs w:val="23"/>
        </w:rPr>
        <w:tab/>
      </w:r>
      <w:r w:rsidR="00526073" w:rsidRPr="00DF55CA">
        <w:rPr>
          <w:rFonts w:ascii="Calibri" w:hAnsi="Calibri" w:cs="Calibri"/>
          <w:b/>
          <w:sz w:val="23"/>
          <w:szCs w:val="23"/>
        </w:rPr>
        <w:tab/>
      </w:r>
      <w:r w:rsidRPr="00DF55CA">
        <w:rPr>
          <w:rFonts w:ascii="Calibri" w:hAnsi="Calibri" w:cs="Calibri"/>
          <w:b/>
          <w:sz w:val="23"/>
          <w:szCs w:val="23"/>
        </w:rPr>
        <w:t>EXECUTIVE OFFICER</w:t>
      </w:r>
    </w:p>
    <w:p w14:paraId="7D409665" w14:textId="324B92E3" w:rsidR="00B9159F" w:rsidRPr="00DF55CA" w:rsidRDefault="00A67C05" w:rsidP="00B9159F">
      <w:pPr>
        <w:spacing w:after="240"/>
        <w:ind w:left="3060" w:hanging="1620"/>
        <w:rPr>
          <w:rFonts w:ascii="Calibri" w:hAnsi="Calibri" w:cs="Calibri"/>
          <w:sz w:val="23"/>
          <w:szCs w:val="23"/>
        </w:rPr>
      </w:pPr>
      <w:r w:rsidRPr="00DF55CA">
        <w:rPr>
          <w:rFonts w:ascii="Calibri" w:hAnsi="Calibri" w:cs="Calibri"/>
          <w:sz w:val="23"/>
          <w:szCs w:val="23"/>
        </w:rPr>
        <w:t>Contact:</w:t>
      </w:r>
      <w:r w:rsidRPr="00DF55CA">
        <w:rPr>
          <w:rFonts w:ascii="Calibri" w:hAnsi="Calibri" w:cs="Calibri"/>
          <w:sz w:val="23"/>
          <w:szCs w:val="23"/>
        </w:rPr>
        <w:tab/>
      </w:r>
      <w:r w:rsidR="00DF55CA" w:rsidRPr="00DF55CA">
        <w:rPr>
          <w:rFonts w:ascii="Calibri" w:hAnsi="Calibri" w:cs="Calibri"/>
          <w:sz w:val="23"/>
          <w:szCs w:val="23"/>
        </w:rPr>
        <w:t>Mehran Ehsan</w:t>
      </w:r>
      <w:r w:rsidR="00B9159F" w:rsidRPr="00DF55CA">
        <w:rPr>
          <w:rFonts w:ascii="Calibri" w:hAnsi="Calibri" w:cs="Calibri"/>
          <w:sz w:val="23"/>
          <w:szCs w:val="23"/>
        </w:rPr>
        <w:t xml:space="preserve">, </w:t>
      </w:r>
      <w:r w:rsidR="00DF55CA" w:rsidRPr="00DF55CA">
        <w:rPr>
          <w:rFonts w:ascii="Calibri" w:hAnsi="Calibri" w:cs="Calibri"/>
          <w:sz w:val="23"/>
          <w:szCs w:val="23"/>
        </w:rPr>
        <w:t xml:space="preserve">President, </w:t>
      </w:r>
      <w:r w:rsidR="00B9159F" w:rsidRPr="00DF55CA">
        <w:rPr>
          <w:rFonts w:ascii="Calibri" w:hAnsi="Calibri" w:cs="Calibri"/>
          <w:sz w:val="23"/>
          <w:szCs w:val="23"/>
        </w:rPr>
        <w:t xml:space="preserve">Chief Executive Officer and </w:t>
      </w:r>
      <w:r w:rsidR="0068233F" w:rsidRPr="00DF55CA">
        <w:rPr>
          <w:rFonts w:ascii="Calibri" w:hAnsi="Calibri" w:cs="Calibri"/>
          <w:sz w:val="23"/>
          <w:szCs w:val="23"/>
        </w:rPr>
        <w:t>Director</w:t>
      </w:r>
      <w:r w:rsidR="00727140" w:rsidRPr="00DF55CA">
        <w:rPr>
          <w:rFonts w:ascii="Calibri" w:hAnsi="Calibri" w:cs="Calibri"/>
          <w:sz w:val="23"/>
          <w:szCs w:val="23"/>
        </w:rPr>
        <w:t xml:space="preserve"> or </w:t>
      </w:r>
      <w:r w:rsidR="00DF55CA" w:rsidRPr="00DF55CA">
        <w:rPr>
          <w:rFonts w:ascii="Calibri" w:hAnsi="Calibri" w:cs="Calibri"/>
          <w:sz w:val="23"/>
          <w:szCs w:val="23"/>
        </w:rPr>
        <w:t>Gregory Montgomery</w:t>
      </w:r>
      <w:r w:rsidR="00727140" w:rsidRPr="00DF55CA">
        <w:rPr>
          <w:rFonts w:ascii="Calibri" w:hAnsi="Calibri" w:cs="Calibri"/>
          <w:sz w:val="23"/>
          <w:szCs w:val="23"/>
        </w:rPr>
        <w:t xml:space="preserve">, </w:t>
      </w:r>
      <w:r w:rsidR="00DF55CA" w:rsidRPr="00DF55CA">
        <w:rPr>
          <w:rFonts w:ascii="Calibri" w:hAnsi="Calibri" w:cs="Calibri"/>
          <w:sz w:val="23"/>
          <w:szCs w:val="23"/>
        </w:rPr>
        <w:t xml:space="preserve">Chief Financial </w:t>
      </w:r>
      <w:proofErr w:type="gramStart"/>
      <w:r w:rsidR="00DF55CA" w:rsidRPr="00DF55CA">
        <w:rPr>
          <w:rFonts w:ascii="Calibri" w:hAnsi="Calibri" w:cs="Calibri"/>
          <w:sz w:val="23"/>
          <w:szCs w:val="23"/>
        </w:rPr>
        <w:t>Officer</w:t>
      </w:r>
      <w:proofErr w:type="gramEnd"/>
      <w:r w:rsidR="0068233F" w:rsidRPr="00DF55CA">
        <w:rPr>
          <w:rFonts w:ascii="Calibri" w:hAnsi="Calibri" w:cs="Calibri"/>
          <w:sz w:val="23"/>
          <w:szCs w:val="23"/>
        </w:rPr>
        <w:t xml:space="preserve"> and Director</w:t>
      </w:r>
    </w:p>
    <w:p w14:paraId="31D68FA9" w14:textId="3434EC01" w:rsidR="00CE1547" w:rsidRPr="00A62156" w:rsidRDefault="00A67C05" w:rsidP="00B9159F">
      <w:pPr>
        <w:spacing w:after="240"/>
        <w:ind w:left="3060" w:hanging="1620"/>
        <w:rPr>
          <w:rFonts w:ascii="Calibri" w:hAnsi="Calibri" w:cs="Calibri"/>
          <w:sz w:val="23"/>
          <w:szCs w:val="23"/>
          <w:highlight w:val="yellow"/>
        </w:rPr>
      </w:pPr>
      <w:r w:rsidRPr="00DF55CA">
        <w:rPr>
          <w:rFonts w:ascii="Calibri" w:hAnsi="Calibri" w:cs="Calibri"/>
          <w:sz w:val="23"/>
          <w:szCs w:val="23"/>
        </w:rPr>
        <w:t>Telephone:</w:t>
      </w:r>
      <w:r w:rsidRPr="00DF55CA">
        <w:rPr>
          <w:rFonts w:ascii="Calibri" w:hAnsi="Calibri" w:cs="Calibri"/>
          <w:sz w:val="23"/>
          <w:szCs w:val="23"/>
        </w:rPr>
        <w:tab/>
      </w:r>
      <w:r w:rsidR="00DF55CA" w:rsidRPr="00DF55CA">
        <w:rPr>
          <w:rFonts w:ascii="Calibri" w:hAnsi="Calibri" w:cs="Calibri"/>
          <w:sz w:val="23"/>
          <w:szCs w:val="23"/>
        </w:rPr>
        <w:t>214</w:t>
      </w:r>
      <w:r w:rsidR="00DF55CA">
        <w:rPr>
          <w:rFonts w:ascii="Calibri" w:hAnsi="Calibri" w:cs="Calibri"/>
          <w:sz w:val="23"/>
          <w:szCs w:val="23"/>
        </w:rPr>
        <w:t>-</w:t>
      </w:r>
      <w:r w:rsidR="00DF55CA" w:rsidRPr="00DF55CA">
        <w:rPr>
          <w:rFonts w:ascii="Calibri" w:hAnsi="Calibri" w:cs="Calibri"/>
          <w:sz w:val="23"/>
          <w:szCs w:val="23"/>
        </w:rPr>
        <w:t>459-2782</w:t>
      </w:r>
    </w:p>
    <w:p w14:paraId="0F5220B0" w14:textId="77777777" w:rsidR="009723A6" w:rsidRPr="00A62156" w:rsidRDefault="009723A6">
      <w:pPr>
        <w:spacing w:after="240"/>
        <w:rPr>
          <w:rFonts w:ascii="Calibri" w:hAnsi="Calibri" w:cs="Calibri"/>
          <w:b/>
          <w:sz w:val="23"/>
          <w:szCs w:val="23"/>
        </w:rPr>
      </w:pPr>
      <w:r w:rsidRPr="00A62156">
        <w:rPr>
          <w:rFonts w:ascii="Calibri" w:hAnsi="Calibri" w:cs="Calibri"/>
          <w:b/>
          <w:sz w:val="23"/>
          <w:szCs w:val="23"/>
        </w:rPr>
        <w:t>ITEM 9.</w:t>
      </w:r>
      <w:r w:rsidRPr="00A62156">
        <w:rPr>
          <w:rFonts w:ascii="Calibri" w:hAnsi="Calibri" w:cs="Calibri"/>
          <w:b/>
          <w:sz w:val="23"/>
          <w:szCs w:val="23"/>
        </w:rPr>
        <w:tab/>
      </w:r>
      <w:r w:rsidR="00526073" w:rsidRPr="00A62156">
        <w:rPr>
          <w:rFonts w:ascii="Calibri" w:hAnsi="Calibri" w:cs="Calibri"/>
          <w:b/>
          <w:sz w:val="23"/>
          <w:szCs w:val="23"/>
        </w:rPr>
        <w:tab/>
      </w:r>
      <w:r w:rsidRPr="00A62156">
        <w:rPr>
          <w:rFonts w:ascii="Calibri" w:hAnsi="Calibri" w:cs="Calibri"/>
          <w:b/>
          <w:sz w:val="23"/>
          <w:szCs w:val="23"/>
        </w:rPr>
        <w:t>DATE OF REPORT</w:t>
      </w:r>
    </w:p>
    <w:p w14:paraId="5CBCAEB1" w14:textId="35A90EAD" w:rsidR="008C7BF2" w:rsidRPr="00A62156" w:rsidRDefault="0068233F" w:rsidP="00B5537B">
      <w:pPr>
        <w:spacing w:after="240"/>
        <w:ind w:left="1440"/>
        <w:rPr>
          <w:rFonts w:ascii="Calibri" w:hAnsi="Calibri" w:cs="Calibri"/>
          <w:sz w:val="23"/>
          <w:szCs w:val="23"/>
        </w:rPr>
      </w:pPr>
      <w:r w:rsidRPr="00A62156">
        <w:rPr>
          <w:rFonts w:ascii="Calibri" w:hAnsi="Calibri" w:cs="Calibri"/>
          <w:sz w:val="23"/>
          <w:szCs w:val="23"/>
        </w:rPr>
        <w:t xml:space="preserve">November </w:t>
      </w:r>
      <w:r w:rsidR="00F0417E">
        <w:rPr>
          <w:rFonts w:ascii="Calibri" w:hAnsi="Calibri" w:cs="Calibri"/>
          <w:sz w:val="23"/>
          <w:szCs w:val="23"/>
        </w:rPr>
        <w:t>10</w:t>
      </w:r>
      <w:r w:rsidR="00B9159F" w:rsidRPr="00A62156">
        <w:rPr>
          <w:rFonts w:ascii="Calibri" w:hAnsi="Calibri" w:cs="Calibri"/>
          <w:sz w:val="23"/>
          <w:szCs w:val="23"/>
        </w:rPr>
        <w:t>, 202</w:t>
      </w:r>
      <w:r w:rsidRPr="00A62156">
        <w:rPr>
          <w:rFonts w:ascii="Calibri" w:hAnsi="Calibri" w:cs="Calibri"/>
          <w:sz w:val="23"/>
          <w:szCs w:val="23"/>
        </w:rPr>
        <w:t>2</w:t>
      </w:r>
    </w:p>
    <w:p w14:paraId="1CCBEDF1" w14:textId="3A640381" w:rsidR="002E2D34" w:rsidRPr="00A62156" w:rsidRDefault="002E2D34" w:rsidP="00727140">
      <w:pPr>
        <w:spacing w:after="240"/>
        <w:jc w:val="both"/>
        <w:rPr>
          <w:rFonts w:ascii="Calibri" w:hAnsi="Calibri" w:cs="Calibri"/>
          <w:b/>
          <w:sz w:val="23"/>
          <w:szCs w:val="23"/>
          <w:highlight w:val="yellow"/>
        </w:rPr>
      </w:pPr>
      <w:r w:rsidRPr="00A62156">
        <w:rPr>
          <w:rFonts w:ascii="Calibri" w:hAnsi="Calibri" w:cs="Calibri"/>
          <w:b/>
          <w:sz w:val="23"/>
          <w:szCs w:val="23"/>
          <w:highlight w:val="yellow"/>
        </w:rPr>
        <w:br w:type="page"/>
      </w:r>
    </w:p>
    <w:p w14:paraId="4D86A354" w14:textId="5C6B55EB" w:rsidR="00727140" w:rsidRPr="00DF55CA" w:rsidRDefault="00727140" w:rsidP="00727140">
      <w:pPr>
        <w:spacing w:after="240"/>
        <w:jc w:val="both"/>
        <w:rPr>
          <w:rFonts w:ascii="Calibri" w:hAnsi="Calibri" w:cs="Calibri"/>
          <w:b/>
          <w:sz w:val="23"/>
          <w:szCs w:val="23"/>
        </w:rPr>
      </w:pPr>
      <w:r w:rsidRPr="00DF55CA">
        <w:rPr>
          <w:rFonts w:ascii="Calibri" w:hAnsi="Calibri" w:cs="Calibri"/>
          <w:b/>
          <w:sz w:val="23"/>
          <w:szCs w:val="23"/>
        </w:rPr>
        <w:lastRenderedPageBreak/>
        <w:t>Forward Looking Information</w:t>
      </w:r>
    </w:p>
    <w:p w14:paraId="021BA33B" w14:textId="3AC73B76" w:rsidR="00DF55CA" w:rsidRPr="00DF02D6" w:rsidRDefault="00DF55CA" w:rsidP="00DF55CA">
      <w:pPr>
        <w:spacing w:after="240"/>
        <w:jc w:val="both"/>
        <w:rPr>
          <w:rFonts w:asciiTheme="minorHAnsi" w:hAnsiTheme="minorHAnsi" w:cstheme="minorHAnsi"/>
          <w:i/>
        </w:rPr>
      </w:pPr>
      <w:r w:rsidRPr="00DF02D6">
        <w:rPr>
          <w:rFonts w:asciiTheme="minorHAnsi" w:hAnsiTheme="minorHAnsi" w:cstheme="minorHAnsi"/>
          <w:i/>
        </w:rPr>
        <w:t xml:space="preserve">This </w:t>
      </w:r>
      <w:r w:rsidR="00FF764C">
        <w:rPr>
          <w:rFonts w:asciiTheme="minorHAnsi" w:hAnsiTheme="minorHAnsi" w:cstheme="minorHAnsi"/>
          <w:i/>
        </w:rPr>
        <w:t xml:space="preserve">material change report </w:t>
      </w:r>
      <w:r w:rsidRPr="00DF02D6">
        <w:rPr>
          <w:rFonts w:asciiTheme="minorHAnsi" w:hAnsiTheme="minorHAnsi" w:cstheme="minorHAnsi"/>
          <w:i/>
        </w:rPr>
        <w:t xml:space="preserve">contains forward-looking statements relating to </w:t>
      </w:r>
      <w:r>
        <w:rPr>
          <w:rFonts w:asciiTheme="minorHAnsi" w:hAnsiTheme="minorHAnsi" w:cstheme="minorHAnsi"/>
          <w:i/>
        </w:rPr>
        <w:t>the effect of the Consolidation on the market for the Shares</w:t>
      </w:r>
      <w:r w:rsidRPr="00DF02D6">
        <w:rPr>
          <w:rFonts w:asciiTheme="minorHAnsi" w:hAnsiTheme="minorHAnsi" w:cstheme="minorHAnsi"/>
          <w:i/>
        </w:rPr>
        <w:t xml:space="preserve"> and other statements that are not historical facts. Forward-looking statements are often identified by terms such as "will", "may", "should", "anticipate", "expects" and similar expressions. All statements other than statements of historical fact included in this </w:t>
      </w:r>
      <w:r w:rsidR="00FF764C">
        <w:rPr>
          <w:rFonts w:asciiTheme="minorHAnsi" w:hAnsiTheme="minorHAnsi" w:cstheme="minorHAnsi"/>
          <w:i/>
        </w:rPr>
        <w:t xml:space="preserve">material change report </w:t>
      </w:r>
      <w:r w:rsidRPr="00DF02D6">
        <w:rPr>
          <w:rFonts w:asciiTheme="minorHAnsi" w:hAnsiTheme="minorHAnsi" w:cstheme="minorHAnsi"/>
          <w:i/>
        </w:rPr>
        <w:t xml:space="preserve">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w:t>
      </w:r>
      <w:r w:rsidR="00E80C10">
        <w:rPr>
          <w:rFonts w:asciiTheme="minorHAnsi" w:hAnsiTheme="minorHAnsi" w:cstheme="minorHAnsi"/>
          <w:i/>
        </w:rPr>
        <w:t xml:space="preserve">those </w:t>
      </w:r>
      <w:r w:rsidRPr="00DF02D6">
        <w:rPr>
          <w:rFonts w:asciiTheme="minorHAnsi" w:hAnsiTheme="minorHAnsi" w:cstheme="minorHAnsi"/>
          <w:i/>
        </w:rPr>
        <w:t>risks detailed from time to time in the filings made by the Company</w:t>
      </w:r>
      <w:r>
        <w:rPr>
          <w:rFonts w:asciiTheme="minorHAnsi" w:hAnsiTheme="minorHAnsi" w:cstheme="minorHAnsi"/>
          <w:i/>
        </w:rPr>
        <w:t xml:space="preserve"> with the U.S. Securities and Exchange Commission and the Canadian </w:t>
      </w:r>
      <w:r w:rsidRPr="00DF02D6">
        <w:rPr>
          <w:rFonts w:asciiTheme="minorHAnsi" w:hAnsiTheme="minorHAnsi" w:cstheme="minorHAnsi"/>
          <w:i/>
        </w:rPr>
        <w:t xml:space="preserve">securities </w:t>
      </w:r>
      <w:r>
        <w:rPr>
          <w:rFonts w:asciiTheme="minorHAnsi" w:hAnsiTheme="minorHAnsi" w:cstheme="minorHAnsi"/>
          <w:i/>
        </w:rPr>
        <w:t>regulators</w:t>
      </w:r>
      <w:r w:rsidRPr="00DF02D6">
        <w:rPr>
          <w:rFonts w:asciiTheme="minorHAnsi" w:hAnsiTheme="minorHAnsi" w:cstheme="minorHAnsi"/>
          <w:i/>
        </w:rPr>
        <w:t>.</w:t>
      </w:r>
    </w:p>
    <w:p w14:paraId="56B16F08" w14:textId="45D7B571" w:rsidR="007B4959" w:rsidRPr="00DF55CA" w:rsidRDefault="00DF55CA" w:rsidP="00987787">
      <w:pPr>
        <w:spacing w:after="240"/>
        <w:jc w:val="both"/>
        <w:rPr>
          <w:rFonts w:asciiTheme="minorHAnsi" w:hAnsiTheme="minorHAnsi" w:cstheme="minorHAnsi"/>
        </w:rPr>
      </w:pPr>
      <w:r>
        <w:rPr>
          <w:rFonts w:asciiTheme="minorHAnsi" w:hAnsiTheme="minorHAnsi" w:cstheme="minorHAnsi"/>
          <w:i/>
        </w:rPr>
        <w:t>You are</w:t>
      </w:r>
      <w:r w:rsidRPr="00DF02D6">
        <w:rPr>
          <w:rFonts w:asciiTheme="minorHAnsi" w:hAnsiTheme="minorHAnsi" w:cstheme="minorHAnsi"/>
          <w:i/>
        </w:rPr>
        <w:t xml:space="preserve"> cautioned that assumptions used in the preparation of any forward-looking information</w:t>
      </w:r>
      <w:r w:rsidRPr="00DF02D6">
        <w:rPr>
          <w:rFonts w:asciiTheme="minorHAnsi" w:hAnsiTheme="minorHAnsi" w:cstheme="minorHAnsi"/>
          <w:i/>
          <w:spacing w:val="3"/>
        </w:rPr>
        <w:t xml:space="preserve"> </w:t>
      </w:r>
      <w:r w:rsidRPr="00DF02D6">
        <w:rPr>
          <w:rFonts w:asciiTheme="minorHAnsi" w:hAnsiTheme="minorHAnsi" w:cstheme="minorHAnsi"/>
          <w:i/>
        </w:rPr>
        <w:t>may prove</w:t>
      </w:r>
      <w:r w:rsidRPr="00DF02D6">
        <w:rPr>
          <w:rFonts w:asciiTheme="minorHAnsi" w:hAnsiTheme="minorHAnsi" w:cstheme="minorHAnsi"/>
          <w:i/>
          <w:spacing w:val="28"/>
        </w:rPr>
        <w:t xml:space="preserve"> </w:t>
      </w:r>
      <w:r w:rsidRPr="00DF02D6">
        <w:rPr>
          <w:rFonts w:asciiTheme="minorHAnsi" w:hAnsiTheme="minorHAnsi" w:cstheme="minorHAnsi"/>
          <w:i/>
        </w:rPr>
        <w:t>to</w:t>
      </w:r>
      <w:r w:rsidRPr="00DF02D6">
        <w:rPr>
          <w:rFonts w:asciiTheme="minorHAnsi" w:hAnsiTheme="minorHAnsi" w:cstheme="minorHAnsi"/>
          <w:i/>
          <w:spacing w:val="27"/>
        </w:rPr>
        <w:t xml:space="preserve"> </w:t>
      </w:r>
      <w:r w:rsidRPr="00DF02D6">
        <w:rPr>
          <w:rFonts w:asciiTheme="minorHAnsi" w:hAnsiTheme="minorHAnsi" w:cstheme="minorHAnsi"/>
          <w:i/>
        </w:rPr>
        <w:t>be</w:t>
      </w:r>
      <w:r w:rsidRPr="00DF02D6">
        <w:rPr>
          <w:rFonts w:asciiTheme="minorHAnsi" w:hAnsiTheme="minorHAnsi" w:cstheme="minorHAnsi"/>
          <w:i/>
          <w:spacing w:val="28"/>
        </w:rPr>
        <w:t xml:space="preserve"> </w:t>
      </w:r>
      <w:r w:rsidRPr="00DF02D6">
        <w:rPr>
          <w:rFonts w:asciiTheme="minorHAnsi" w:hAnsiTheme="minorHAnsi" w:cstheme="minorHAnsi"/>
          <w:i/>
        </w:rPr>
        <w:t>incorrect.</w:t>
      </w:r>
      <w:r w:rsidRPr="00DF02D6">
        <w:rPr>
          <w:rFonts w:asciiTheme="minorHAnsi" w:hAnsiTheme="minorHAnsi" w:cstheme="minorHAnsi"/>
          <w:i/>
          <w:spacing w:val="27"/>
        </w:rPr>
        <w:t xml:space="preserve"> </w:t>
      </w:r>
      <w:r w:rsidRPr="00DF02D6">
        <w:rPr>
          <w:rFonts w:asciiTheme="minorHAnsi" w:hAnsiTheme="minorHAnsi" w:cstheme="minorHAnsi"/>
          <w:i/>
        </w:rPr>
        <w:t>Events</w:t>
      </w:r>
      <w:r w:rsidRPr="00DF02D6">
        <w:rPr>
          <w:rFonts w:asciiTheme="minorHAnsi" w:hAnsiTheme="minorHAnsi" w:cstheme="minorHAnsi"/>
          <w:i/>
          <w:spacing w:val="30"/>
        </w:rPr>
        <w:t xml:space="preserve"> </w:t>
      </w:r>
      <w:r w:rsidRPr="00DF02D6">
        <w:rPr>
          <w:rFonts w:asciiTheme="minorHAnsi" w:hAnsiTheme="minorHAnsi" w:cstheme="minorHAnsi"/>
          <w:i/>
        </w:rPr>
        <w:t>or</w:t>
      </w:r>
      <w:r w:rsidRPr="00DF02D6">
        <w:rPr>
          <w:rFonts w:asciiTheme="minorHAnsi" w:hAnsiTheme="minorHAnsi" w:cstheme="minorHAnsi"/>
          <w:i/>
          <w:spacing w:val="30"/>
        </w:rPr>
        <w:t xml:space="preserve"> </w:t>
      </w:r>
      <w:r w:rsidRPr="00DF02D6">
        <w:rPr>
          <w:rFonts w:asciiTheme="minorHAnsi" w:hAnsiTheme="minorHAnsi" w:cstheme="minorHAnsi"/>
          <w:i/>
        </w:rPr>
        <w:t>circumstances</w:t>
      </w:r>
      <w:r w:rsidRPr="00DF02D6">
        <w:rPr>
          <w:rFonts w:asciiTheme="minorHAnsi" w:hAnsiTheme="minorHAnsi" w:cstheme="minorHAnsi"/>
          <w:i/>
          <w:spacing w:val="30"/>
        </w:rPr>
        <w:t xml:space="preserve"> </w:t>
      </w:r>
      <w:r w:rsidRPr="00DF02D6">
        <w:rPr>
          <w:rFonts w:asciiTheme="minorHAnsi" w:hAnsiTheme="minorHAnsi" w:cstheme="minorHAnsi"/>
          <w:i/>
        </w:rPr>
        <w:t>may</w:t>
      </w:r>
      <w:r w:rsidRPr="00DF02D6">
        <w:rPr>
          <w:rFonts w:asciiTheme="minorHAnsi" w:hAnsiTheme="minorHAnsi" w:cstheme="minorHAnsi"/>
          <w:i/>
          <w:spacing w:val="28"/>
        </w:rPr>
        <w:t xml:space="preserve"> </w:t>
      </w:r>
      <w:r w:rsidRPr="00DF02D6">
        <w:rPr>
          <w:rFonts w:asciiTheme="minorHAnsi" w:hAnsiTheme="minorHAnsi" w:cstheme="minorHAnsi"/>
          <w:i/>
        </w:rPr>
        <w:t>cause</w:t>
      </w:r>
      <w:r w:rsidRPr="00DF02D6">
        <w:rPr>
          <w:rFonts w:asciiTheme="minorHAnsi" w:hAnsiTheme="minorHAnsi" w:cstheme="minorHAnsi"/>
          <w:i/>
          <w:spacing w:val="28"/>
        </w:rPr>
        <w:t xml:space="preserve"> </w:t>
      </w:r>
      <w:r w:rsidRPr="00DF02D6">
        <w:rPr>
          <w:rFonts w:asciiTheme="minorHAnsi" w:hAnsiTheme="minorHAnsi" w:cstheme="minorHAnsi"/>
          <w:i/>
        </w:rPr>
        <w:t>actual</w:t>
      </w:r>
      <w:r w:rsidRPr="00DF02D6">
        <w:rPr>
          <w:rFonts w:asciiTheme="minorHAnsi" w:hAnsiTheme="minorHAnsi" w:cstheme="minorHAnsi"/>
          <w:i/>
          <w:spacing w:val="28"/>
        </w:rPr>
        <w:t xml:space="preserve"> </w:t>
      </w:r>
      <w:r w:rsidRPr="00DF02D6">
        <w:rPr>
          <w:rFonts w:asciiTheme="minorHAnsi" w:hAnsiTheme="minorHAnsi" w:cstheme="minorHAnsi"/>
          <w:i/>
        </w:rPr>
        <w:t>results</w:t>
      </w:r>
      <w:r w:rsidRPr="00DF02D6">
        <w:rPr>
          <w:rFonts w:asciiTheme="minorHAnsi" w:hAnsiTheme="minorHAnsi" w:cstheme="minorHAnsi"/>
          <w:i/>
          <w:spacing w:val="28"/>
        </w:rPr>
        <w:t xml:space="preserve"> </w:t>
      </w:r>
      <w:r w:rsidRPr="00DF02D6">
        <w:rPr>
          <w:rFonts w:asciiTheme="minorHAnsi" w:hAnsiTheme="minorHAnsi" w:cstheme="minorHAnsi"/>
          <w:i/>
        </w:rPr>
        <w:t>to</w:t>
      </w:r>
      <w:r w:rsidRPr="00DF02D6">
        <w:rPr>
          <w:rFonts w:asciiTheme="minorHAnsi" w:hAnsiTheme="minorHAnsi" w:cstheme="minorHAnsi"/>
          <w:i/>
          <w:spacing w:val="27"/>
        </w:rPr>
        <w:t xml:space="preserve"> </w:t>
      </w:r>
      <w:r w:rsidRPr="00DF02D6">
        <w:rPr>
          <w:rFonts w:asciiTheme="minorHAnsi" w:hAnsiTheme="minorHAnsi" w:cstheme="minorHAnsi"/>
          <w:i/>
        </w:rPr>
        <w:t>differ</w:t>
      </w:r>
      <w:r w:rsidRPr="00DF02D6">
        <w:rPr>
          <w:rFonts w:asciiTheme="minorHAnsi" w:hAnsiTheme="minorHAnsi" w:cstheme="minorHAnsi"/>
          <w:i/>
          <w:spacing w:val="30"/>
        </w:rPr>
        <w:t xml:space="preserve"> </w:t>
      </w:r>
      <w:r w:rsidRPr="00DF02D6">
        <w:rPr>
          <w:rFonts w:asciiTheme="minorHAnsi" w:hAnsiTheme="minorHAnsi" w:cstheme="minorHAnsi"/>
          <w:i/>
        </w:rPr>
        <w:t>materially</w:t>
      </w:r>
      <w:r w:rsidRPr="00DF02D6">
        <w:rPr>
          <w:rFonts w:asciiTheme="minorHAnsi" w:hAnsiTheme="minorHAnsi" w:cstheme="minorHAnsi"/>
          <w:i/>
          <w:spacing w:val="28"/>
        </w:rPr>
        <w:t xml:space="preserve"> </w:t>
      </w:r>
      <w:r w:rsidRPr="00DF02D6">
        <w:rPr>
          <w:rFonts w:asciiTheme="minorHAnsi" w:hAnsiTheme="minorHAnsi" w:cstheme="minorHAnsi"/>
          <w:i/>
        </w:rPr>
        <w:t>from</w:t>
      </w:r>
      <w:r w:rsidRPr="00DF02D6">
        <w:rPr>
          <w:rFonts w:asciiTheme="minorHAnsi" w:hAnsiTheme="minorHAnsi" w:cstheme="minorHAnsi"/>
          <w:i/>
          <w:spacing w:val="27"/>
        </w:rPr>
        <w:t xml:space="preserve"> </w:t>
      </w:r>
      <w:r w:rsidRPr="00DF02D6">
        <w:rPr>
          <w:rFonts w:asciiTheme="minorHAnsi" w:hAnsiTheme="minorHAnsi" w:cstheme="minorHAnsi"/>
          <w:i/>
        </w:rPr>
        <w:t>those predicted</w:t>
      </w:r>
      <w:r w:rsidRPr="00DF02D6">
        <w:rPr>
          <w:rFonts w:asciiTheme="minorHAnsi" w:hAnsiTheme="minorHAnsi" w:cstheme="minorHAnsi"/>
          <w:i/>
          <w:spacing w:val="29"/>
        </w:rPr>
        <w:t xml:space="preserve"> </w:t>
      </w:r>
      <w:proofErr w:type="gramStart"/>
      <w:r w:rsidRPr="00DF02D6">
        <w:rPr>
          <w:rFonts w:asciiTheme="minorHAnsi" w:hAnsiTheme="minorHAnsi" w:cstheme="minorHAnsi"/>
          <w:i/>
        </w:rPr>
        <w:t>as</w:t>
      </w:r>
      <w:r w:rsidRPr="00DF02D6">
        <w:rPr>
          <w:rFonts w:asciiTheme="minorHAnsi" w:hAnsiTheme="minorHAnsi" w:cstheme="minorHAnsi"/>
          <w:i/>
          <w:spacing w:val="27"/>
        </w:rPr>
        <w:t xml:space="preserve"> </w:t>
      </w:r>
      <w:r w:rsidRPr="00DF02D6">
        <w:rPr>
          <w:rFonts w:asciiTheme="minorHAnsi" w:hAnsiTheme="minorHAnsi" w:cstheme="minorHAnsi"/>
          <w:i/>
        </w:rPr>
        <w:t>a</w:t>
      </w:r>
      <w:r w:rsidRPr="00DF02D6">
        <w:rPr>
          <w:rFonts w:asciiTheme="minorHAnsi" w:hAnsiTheme="minorHAnsi" w:cstheme="minorHAnsi"/>
          <w:i/>
          <w:spacing w:val="29"/>
        </w:rPr>
        <w:t xml:space="preserve"> </w:t>
      </w:r>
      <w:r w:rsidRPr="00DF02D6">
        <w:rPr>
          <w:rFonts w:asciiTheme="minorHAnsi" w:hAnsiTheme="minorHAnsi" w:cstheme="minorHAnsi"/>
          <w:i/>
        </w:rPr>
        <w:t>result</w:t>
      </w:r>
      <w:r w:rsidRPr="00DF02D6">
        <w:rPr>
          <w:rFonts w:asciiTheme="minorHAnsi" w:hAnsiTheme="minorHAnsi" w:cstheme="minorHAnsi"/>
          <w:i/>
          <w:spacing w:val="30"/>
        </w:rPr>
        <w:t xml:space="preserve"> </w:t>
      </w:r>
      <w:r w:rsidRPr="00DF02D6">
        <w:rPr>
          <w:rFonts w:asciiTheme="minorHAnsi" w:hAnsiTheme="minorHAnsi" w:cstheme="minorHAnsi"/>
          <w:i/>
        </w:rPr>
        <w:t>of</w:t>
      </w:r>
      <w:proofErr w:type="gramEnd"/>
      <w:r w:rsidRPr="00DF02D6">
        <w:rPr>
          <w:rFonts w:asciiTheme="minorHAnsi" w:hAnsiTheme="minorHAnsi" w:cstheme="minorHAnsi"/>
          <w:i/>
          <w:spacing w:val="30"/>
        </w:rPr>
        <w:t xml:space="preserve"> </w:t>
      </w:r>
      <w:r w:rsidRPr="00DF02D6">
        <w:rPr>
          <w:rFonts w:asciiTheme="minorHAnsi" w:hAnsiTheme="minorHAnsi" w:cstheme="minorHAnsi"/>
          <w:i/>
        </w:rPr>
        <w:t>numerous</w:t>
      </w:r>
      <w:r w:rsidRPr="00DF02D6">
        <w:rPr>
          <w:rFonts w:asciiTheme="minorHAnsi" w:hAnsiTheme="minorHAnsi" w:cstheme="minorHAnsi"/>
          <w:i/>
          <w:spacing w:val="27"/>
        </w:rPr>
        <w:t xml:space="preserve"> </w:t>
      </w:r>
      <w:r w:rsidRPr="00DF02D6">
        <w:rPr>
          <w:rFonts w:asciiTheme="minorHAnsi" w:hAnsiTheme="minorHAnsi" w:cstheme="minorHAnsi"/>
          <w:i/>
        </w:rPr>
        <w:t>known</w:t>
      </w:r>
      <w:r w:rsidRPr="00DF02D6">
        <w:rPr>
          <w:rFonts w:asciiTheme="minorHAnsi" w:hAnsiTheme="minorHAnsi" w:cstheme="minorHAnsi"/>
          <w:i/>
          <w:spacing w:val="28"/>
        </w:rPr>
        <w:t xml:space="preserve"> </w:t>
      </w:r>
      <w:r w:rsidRPr="00DF02D6">
        <w:rPr>
          <w:rFonts w:asciiTheme="minorHAnsi" w:hAnsiTheme="minorHAnsi" w:cstheme="minorHAnsi"/>
          <w:i/>
        </w:rPr>
        <w:t>and</w:t>
      </w:r>
      <w:r w:rsidRPr="00DF02D6">
        <w:rPr>
          <w:rFonts w:asciiTheme="minorHAnsi" w:hAnsiTheme="minorHAnsi" w:cstheme="minorHAnsi"/>
          <w:i/>
          <w:spacing w:val="29"/>
        </w:rPr>
        <w:t xml:space="preserve"> </w:t>
      </w:r>
      <w:r w:rsidRPr="00DF02D6">
        <w:rPr>
          <w:rFonts w:asciiTheme="minorHAnsi" w:hAnsiTheme="minorHAnsi" w:cstheme="minorHAnsi"/>
          <w:i/>
        </w:rPr>
        <w:t>unknown</w:t>
      </w:r>
      <w:r w:rsidRPr="00DF02D6">
        <w:rPr>
          <w:rFonts w:asciiTheme="minorHAnsi" w:hAnsiTheme="minorHAnsi" w:cstheme="minorHAnsi"/>
          <w:i/>
          <w:spacing w:val="29"/>
        </w:rPr>
        <w:t xml:space="preserve"> </w:t>
      </w:r>
      <w:r w:rsidRPr="00DF02D6">
        <w:rPr>
          <w:rFonts w:asciiTheme="minorHAnsi" w:hAnsiTheme="minorHAnsi" w:cstheme="minorHAnsi"/>
          <w:i/>
        </w:rPr>
        <w:t>risks,</w:t>
      </w:r>
      <w:r w:rsidRPr="00DF02D6">
        <w:rPr>
          <w:rFonts w:asciiTheme="minorHAnsi" w:hAnsiTheme="minorHAnsi" w:cstheme="minorHAnsi"/>
          <w:i/>
          <w:spacing w:val="29"/>
        </w:rPr>
        <w:t xml:space="preserve"> </w:t>
      </w:r>
      <w:r w:rsidRPr="00DF02D6">
        <w:rPr>
          <w:rFonts w:asciiTheme="minorHAnsi" w:hAnsiTheme="minorHAnsi" w:cstheme="minorHAnsi"/>
          <w:i/>
        </w:rPr>
        <w:t>uncertainties,</w:t>
      </w:r>
      <w:r w:rsidRPr="00DF02D6">
        <w:rPr>
          <w:rFonts w:asciiTheme="minorHAnsi" w:hAnsiTheme="minorHAnsi" w:cstheme="minorHAnsi"/>
          <w:i/>
          <w:spacing w:val="29"/>
        </w:rPr>
        <w:t xml:space="preserve"> </w:t>
      </w:r>
      <w:r w:rsidRPr="00DF02D6">
        <w:rPr>
          <w:rFonts w:asciiTheme="minorHAnsi" w:hAnsiTheme="minorHAnsi" w:cstheme="minorHAnsi"/>
          <w:i/>
        </w:rPr>
        <w:t>and</w:t>
      </w:r>
      <w:r w:rsidRPr="00DF02D6">
        <w:rPr>
          <w:rFonts w:asciiTheme="minorHAnsi" w:hAnsiTheme="minorHAnsi" w:cstheme="minorHAnsi"/>
          <w:i/>
          <w:spacing w:val="29"/>
        </w:rPr>
        <w:t xml:space="preserve"> </w:t>
      </w:r>
      <w:r w:rsidRPr="00DF02D6">
        <w:rPr>
          <w:rFonts w:asciiTheme="minorHAnsi" w:hAnsiTheme="minorHAnsi" w:cstheme="minorHAnsi"/>
          <w:i/>
        </w:rPr>
        <w:t>other</w:t>
      </w:r>
      <w:r w:rsidRPr="00DF02D6">
        <w:rPr>
          <w:rFonts w:asciiTheme="minorHAnsi" w:hAnsiTheme="minorHAnsi" w:cstheme="minorHAnsi"/>
          <w:i/>
          <w:spacing w:val="27"/>
        </w:rPr>
        <w:t xml:space="preserve"> </w:t>
      </w:r>
      <w:r w:rsidRPr="00DF02D6">
        <w:rPr>
          <w:rFonts w:asciiTheme="minorHAnsi" w:hAnsiTheme="minorHAnsi" w:cstheme="minorHAnsi"/>
          <w:i/>
        </w:rPr>
        <w:t>factors,</w:t>
      </w:r>
      <w:r w:rsidRPr="00DF02D6">
        <w:rPr>
          <w:rFonts w:asciiTheme="minorHAnsi" w:hAnsiTheme="minorHAnsi" w:cstheme="minorHAnsi"/>
          <w:i/>
          <w:spacing w:val="26"/>
        </w:rPr>
        <w:t xml:space="preserve"> </w:t>
      </w:r>
      <w:r w:rsidRPr="00DF02D6">
        <w:rPr>
          <w:rFonts w:asciiTheme="minorHAnsi" w:hAnsiTheme="minorHAnsi" w:cstheme="minorHAnsi"/>
          <w:i/>
        </w:rPr>
        <w:t>many</w:t>
      </w:r>
      <w:r w:rsidRPr="00DF02D6">
        <w:rPr>
          <w:rFonts w:asciiTheme="minorHAnsi" w:hAnsiTheme="minorHAnsi" w:cstheme="minorHAnsi"/>
          <w:i/>
          <w:spacing w:val="29"/>
        </w:rPr>
        <w:t xml:space="preserve"> </w:t>
      </w:r>
      <w:r w:rsidRPr="00DF02D6">
        <w:rPr>
          <w:rFonts w:asciiTheme="minorHAnsi" w:hAnsiTheme="minorHAnsi" w:cstheme="minorHAnsi"/>
          <w:i/>
        </w:rPr>
        <w:t xml:space="preserve">of which are beyond the control of the Company. </w:t>
      </w:r>
      <w:r>
        <w:rPr>
          <w:rFonts w:asciiTheme="minorHAnsi" w:hAnsiTheme="minorHAnsi" w:cstheme="minorHAnsi"/>
          <w:i/>
        </w:rPr>
        <w:t xml:space="preserve">You are </w:t>
      </w:r>
      <w:r w:rsidRPr="00DF02D6">
        <w:rPr>
          <w:rFonts w:asciiTheme="minorHAnsi" w:hAnsiTheme="minorHAnsi" w:cstheme="minorHAnsi"/>
          <w:i/>
        </w:rPr>
        <w:t>cautioned not to place undue reliance on</w:t>
      </w:r>
      <w:r w:rsidRPr="00DF02D6">
        <w:rPr>
          <w:rFonts w:asciiTheme="minorHAnsi" w:hAnsiTheme="minorHAnsi" w:cstheme="minorHAnsi"/>
          <w:i/>
          <w:spacing w:val="15"/>
        </w:rPr>
        <w:t xml:space="preserve"> </w:t>
      </w:r>
      <w:r w:rsidRPr="00DF02D6">
        <w:rPr>
          <w:rFonts w:asciiTheme="minorHAnsi" w:hAnsiTheme="minorHAnsi" w:cstheme="minorHAnsi"/>
          <w:i/>
        </w:rPr>
        <w:t>any forward-looking information. Such information, although considered reasonable by management at</w:t>
      </w:r>
      <w:r w:rsidRPr="00DF02D6">
        <w:rPr>
          <w:rFonts w:asciiTheme="minorHAnsi" w:hAnsiTheme="minorHAnsi" w:cstheme="minorHAnsi"/>
          <w:i/>
          <w:spacing w:val="42"/>
        </w:rPr>
        <w:t xml:space="preserve"> </w:t>
      </w:r>
      <w:r w:rsidRPr="00DF02D6">
        <w:rPr>
          <w:rFonts w:asciiTheme="minorHAnsi" w:hAnsiTheme="minorHAnsi" w:cstheme="minorHAnsi"/>
          <w:i/>
        </w:rPr>
        <w:t>the time of preparation, may prove to be incorrect and actual results may differ materially from</w:t>
      </w:r>
      <w:r w:rsidRPr="00DF02D6">
        <w:rPr>
          <w:rFonts w:asciiTheme="minorHAnsi" w:hAnsiTheme="minorHAnsi" w:cstheme="minorHAnsi"/>
          <w:i/>
          <w:spacing w:val="18"/>
        </w:rPr>
        <w:t xml:space="preserve"> </w:t>
      </w:r>
      <w:r w:rsidRPr="00DF02D6">
        <w:rPr>
          <w:rFonts w:asciiTheme="minorHAnsi" w:hAnsiTheme="minorHAnsi" w:cstheme="minorHAnsi"/>
          <w:i/>
        </w:rPr>
        <w:t>those anticipated.</w:t>
      </w:r>
      <w:r w:rsidRPr="00DF02D6">
        <w:rPr>
          <w:rFonts w:asciiTheme="minorHAnsi" w:hAnsiTheme="minorHAnsi" w:cstheme="minorHAnsi"/>
          <w:i/>
          <w:spacing w:val="39"/>
        </w:rPr>
        <w:t xml:space="preserve"> </w:t>
      </w:r>
      <w:r w:rsidRPr="00DF02D6">
        <w:rPr>
          <w:rFonts w:asciiTheme="minorHAnsi" w:hAnsiTheme="minorHAnsi" w:cstheme="minorHAnsi"/>
          <w:i/>
        </w:rPr>
        <w:t>Forward-looking</w:t>
      </w:r>
      <w:r w:rsidRPr="00DF02D6">
        <w:rPr>
          <w:rFonts w:asciiTheme="minorHAnsi" w:hAnsiTheme="minorHAnsi" w:cstheme="minorHAnsi"/>
          <w:i/>
          <w:spacing w:val="39"/>
        </w:rPr>
        <w:t xml:space="preserve"> </w:t>
      </w:r>
      <w:r w:rsidRPr="00DF02D6">
        <w:rPr>
          <w:rFonts w:asciiTheme="minorHAnsi" w:hAnsiTheme="minorHAnsi" w:cstheme="minorHAnsi"/>
          <w:i/>
        </w:rPr>
        <w:t>statements</w:t>
      </w:r>
      <w:r w:rsidRPr="00DF02D6">
        <w:rPr>
          <w:rFonts w:asciiTheme="minorHAnsi" w:hAnsiTheme="minorHAnsi" w:cstheme="minorHAnsi"/>
          <w:i/>
          <w:spacing w:val="40"/>
        </w:rPr>
        <w:t xml:space="preserve"> </w:t>
      </w:r>
      <w:r w:rsidRPr="00DF02D6">
        <w:rPr>
          <w:rFonts w:asciiTheme="minorHAnsi" w:hAnsiTheme="minorHAnsi" w:cstheme="minorHAnsi"/>
          <w:i/>
        </w:rPr>
        <w:t>contained</w:t>
      </w:r>
      <w:r w:rsidRPr="00DF02D6">
        <w:rPr>
          <w:rFonts w:asciiTheme="minorHAnsi" w:hAnsiTheme="minorHAnsi" w:cstheme="minorHAnsi"/>
          <w:i/>
          <w:spacing w:val="40"/>
        </w:rPr>
        <w:t xml:space="preserve"> </w:t>
      </w:r>
      <w:r w:rsidRPr="00DF02D6">
        <w:rPr>
          <w:rFonts w:asciiTheme="minorHAnsi" w:hAnsiTheme="minorHAnsi" w:cstheme="minorHAnsi"/>
          <w:i/>
        </w:rPr>
        <w:t>in</w:t>
      </w:r>
      <w:r w:rsidRPr="00DF02D6">
        <w:rPr>
          <w:rFonts w:asciiTheme="minorHAnsi" w:hAnsiTheme="minorHAnsi" w:cstheme="minorHAnsi"/>
          <w:i/>
          <w:spacing w:val="39"/>
        </w:rPr>
        <w:t xml:space="preserve"> </w:t>
      </w:r>
      <w:r w:rsidRPr="00DF02D6">
        <w:rPr>
          <w:rFonts w:asciiTheme="minorHAnsi" w:hAnsiTheme="minorHAnsi" w:cstheme="minorHAnsi"/>
          <w:i/>
        </w:rPr>
        <w:t>this</w:t>
      </w:r>
      <w:r w:rsidRPr="00DF02D6">
        <w:rPr>
          <w:rFonts w:asciiTheme="minorHAnsi" w:hAnsiTheme="minorHAnsi" w:cstheme="minorHAnsi"/>
          <w:i/>
          <w:spacing w:val="40"/>
        </w:rPr>
        <w:t xml:space="preserve"> </w:t>
      </w:r>
      <w:r w:rsidR="00FF764C">
        <w:rPr>
          <w:rFonts w:asciiTheme="minorHAnsi" w:hAnsiTheme="minorHAnsi" w:cstheme="minorHAnsi"/>
          <w:i/>
        </w:rPr>
        <w:t xml:space="preserve">material change report </w:t>
      </w:r>
      <w:r w:rsidRPr="00DF02D6">
        <w:rPr>
          <w:rFonts w:asciiTheme="minorHAnsi" w:hAnsiTheme="minorHAnsi" w:cstheme="minorHAnsi"/>
          <w:i/>
        </w:rPr>
        <w:t>are</w:t>
      </w:r>
      <w:r w:rsidRPr="00DF02D6">
        <w:rPr>
          <w:rFonts w:asciiTheme="minorHAnsi" w:hAnsiTheme="minorHAnsi" w:cstheme="minorHAnsi"/>
          <w:i/>
          <w:spacing w:val="40"/>
        </w:rPr>
        <w:t xml:space="preserve"> </w:t>
      </w:r>
      <w:r w:rsidRPr="00DF02D6">
        <w:rPr>
          <w:rFonts w:asciiTheme="minorHAnsi" w:hAnsiTheme="minorHAnsi" w:cstheme="minorHAnsi"/>
          <w:i/>
        </w:rPr>
        <w:t>expressly</w:t>
      </w:r>
      <w:r w:rsidRPr="00DF02D6">
        <w:rPr>
          <w:rFonts w:asciiTheme="minorHAnsi" w:hAnsiTheme="minorHAnsi" w:cstheme="minorHAnsi"/>
          <w:i/>
          <w:spacing w:val="40"/>
        </w:rPr>
        <w:t xml:space="preserve"> </w:t>
      </w:r>
      <w:r w:rsidRPr="00DF02D6">
        <w:rPr>
          <w:rFonts w:asciiTheme="minorHAnsi" w:hAnsiTheme="minorHAnsi" w:cstheme="minorHAnsi"/>
          <w:i/>
        </w:rPr>
        <w:t>qualified</w:t>
      </w:r>
      <w:r w:rsidRPr="00DF02D6">
        <w:rPr>
          <w:rFonts w:asciiTheme="minorHAnsi" w:hAnsiTheme="minorHAnsi" w:cstheme="minorHAnsi"/>
          <w:i/>
          <w:spacing w:val="40"/>
        </w:rPr>
        <w:t xml:space="preserve"> </w:t>
      </w:r>
      <w:r w:rsidRPr="00DF02D6">
        <w:rPr>
          <w:rFonts w:asciiTheme="minorHAnsi" w:hAnsiTheme="minorHAnsi" w:cstheme="minorHAnsi"/>
          <w:i/>
        </w:rPr>
        <w:t>by</w:t>
      </w:r>
      <w:r w:rsidRPr="00DF02D6">
        <w:rPr>
          <w:rFonts w:asciiTheme="minorHAnsi" w:hAnsiTheme="minorHAnsi" w:cstheme="minorHAnsi"/>
          <w:i/>
          <w:spacing w:val="40"/>
        </w:rPr>
        <w:t xml:space="preserve"> </w:t>
      </w:r>
      <w:r w:rsidRPr="00DF02D6">
        <w:rPr>
          <w:rFonts w:asciiTheme="minorHAnsi" w:hAnsiTheme="minorHAnsi" w:cstheme="minorHAnsi"/>
          <w:i/>
        </w:rPr>
        <w:t>th</w:t>
      </w:r>
      <w:r>
        <w:rPr>
          <w:rFonts w:asciiTheme="minorHAnsi" w:hAnsiTheme="minorHAnsi" w:cstheme="minorHAnsi"/>
          <w:i/>
        </w:rPr>
        <w:t>ese</w:t>
      </w:r>
      <w:r w:rsidRPr="00DF02D6">
        <w:rPr>
          <w:rFonts w:asciiTheme="minorHAnsi" w:hAnsiTheme="minorHAnsi" w:cstheme="minorHAnsi"/>
          <w:i/>
        </w:rPr>
        <w:t xml:space="preserve"> cautionary</w:t>
      </w:r>
      <w:r w:rsidRPr="00DF02D6">
        <w:rPr>
          <w:rFonts w:asciiTheme="minorHAnsi" w:hAnsiTheme="minorHAnsi" w:cstheme="minorHAnsi"/>
          <w:i/>
          <w:spacing w:val="22"/>
        </w:rPr>
        <w:t xml:space="preserve"> </w:t>
      </w:r>
      <w:r w:rsidRPr="00DF02D6">
        <w:rPr>
          <w:rFonts w:asciiTheme="minorHAnsi" w:hAnsiTheme="minorHAnsi" w:cstheme="minorHAnsi"/>
          <w:i/>
        </w:rPr>
        <w:t>statement</w:t>
      </w:r>
      <w:r>
        <w:rPr>
          <w:rFonts w:asciiTheme="minorHAnsi" w:hAnsiTheme="minorHAnsi" w:cstheme="minorHAnsi"/>
          <w:i/>
        </w:rPr>
        <w:t>s</w:t>
      </w:r>
      <w:r w:rsidRPr="00DF02D6">
        <w:rPr>
          <w:rFonts w:asciiTheme="minorHAnsi" w:hAnsiTheme="minorHAnsi" w:cstheme="minorHAnsi"/>
          <w:i/>
        </w:rPr>
        <w:t>.</w:t>
      </w:r>
      <w:r w:rsidRPr="00DF02D6">
        <w:rPr>
          <w:rFonts w:asciiTheme="minorHAnsi" w:hAnsiTheme="minorHAnsi" w:cstheme="minorHAnsi"/>
          <w:i/>
          <w:spacing w:val="22"/>
        </w:rPr>
        <w:t xml:space="preserve"> </w:t>
      </w:r>
      <w:r w:rsidRPr="00DF02D6">
        <w:rPr>
          <w:rFonts w:asciiTheme="minorHAnsi" w:hAnsiTheme="minorHAnsi" w:cstheme="minorHAnsi"/>
          <w:i/>
        </w:rPr>
        <w:t>The</w:t>
      </w:r>
      <w:r w:rsidRPr="00DF02D6">
        <w:rPr>
          <w:rFonts w:asciiTheme="minorHAnsi" w:hAnsiTheme="minorHAnsi" w:cstheme="minorHAnsi"/>
          <w:i/>
          <w:spacing w:val="19"/>
        </w:rPr>
        <w:t xml:space="preserve"> </w:t>
      </w:r>
      <w:r w:rsidRPr="00DF02D6">
        <w:rPr>
          <w:rFonts w:asciiTheme="minorHAnsi" w:hAnsiTheme="minorHAnsi" w:cstheme="minorHAnsi"/>
          <w:i/>
        </w:rPr>
        <w:t>forward-looking</w:t>
      </w:r>
      <w:r w:rsidRPr="00DF02D6">
        <w:rPr>
          <w:rFonts w:asciiTheme="minorHAnsi" w:hAnsiTheme="minorHAnsi" w:cstheme="minorHAnsi"/>
          <w:i/>
          <w:spacing w:val="22"/>
        </w:rPr>
        <w:t xml:space="preserve"> </w:t>
      </w:r>
      <w:r w:rsidRPr="00DF02D6">
        <w:rPr>
          <w:rFonts w:asciiTheme="minorHAnsi" w:hAnsiTheme="minorHAnsi" w:cstheme="minorHAnsi"/>
          <w:i/>
        </w:rPr>
        <w:t>statements</w:t>
      </w:r>
      <w:r w:rsidRPr="00DF02D6">
        <w:rPr>
          <w:rFonts w:asciiTheme="minorHAnsi" w:hAnsiTheme="minorHAnsi" w:cstheme="minorHAnsi"/>
          <w:i/>
          <w:spacing w:val="20"/>
        </w:rPr>
        <w:t xml:space="preserve"> </w:t>
      </w:r>
      <w:r w:rsidRPr="00DF02D6">
        <w:rPr>
          <w:rFonts w:asciiTheme="minorHAnsi" w:hAnsiTheme="minorHAnsi" w:cstheme="minorHAnsi"/>
          <w:i/>
        </w:rPr>
        <w:t>contained</w:t>
      </w:r>
      <w:r w:rsidRPr="00DF02D6">
        <w:rPr>
          <w:rFonts w:asciiTheme="minorHAnsi" w:hAnsiTheme="minorHAnsi" w:cstheme="minorHAnsi"/>
          <w:i/>
          <w:spacing w:val="19"/>
        </w:rPr>
        <w:t xml:space="preserve"> </w:t>
      </w:r>
      <w:r w:rsidRPr="00DF02D6">
        <w:rPr>
          <w:rFonts w:asciiTheme="minorHAnsi" w:hAnsiTheme="minorHAnsi" w:cstheme="minorHAnsi"/>
          <w:i/>
        </w:rPr>
        <w:t>in</w:t>
      </w:r>
      <w:r w:rsidRPr="00DF02D6">
        <w:rPr>
          <w:rFonts w:asciiTheme="minorHAnsi" w:hAnsiTheme="minorHAnsi" w:cstheme="minorHAnsi"/>
          <w:i/>
          <w:spacing w:val="22"/>
        </w:rPr>
        <w:t xml:space="preserve"> </w:t>
      </w:r>
      <w:r w:rsidRPr="00DF02D6">
        <w:rPr>
          <w:rFonts w:asciiTheme="minorHAnsi" w:hAnsiTheme="minorHAnsi" w:cstheme="minorHAnsi"/>
          <w:i/>
        </w:rPr>
        <w:t>this</w:t>
      </w:r>
      <w:r w:rsidRPr="00DF02D6">
        <w:rPr>
          <w:rFonts w:asciiTheme="minorHAnsi" w:hAnsiTheme="minorHAnsi" w:cstheme="minorHAnsi"/>
          <w:i/>
          <w:spacing w:val="22"/>
        </w:rPr>
        <w:t xml:space="preserve"> </w:t>
      </w:r>
      <w:r w:rsidR="00FF764C">
        <w:rPr>
          <w:rFonts w:asciiTheme="minorHAnsi" w:hAnsiTheme="minorHAnsi" w:cstheme="minorHAnsi"/>
          <w:i/>
        </w:rPr>
        <w:t>material change report</w:t>
      </w:r>
      <w:r w:rsidRPr="00DF02D6">
        <w:rPr>
          <w:rFonts w:asciiTheme="minorHAnsi" w:hAnsiTheme="minorHAnsi" w:cstheme="minorHAnsi"/>
          <w:i/>
          <w:spacing w:val="22"/>
        </w:rPr>
        <w:t xml:space="preserve"> </w:t>
      </w:r>
      <w:r w:rsidRPr="00DF02D6">
        <w:rPr>
          <w:rFonts w:asciiTheme="minorHAnsi" w:hAnsiTheme="minorHAnsi" w:cstheme="minorHAnsi"/>
          <w:i/>
        </w:rPr>
        <w:t>are</w:t>
      </w:r>
      <w:r w:rsidRPr="00DF02D6">
        <w:rPr>
          <w:rFonts w:asciiTheme="minorHAnsi" w:hAnsiTheme="minorHAnsi" w:cstheme="minorHAnsi"/>
          <w:i/>
          <w:spacing w:val="22"/>
        </w:rPr>
        <w:t xml:space="preserve"> </w:t>
      </w:r>
      <w:r w:rsidRPr="00DF02D6">
        <w:rPr>
          <w:rFonts w:asciiTheme="minorHAnsi" w:hAnsiTheme="minorHAnsi" w:cstheme="minorHAnsi"/>
          <w:i/>
        </w:rPr>
        <w:t>made</w:t>
      </w:r>
      <w:r w:rsidRPr="00DF02D6">
        <w:rPr>
          <w:rFonts w:asciiTheme="minorHAnsi" w:hAnsiTheme="minorHAnsi" w:cstheme="minorHAnsi"/>
          <w:i/>
          <w:spacing w:val="22"/>
        </w:rPr>
        <w:t xml:space="preserve"> </w:t>
      </w:r>
      <w:r w:rsidRPr="00DF02D6">
        <w:rPr>
          <w:rFonts w:asciiTheme="minorHAnsi" w:hAnsiTheme="minorHAnsi" w:cstheme="minorHAnsi"/>
          <w:i/>
        </w:rPr>
        <w:t>as</w:t>
      </w:r>
      <w:r w:rsidRPr="00DF02D6">
        <w:rPr>
          <w:rFonts w:asciiTheme="minorHAnsi" w:hAnsiTheme="minorHAnsi" w:cstheme="minorHAnsi"/>
          <w:i/>
          <w:spacing w:val="22"/>
        </w:rPr>
        <w:t xml:space="preserve"> </w:t>
      </w:r>
      <w:r w:rsidRPr="00DF02D6">
        <w:rPr>
          <w:rFonts w:asciiTheme="minorHAnsi" w:hAnsiTheme="minorHAnsi" w:cstheme="minorHAnsi"/>
          <w:i/>
        </w:rPr>
        <w:t>of</w:t>
      </w:r>
      <w:r w:rsidRPr="00DF02D6">
        <w:rPr>
          <w:rFonts w:asciiTheme="minorHAnsi" w:hAnsiTheme="minorHAnsi" w:cstheme="minorHAnsi"/>
          <w:i/>
          <w:spacing w:val="22"/>
        </w:rPr>
        <w:t xml:space="preserve"> </w:t>
      </w:r>
      <w:r w:rsidRPr="00DF02D6">
        <w:rPr>
          <w:rFonts w:asciiTheme="minorHAnsi" w:hAnsiTheme="minorHAnsi" w:cstheme="minorHAnsi"/>
          <w:i/>
        </w:rPr>
        <w:t>the date</w:t>
      </w:r>
      <w:r w:rsidRPr="00DF02D6">
        <w:rPr>
          <w:rFonts w:asciiTheme="minorHAnsi" w:hAnsiTheme="minorHAnsi" w:cstheme="minorHAnsi"/>
          <w:i/>
          <w:spacing w:val="30"/>
        </w:rPr>
        <w:t xml:space="preserve"> </w:t>
      </w:r>
      <w:r w:rsidRPr="00DF02D6">
        <w:rPr>
          <w:rFonts w:asciiTheme="minorHAnsi" w:hAnsiTheme="minorHAnsi" w:cstheme="minorHAnsi"/>
          <w:i/>
        </w:rPr>
        <w:t>of</w:t>
      </w:r>
      <w:r w:rsidRPr="00DF02D6">
        <w:rPr>
          <w:rFonts w:asciiTheme="minorHAnsi" w:hAnsiTheme="minorHAnsi" w:cstheme="minorHAnsi"/>
          <w:i/>
          <w:spacing w:val="28"/>
        </w:rPr>
        <w:t xml:space="preserve"> </w:t>
      </w:r>
      <w:r w:rsidRPr="00DF02D6">
        <w:rPr>
          <w:rFonts w:asciiTheme="minorHAnsi" w:hAnsiTheme="minorHAnsi" w:cstheme="minorHAnsi"/>
          <w:i/>
        </w:rPr>
        <w:t>this</w:t>
      </w:r>
      <w:r w:rsidRPr="00DF02D6">
        <w:rPr>
          <w:rFonts w:asciiTheme="minorHAnsi" w:hAnsiTheme="minorHAnsi" w:cstheme="minorHAnsi"/>
          <w:i/>
          <w:spacing w:val="30"/>
        </w:rPr>
        <w:t xml:space="preserve"> </w:t>
      </w:r>
      <w:r w:rsidR="00FF764C">
        <w:rPr>
          <w:rFonts w:asciiTheme="minorHAnsi" w:hAnsiTheme="minorHAnsi" w:cstheme="minorHAnsi"/>
          <w:i/>
        </w:rPr>
        <w:t>material change report</w:t>
      </w:r>
      <w:r>
        <w:rPr>
          <w:rFonts w:asciiTheme="minorHAnsi" w:hAnsiTheme="minorHAnsi" w:cstheme="minorHAnsi"/>
          <w:i/>
        </w:rPr>
        <w:t>,</w:t>
      </w:r>
      <w:r w:rsidRPr="00DF02D6">
        <w:rPr>
          <w:rFonts w:asciiTheme="minorHAnsi" w:hAnsiTheme="minorHAnsi" w:cstheme="minorHAnsi"/>
          <w:i/>
          <w:spacing w:val="28"/>
        </w:rPr>
        <w:t xml:space="preserve"> </w:t>
      </w:r>
      <w:r w:rsidRPr="00DF02D6">
        <w:rPr>
          <w:rFonts w:asciiTheme="minorHAnsi" w:hAnsiTheme="minorHAnsi" w:cstheme="minorHAnsi"/>
          <w:i/>
        </w:rPr>
        <w:t>and</w:t>
      </w:r>
      <w:r w:rsidRPr="00DF02D6">
        <w:rPr>
          <w:rFonts w:asciiTheme="minorHAnsi" w:hAnsiTheme="minorHAnsi" w:cstheme="minorHAnsi"/>
          <w:i/>
          <w:spacing w:val="30"/>
        </w:rPr>
        <w:t xml:space="preserve"> </w:t>
      </w:r>
      <w:r w:rsidRPr="00DF02D6">
        <w:rPr>
          <w:rFonts w:asciiTheme="minorHAnsi" w:hAnsiTheme="minorHAnsi" w:cstheme="minorHAnsi"/>
          <w:i/>
        </w:rPr>
        <w:t>the</w:t>
      </w:r>
      <w:r w:rsidRPr="00DF02D6">
        <w:rPr>
          <w:rFonts w:asciiTheme="minorHAnsi" w:hAnsiTheme="minorHAnsi" w:cstheme="minorHAnsi"/>
          <w:i/>
          <w:spacing w:val="30"/>
        </w:rPr>
        <w:t xml:space="preserve"> </w:t>
      </w:r>
      <w:r w:rsidRPr="00DF02D6">
        <w:rPr>
          <w:rFonts w:asciiTheme="minorHAnsi" w:hAnsiTheme="minorHAnsi" w:cstheme="minorHAnsi"/>
          <w:i/>
        </w:rPr>
        <w:t>Company</w:t>
      </w:r>
      <w:r>
        <w:rPr>
          <w:rFonts w:asciiTheme="minorHAnsi" w:hAnsiTheme="minorHAnsi" w:cstheme="minorHAnsi"/>
          <w:i/>
        </w:rPr>
        <w:t xml:space="preserve"> disclaims any obligation to publicly update or release any revisions to these forward-looking statements, whether </w:t>
      </w:r>
      <w:proofErr w:type="gramStart"/>
      <w:r>
        <w:rPr>
          <w:rFonts w:asciiTheme="minorHAnsi" w:hAnsiTheme="minorHAnsi" w:cstheme="minorHAnsi"/>
          <w:i/>
        </w:rPr>
        <w:t>as a result of</w:t>
      </w:r>
      <w:proofErr w:type="gramEnd"/>
      <w:r>
        <w:rPr>
          <w:rFonts w:asciiTheme="minorHAnsi" w:hAnsiTheme="minorHAnsi" w:cstheme="minorHAnsi"/>
          <w:i/>
        </w:rPr>
        <w:t xml:space="preserve"> new information, future events or otherwise, after the date of this </w:t>
      </w:r>
      <w:r w:rsidR="00FF764C">
        <w:rPr>
          <w:rFonts w:asciiTheme="minorHAnsi" w:hAnsiTheme="minorHAnsi" w:cstheme="minorHAnsi"/>
          <w:i/>
        </w:rPr>
        <w:t xml:space="preserve">material change report </w:t>
      </w:r>
      <w:r>
        <w:rPr>
          <w:rFonts w:asciiTheme="minorHAnsi" w:hAnsiTheme="minorHAnsi" w:cstheme="minorHAnsi"/>
          <w:i/>
        </w:rPr>
        <w:t>or to reflect the occurrence of unanticipated events, except</w:t>
      </w:r>
      <w:r w:rsidRPr="00DF02D6">
        <w:rPr>
          <w:rFonts w:asciiTheme="minorHAnsi" w:hAnsiTheme="minorHAnsi" w:cstheme="minorHAnsi"/>
          <w:i/>
        </w:rPr>
        <w:t xml:space="preserve"> as required by applicable</w:t>
      </w:r>
      <w:r w:rsidRPr="00DF02D6">
        <w:rPr>
          <w:rFonts w:asciiTheme="minorHAnsi" w:hAnsiTheme="minorHAnsi" w:cstheme="minorHAnsi"/>
          <w:i/>
          <w:spacing w:val="-17"/>
        </w:rPr>
        <w:t xml:space="preserve"> </w:t>
      </w:r>
      <w:r w:rsidRPr="00DF02D6">
        <w:rPr>
          <w:rFonts w:asciiTheme="minorHAnsi" w:hAnsiTheme="minorHAnsi" w:cstheme="minorHAnsi"/>
          <w:i/>
        </w:rPr>
        <w:t>law.</w:t>
      </w:r>
    </w:p>
    <w:sectPr w:rsidR="007B4959" w:rsidRPr="00DF55CA" w:rsidSect="0054119F">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288" w:gutter="0"/>
      <w:paperSrc w:first="15" w:other="15"/>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B3B5" w14:textId="77777777" w:rsidR="00CA1938" w:rsidRDefault="00CA1938">
      <w:r>
        <w:separator/>
      </w:r>
    </w:p>
  </w:endnote>
  <w:endnote w:type="continuationSeparator" w:id="0">
    <w:p w14:paraId="6B458C6B" w14:textId="77777777" w:rsidR="00CA1938" w:rsidRDefault="00CA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811D" w14:textId="77777777" w:rsidR="00D31EA2" w:rsidRDefault="00D3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0E5" w14:textId="77777777" w:rsidR="00D31EA2" w:rsidRDefault="00D31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179F" w14:textId="77777777" w:rsidR="00D31EA2" w:rsidRDefault="00D3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2FC6" w14:textId="77777777" w:rsidR="00CA1938" w:rsidRDefault="00CA1938">
      <w:r>
        <w:separator/>
      </w:r>
    </w:p>
  </w:footnote>
  <w:footnote w:type="continuationSeparator" w:id="0">
    <w:p w14:paraId="606FEC85" w14:textId="77777777" w:rsidR="00CA1938" w:rsidRDefault="00CA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802" w14:textId="77777777" w:rsidR="00B133D7" w:rsidRDefault="00BE3085">
    <w:pPr>
      <w:pStyle w:val="Header"/>
      <w:framePr w:wrap="around" w:vAnchor="text" w:hAnchor="margin" w:xAlign="center" w:y="1"/>
      <w:rPr>
        <w:rStyle w:val="PageNumber"/>
      </w:rPr>
    </w:pPr>
    <w:r>
      <w:rPr>
        <w:rStyle w:val="PageNumber"/>
      </w:rPr>
      <w:fldChar w:fldCharType="begin"/>
    </w:r>
    <w:r w:rsidR="00B133D7">
      <w:rPr>
        <w:rStyle w:val="PageNumber"/>
      </w:rPr>
      <w:instrText xml:space="preserve">PAGE  </w:instrText>
    </w:r>
    <w:r>
      <w:rPr>
        <w:rStyle w:val="PageNumber"/>
      </w:rPr>
      <w:fldChar w:fldCharType="separate"/>
    </w:r>
    <w:r w:rsidR="00B133D7">
      <w:rPr>
        <w:rStyle w:val="PageNumber"/>
        <w:noProof/>
      </w:rPr>
      <w:t>2</w:t>
    </w:r>
    <w:r>
      <w:rPr>
        <w:rStyle w:val="PageNumber"/>
      </w:rPr>
      <w:fldChar w:fldCharType="end"/>
    </w:r>
  </w:p>
  <w:p w14:paraId="343EE250" w14:textId="77777777" w:rsidR="00B133D7" w:rsidRDefault="00B13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841" w14:textId="77777777" w:rsidR="00B133D7" w:rsidRPr="00D62007" w:rsidRDefault="00B133D7">
    <w:pPr>
      <w:pStyle w:val="Header"/>
      <w:jc w:val="center"/>
      <w:rPr>
        <w:rFonts w:asciiTheme="minorHAnsi" w:hAnsiTheme="minorHAnsi"/>
      </w:rPr>
    </w:pPr>
    <w:r w:rsidRPr="00D62007">
      <w:rPr>
        <w:rFonts w:asciiTheme="minorHAnsi" w:hAnsiTheme="minorHAnsi"/>
      </w:rPr>
      <w:t xml:space="preserve">- </w:t>
    </w:r>
    <w:r w:rsidR="00BE3085" w:rsidRPr="00D62007">
      <w:rPr>
        <w:rStyle w:val="PageNumber"/>
        <w:rFonts w:asciiTheme="minorHAnsi" w:hAnsiTheme="minorHAnsi"/>
      </w:rPr>
      <w:fldChar w:fldCharType="begin"/>
    </w:r>
    <w:r w:rsidRPr="00D62007">
      <w:rPr>
        <w:rStyle w:val="PageNumber"/>
        <w:rFonts w:asciiTheme="minorHAnsi" w:hAnsiTheme="minorHAnsi"/>
      </w:rPr>
      <w:instrText xml:space="preserve"> PAGE </w:instrText>
    </w:r>
    <w:r w:rsidR="00BE3085" w:rsidRPr="00D62007">
      <w:rPr>
        <w:rStyle w:val="PageNumber"/>
        <w:rFonts w:asciiTheme="minorHAnsi" w:hAnsiTheme="minorHAnsi"/>
      </w:rPr>
      <w:fldChar w:fldCharType="separate"/>
    </w:r>
    <w:r w:rsidR="003A10C0">
      <w:rPr>
        <w:rStyle w:val="PageNumber"/>
        <w:rFonts w:asciiTheme="minorHAnsi" w:hAnsiTheme="minorHAnsi"/>
        <w:noProof/>
      </w:rPr>
      <w:t>4</w:t>
    </w:r>
    <w:r w:rsidR="00BE3085" w:rsidRPr="00D62007">
      <w:rPr>
        <w:rStyle w:val="PageNumber"/>
        <w:rFonts w:asciiTheme="minorHAnsi" w:hAnsiTheme="minorHAnsi"/>
      </w:rPr>
      <w:fldChar w:fldCharType="end"/>
    </w:r>
    <w:r w:rsidRPr="00D62007">
      <w:rPr>
        <w:rFonts w:asciiTheme="minorHAnsi" w:hAnsiTheme="minorHAnsi"/>
      </w:rPr>
      <w:t xml:space="preserve"> -</w:t>
    </w:r>
    <w:r w:rsidRPr="00D62007">
      <w:rPr>
        <w:rFonts w:asciiTheme="minorHAnsi" w:hAnsiTheme="minorHAns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E07A" w14:textId="77777777" w:rsidR="00D31EA2" w:rsidRDefault="00D3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A61"/>
    <w:multiLevelType w:val="hybridMultilevel"/>
    <w:tmpl w:val="436277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FCE4C80"/>
    <w:multiLevelType w:val="hybridMultilevel"/>
    <w:tmpl w:val="2BB41A4A"/>
    <w:lvl w:ilvl="0" w:tplc="EBD03004">
      <w:start w:val="1"/>
      <w:numFmt w:val="upperLetter"/>
      <w:lvlText w:val="%1."/>
      <w:lvlJc w:val="left"/>
      <w:pPr>
        <w:tabs>
          <w:tab w:val="num" w:pos="720"/>
        </w:tabs>
        <w:ind w:left="720" w:hanging="720"/>
      </w:pPr>
      <w:rPr>
        <w:rFonts w:hint="default"/>
      </w:rPr>
    </w:lvl>
    <w:lvl w:ilvl="1" w:tplc="38E8800E">
      <w:start w:val="1"/>
      <w:numFmt w:val="lowerLetter"/>
      <w:lvlText w:val="(%2)"/>
      <w:lvlJc w:val="right"/>
      <w:pPr>
        <w:ind w:left="1440" w:firstLine="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654C5"/>
    <w:multiLevelType w:val="hybridMultilevel"/>
    <w:tmpl w:val="AE2C4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14743E"/>
    <w:multiLevelType w:val="hybridMultilevel"/>
    <w:tmpl w:val="A54A9B18"/>
    <w:lvl w:ilvl="0" w:tplc="197065C2">
      <w:start w:val="1"/>
      <w:numFmt w:val="bullet"/>
      <w:lvlText w:val=""/>
      <w:lvlJc w:val="left"/>
      <w:pPr>
        <w:ind w:left="772" w:hanging="360"/>
      </w:pPr>
      <w:rPr>
        <w:rFonts w:ascii="Symbol" w:hAnsi="Symbol" w:hint="default"/>
      </w:rPr>
    </w:lvl>
    <w:lvl w:ilvl="1" w:tplc="4DD42034" w:tentative="1">
      <w:start w:val="1"/>
      <w:numFmt w:val="bullet"/>
      <w:lvlText w:val="o"/>
      <w:lvlJc w:val="left"/>
      <w:pPr>
        <w:ind w:left="1492" w:hanging="360"/>
      </w:pPr>
      <w:rPr>
        <w:rFonts w:ascii="Courier New" w:hAnsi="Courier New" w:cs="Courier New" w:hint="default"/>
      </w:rPr>
    </w:lvl>
    <w:lvl w:ilvl="2" w:tplc="F656F606" w:tentative="1">
      <w:start w:val="1"/>
      <w:numFmt w:val="bullet"/>
      <w:lvlText w:val=""/>
      <w:lvlJc w:val="left"/>
      <w:pPr>
        <w:ind w:left="2212" w:hanging="360"/>
      </w:pPr>
      <w:rPr>
        <w:rFonts w:ascii="Wingdings" w:hAnsi="Wingdings" w:hint="default"/>
      </w:rPr>
    </w:lvl>
    <w:lvl w:ilvl="3" w:tplc="E3027F8E" w:tentative="1">
      <w:start w:val="1"/>
      <w:numFmt w:val="bullet"/>
      <w:lvlText w:val=""/>
      <w:lvlJc w:val="left"/>
      <w:pPr>
        <w:ind w:left="2932" w:hanging="360"/>
      </w:pPr>
      <w:rPr>
        <w:rFonts w:ascii="Symbol" w:hAnsi="Symbol" w:hint="default"/>
      </w:rPr>
    </w:lvl>
    <w:lvl w:ilvl="4" w:tplc="D19A8F56" w:tentative="1">
      <w:start w:val="1"/>
      <w:numFmt w:val="bullet"/>
      <w:lvlText w:val="o"/>
      <w:lvlJc w:val="left"/>
      <w:pPr>
        <w:ind w:left="3652" w:hanging="360"/>
      </w:pPr>
      <w:rPr>
        <w:rFonts w:ascii="Courier New" w:hAnsi="Courier New" w:cs="Courier New" w:hint="default"/>
      </w:rPr>
    </w:lvl>
    <w:lvl w:ilvl="5" w:tplc="661A62BE" w:tentative="1">
      <w:start w:val="1"/>
      <w:numFmt w:val="bullet"/>
      <w:lvlText w:val=""/>
      <w:lvlJc w:val="left"/>
      <w:pPr>
        <w:ind w:left="4372" w:hanging="360"/>
      </w:pPr>
      <w:rPr>
        <w:rFonts w:ascii="Wingdings" w:hAnsi="Wingdings" w:hint="default"/>
      </w:rPr>
    </w:lvl>
    <w:lvl w:ilvl="6" w:tplc="9EBC18F8" w:tentative="1">
      <w:start w:val="1"/>
      <w:numFmt w:val="bullet"/>
      <w:lvlText w:val=""/>
      <w:lvlJc w:val="left"/>
      <w:pPr>
        <w:ind w:left="5092" w:hanging="360"/>
      </w:pPr>
      <w:rPr>
        <w:rFonts w:ascii="Symbol" w:hAnsi="Symbol" w:hint="default"/>
      </w:rPr>
    </w:lvl>
    <w:lvl w:ilvl="7" w:tplc="58EA92E6" w:tentative="1">
      <w:start w:val="1"/>
      <w:numFmt w:val="bullet"/>
      <w:lvlText w:val="o"/>
      <w:lvlJc w:val="left"/>
      <w:pPr>
        <w:ind w:left="5812" w:hanging="360"/>
      </w:pPr>
      <w:rPr>
        <w:rFonts w:ascii="Courier New" w:hAnsi="Courier New" w:cs="Courier New" w:hint="default"/>
      </w:rPr>
    </w:lvl>
    <w:lvl w:ilvl="8" w:tplc="F788D8D8" w:tentative="1">
      <w:start w:val="1"/>
      <w:numFmt w:val="bullet"/>
      <w:lvlText w:val=""/>
      <w:lvlJc w:val="left"/>
      <w:pPr>
        <w:ind w:left="6532" w:hanging="360"/>
      </w:pPr>
      <w:rPr>
        <w:rFonts w:ascii="Wingdings" w:hAnsi="Wingdings" w:hint="default"/>
      </w:rPr>
    </w:lvl>
  </w:abstractNum>
  <w:abstractNum w:abstractNumId="4" w15:restartNumberingAfterBreak="0">
    <w:nsid w:val="3A3254DB"/>
    <w:multiLevelType w:val="hybridMultilevel"/>
    <w:tmpl w:val="1C368732"/>
    <w:lvl w:ilvl="0" w:tplc="0BB688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DE736F"/>
    <w:multiLevelType w:val="hybridMultilevel"/>
    <w:tmpl w:val="283ABAB0"/>
    <w:lvl w:ilvl="0" w:tplc="E4785C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2644B"/>
    <w:multiLevelType w:val="hybridMultilevel"/>
    <w:tmpl w:val="180849CC"/>
    <w:lvl w:ilvl="0" w:tplc="95EE5230">
      <w:start w:val="1"/>
      <w:numFmt w:val="lowerLetter"/>
      <w:lvlText w:val="(%1)"/>
      <w:lvlJc w:val="left"/>
      <w:pPr>
        <w:ind w:left="720" w:hanging="360"/>
      </w:pPr>
      <w:rPr>
        <w:rFonts w:hint="default"/>
      </w:rPr>
    </w:lvl>
    <w:lvl w:ilvl="1" w:tplc="4F10A934" w:tentative="1">
      <w:start w:val="1"/>
      <w:numFmt w:val="lowerLetter"/>
      <w:lvlText w:val="%2."/>
      <w:lvlJc w:val="left"/>
      <w:pPr>
        <w:ind w:left="1440" w:hanging="360"/>
      </w:pPr>
    </w:lvl>
    <w:lvl w:ilvl="2" w:tplc="BFC6B946" w:tentative="1">
      <w:start w:val="1"/>
      <w:numFmt w:val="lowerRoman"/>
      <w:lvlText w:val="%3."/>
      <w:lvlJc w:val="right"/>
      <w:pPr>
        <w:ind w:left="2160" w:hanging="180"/>
      </w:pPr>
    </w:lvl>
    <w:lvl w:ilvl="3" w:tplc="20E661A4" w:tentative="1">
      <w:start w:val="1"/>
      <w:numFmt w:val="decimal"/>
      <w:lvlText w:val="%4."/>
      <w:lvlJc w:val="left"/>
      <w:pPr>
        <w:ind w:left="2880" w:hanging="360"/>
      </w:pPr>
    </w:lvl>
    <w:lvl w:ilvl="4" w:tplc="3ED61AD4" w:tentative="1">
      <w:start w:val="1"/>
      <w:numFmt w:val="lowerLetter"/>
      <w:lvlText w:val="%5."/>
      <w:lvlJc w:val="left"/>
      <w:pPr>
        <w:ind w:left="3600" w:hanging="360"/>
      </w:pPr>
    </w:lvl>
    <w:lvl w:ilvl="5" w:tplc="AA9EE0AE" w:tentative="1">
      <w:start w:val="1"/>
      <w:numFmt w:val="lowerRoman"/>
      <w:lvlText w:val="%6."/>
      <w:lvlJc w:val="right"/>
      <w:pPr>
        <w:ind w:left="4320" w:hanging="180"/>
      </w:pPr>
    </w:lvl>
    <w:lvl w:ilvl="6" w:tplc="1286DB08" w:tentative="1">
      <w:start w:val="1"/>
      <w:numFmt w:val="decimal"/>
      <w:lvlText w:val="%7."/>
      <w:lvlJc w:val="left"/>
      <w:pPr>
        <w:ind w:left="5040" w:hanging="360"/>
      </w:pPr>
    </w:lvl>
    <w:lvl w:ilvl="7" w:tplc="60FAAFD8" w:tentative="1">
      <w:start w:val="1"/>
      <w:numFmt w:val="lowerLetter"/>
      <w:lvlText w:val="%8."/>
      <w:lvlJc w:val="left"/>
      <w:pPr>
        <w:ind w:left="5760" w:hanging="360"/>
      </w:pPr>
    </w:lvl>
    <w:lvl w:ilvl="8" w:tplc="72B02466" w:tentative="1">
      <w:start w:val="1"/>
      <w:numFmt w:val="lowerRoman"/>
      <w:lvlText w:val="%9."/>
      <w:lvlJc w:val="right"/>
      <w:pPr>
        <w:ind w:left="6480" w:hanging="180"/>
      </w:pPr>
    </w:lvl>
  </w:abstractNum>
  <w:abstractNum w:abstractNumId="7" w15:restartNumberingAfterBreak="0">
    <w:nsid w:val="70507952"/>
    <w:multiLevelType w:val="hybridMultilevel"/>
    <w:tmpl w:val="6A4A18D0"/>
    <w:lvl w:ilvl="0" w:tplc="7368F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FD1839"/>
    <w:multiLevelType w:val="hybridMultilevel"/>
    <w:tmpl w:val="13B2D73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712726846">
    <w:abstractNumId w:val="5"/>
  </w:num>
  <w:num w:numId="2" w16cid:durableId="616640507">
    <w:abstractNumId w:val="1"/>
  </w:num>
  <w:num w:numId="3" w16cid:durableId="967276014">
    <w:abstractNumId w:val="6"/>
  </w:num>
  <w:num w:numId="4" w16cid:durableId="220795791">
    <w:abstractNumId w:val="4"/>
  </w:num>
  <w:num w:numId="5" w16cid:durableId="1886478910">
    <w:abstractNumId w:val="2"/>
  </w:num>
  <w:num w:numId="6" w16cid:durableId="189343370">
    <w:abstractNumId w:val="7"/>
  </w:num>
  <w:num w:numId="7" w16cid:durableId="1763258589">
    <w:abstractNumId w:val="0"/>
  </w:num>
  <w:num w:numId="8" w16cid:durableId="1837306722">
    <w:abstractNumId w:val="8"/>
  </w:num>
  <w:num w:numId="9" w16cid:durableId="168631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1" w:val=" "/>
    <w:docVar w:name="FileDate" w:val=" (Feb 7, 2018)"/>
    <w:docVar w:name="FName" w:val="MCR - PP"/>
    <w:docVar w:name="FNumOnly" w:val="5099"/>
    <w:docVar w:name="FooterPath" w:val="JGK\499201\PP FEB 2018\5099"/>
    <w:docVar w:name="LawCorp" w:val="no"/>
    <w:docVar w:name="Scrub" w:val="no"/>
    <w:docVar w:name="Version" w:val="1"/>
  </w:docVars>
  <w:rsids>
    <w:rsidRoot w:val="00851826"/>
    <w:rsid w:val="00002BAA"/>
    <w:rsid w:val="00013539"/>
    <w:rsid w:val="00014DA2"/>
    <w:rsid w:val="000202ED"/>
    <w:rsid w:val="0002137A"/>
    <w:rsid w:val="00022B20"/>
    <w:rsid w:val="00027B23"/>
    <w:rsid w:val="0003004D"/>
    <w:rsid w:val="00033CD2"/>
    <w:rsid w:val="000403DE"/>
    <w:rsid w:val="0004690D"/>
    <w:rsid w:val="00051FB4"/>
    <w:rsid w:val="00063A95"/>
    <w:rsid w:val="0007626C"/>
    <w:rsid w:val="00084B49"/>
    <w:rsid w:val="00090D5C"/>
    <w:rsid w:val="00090FFB"/>
    <w:rsid w:val="00091BF3"/>
    <w:rsid w:val="00093072"/>
    <w:rsid w:val="000963E6"/>
    <w:rsid w:val="000A35D9"/>
    <w:rsid w:val="000A564B"/>
    <w:rsid w:val="000B24ED"/>
    <w:rsid w:val="000B4D58"/>
    <w:rsid w:val="000C0918"/>
    <w:rsid w:val="000C2E53"/>
    <w:rsid w:val="000C4688"/>
    <w:rsid w:val="000C56B8"/>
    <w:rsid w:val="000C7CE9"/>
    <w:rsid w:val="000D1AE4"/>
    <w:rsid w:val="000E5778"/>
    <w:rsid w:val="00100CEF"/>
    <w:rsid w:val="00104D06"/>
    <w:rsid w:val="00105D1C"/>
    <w:rsid w:val="00106E3E"/>
    <w:rsid w:val="001145BD"/>
    <w:rsid w:val="00117F83"/>
    <w:rsid w:val="00121799"/>
    <w:rsid w:val="00125DA7"/>
    <w:rsid w:val="00131695"/>
    <w:rsid w:val="0013269D"/>
    <w:rsid w:val="00140136"/>
    <w:rsid w:val="001443BB"/>
    <w:rsid w:val="00162771"/>
    <w:rsid w:val="00166E15"/>
    <w:rsid w:val="001738CB"/>
    <w:rsid w:val="00176C15"/>
    <w:rsid w:val="00190ECA"/>
    <w:rsid w:val="001924D5"/>
    <w:rsid w:val="001A26C2"/>
    <w:rsid w:val="001B0D76"/>
    <w:rsid w:val="001B1325"/>
    <w:rsid w:val="001B60A2"/>
    <w:rsid w:val="001B776F"/>
    <w:rsid w:val="001C1B3C"/>
    <w:rsid w:val="001E7003"/>
    <w:rsid w:val="001F1DB4"/>
    <w:rsid w:val="001F65D1"/>
    <w:rsid w:val="002038DF"/>
    <w:rsid w:val="002056A0"/>
    <w:rsid w:val="0020709C"/>
    <w:rsid w:val="002071E0"/>
    <w:rsid w:val="002106B3"/>
    <w:rsid w:val="002111CA"/>
    <w:rsid w:val="00214257"/>
    <w:rsid w:val="002152F4"/>
    <w:rsid w:val="002367B0"/>
    <w:rsid w:val="002373CC"/>
    <w:rsid w:val="00243AA9"/>
    <w:rsid w:val="00253E98"/>
    <w:rsid w:val="00260A18"/>
    <w:rsid w:val="0026317E"/>
    <w:rsid w:val="00267276"/>
    <w:rsid w:val="00274902"/>
    <w:rsid w:val="00285683"/>
    <w:rsid w:val="00290C84"/>
    <w:rsid w:val="0029119B"/>
    <w:rsid w:val="00293A9A"/>
    <w:rsid w:val="002A2540"/>
    <w:rsid w:val="002A34CC"/>
    <w:rsid w:val="002A6C50"/>
    <w:rsid w:val="002C4A65"/>
    <w:rsid w:val="002C4F01"/>
    <w:rsid w:val="002C5AD5"/>
    <w:rsid w:val="002D0E1D"/>
    <w:rsid w:val="002D3A22"/>
    <w:rsid w:val="002D426A"/>
    <w:rsid w:val="002D5BE4"/>
    <w:rsid w:val="002D69D9"/>
    <w:rsid w:val="002E2D34"/>
    <w:rsid w:val="002E5611"/>
    <w:rsid w:val="002E6431"/>
    <w:rsid w:val="002F20C8"/>
    <w:rsid w:val="002F2506"/>
    <w:rsid w:val="00301E7F"/>
    <w:rsid w:val="00310CD4"/>
    <w:rsid w:val="003125D6"/>
    <w:rsid w:val="003164A9"/>
    <w:rsid w:val="00317445"/>
    <w:rsid w:val="003250AE"/>
    <w:rsid w:val="003317A3"/>
    <w:rsid w:val="0034058C"/>
    <w:rsid w:val="00360A71"/>
    <w:rsid w:val="00370FD6"/>
    <w:rsid w:val="00375F8F"/>
    <w:rsid w:val="00386968"/>
    <w:rsid w:val="00390F60"/>
    <w:rsid w:val="00393CD4"/>
    <w:rsid w:val="003A10C0"/>
    <w:rsid w:val="003A1DE7"/>
    <w:rsid w:val="003A27C5"/>
    <w:rsid w:val="003B537B"/>
    <w:rsid w:val="003C1CAB"/>
    <w:rsid w:val="003C2A0C"/>
    <w:rsid w:val="003C565B"/>
    <w:rsid w:val="003D73DE"/>
    <w:rsid w:val="003F5A9C"/>
    <w:rsid w:val="00404770"/>
    <w:rsid w:val="004064D4"/>
    <w:rsid w:val="00415C9E"/>
    <w:rsid w:val="004178C8"/>
    <w:rsid w:val="00420A58"/>
    <w:rsid w:val="0042231F"/>
    <w:rsid w:val="00427E71"/>
    <w:rsid w:val="00443795"/>
    <w:rsid w:val="00453009"/>
    <w:rsid w:val="00453A4F"/>
    <w:rsid w:val="0045545B"/>
    <w:rsid w:val="00457B82"/>
    <w:rsid w:val="00457E61"/>
    <w:rsid w:val="0046415A"/>
    <w:rsid w:val="00472678"/>
    <w:rsid w:val="00472861"/>
    <w:rsid w:val="00480461"/>
    <w:rsid w:val="00482D9B"/>
    <w:rsid w:val="00485DFE"/>
    <w:rsid w:val="00486542"/>
    <w:rsid w:val="00490E2A"/>
    <w:rsid w:val="00491561"/>
    <w:rsid w:val="00492956"/>
    <w:rsid w:val="004A63DF"/>
    <w:rsid w:val="004B03C9"/>
    <w:rsid w:val="004B2909"/>
    <w:rsid w:val="004C3BA4"/>
    <w:rsid w:val="004C4B71"/>
    <w:rsid w:val="004D02BC"/>
    <w:rsid w:val="004E426D"/>
    <w:rsid w:val="004E56CA"/>
    <w:rsid w:val="004E62BF"/>
    <w:rsid w:val="004F14A8"/>
    <w:rsid w:val="004F2FF6"/>
    <w:rsid w:val="004F64C9"/>
    <w:rsid w:val="00504C5E"/>
    <w:rsid w:val="00504C6E"/>
    <w:rsid w:val="00512E67"/>
    <w:rsid w:val="00517B59"/>
    <w:rsid w:val="00526073"/>
    <w:rsid w:val="005263A1"/>
    <w:rsid w:val="00535C4C"/>
    <w:rsid w:val="005374ED"/>
    <w:rsid w:val="0054119F"/>
    <w:rsid w:val="005423A4"/>
    <w:rsid w:val="00545A5B"/>
    <w:rsid w:val="005546F2"/>
    <w:rsid w:val="0055528F"/>
    <w:rsid w:val="00565280"/>
    <w:rsid w:val="0057062E"/>
    <w:rsid w:val="00572408"/>
    <w:rsid w:val="005737F0"/>
    <w:rsid w:val="00575CFC"/>
    <w:rsid w:val="0059534A"/>
    <w:rsid w:val="005B06F2"/>
    <w:rsid w:val="005B0AB7"/>
    <w:rsid w:val="005B4ECD"/>
    <w:rsid w:val="005C089C"/>
    <w:rsid w:val="005D265F"/>
    <w:rsid w:val="005E467B"/>
    <w:rsid w:val="005F54CE"/>
    <w:rsid w:val="005F73F5"/>
    <w:rsid w:val="00602EAE"/>
    <w:rsid w:val="00604394"/>
    <w:rsid w:val="00606F1F"/>
    <w:rsid w:val="006229FC"/>
    <w:rsid w:val="0062365E"/>
    <w:rsid w:val="00626FB5"/>
    <w:rsid w:val="00631645"/>
    <w:rsid w:val="0063335C"/>
    <w:rsid w:val="00634940"/>
    <w:rsid w:val="00640F39"/>
    <w:rsid w:val="0064252F"/>
    <w:rsid w:val="00646688"/>
    <w:rsid w:val="00646A7D"/>
    <w:rsid w:val="00654AA9"/>
    <w:rsid w:val="0065514B"/>
    <w:rsid w:val="00664701"/>
    <w:rsid w:val="00670370"/>
    <w:rsid w:val="00672488"/>
    <w:rsid w:val="006735DB"/>
    <w:rsid w:val="0068233F"/>
    <w:rsid w:val="00683E2C"/>
    <w:rsid w:val="006A1111"/>
    <w:rsid w:val="006B20C3"/>
    <w:rsid w:val="006B6AEA"/>
    <w:rsid w:val="006C7BD0"/>
    <w:rsid w:val="006E0E44"/>
    <w:rsid w:val="006E4217"/>
    <w:rsid w:val="006E7D18"/>
    <w:rsid w:val="006F5C95"/>
    <w:rsid w:val="00703157"/>
    <w:rsid w:val="007073B8"/>
    <w:rsid w:val="0071221B"/>
    <w:rsid w:val="00712EE0"/>
    <w:rsid w:val="00715339"/>
    <w:rsid w:val="00726082"/>
    <w:rsid w:val="00727140"/>
    <w:rsid w:val="00732CDD"/>
    <w:rsid w:val="00737FC1"/>
    <w:rsid w:val="00742DCA"/>
    <w:rsid w:val="00750619"/>
    <w:rsid w:val="00760D4D"/>
    <w:rsid w:val="00780525"/>
    <w:rsid w:val="0079302C"/>
    <w:rsid w:val="00794425"/>
    <w:rsid w:val="007A1FF2"/>
    <w:rsid w:val="007A3443"/>
    <w:rsid w:val="007A7591"/>
    <w:rsid w:val="007A7B77"/>
    <w:rsid w:val="007B10CC"/>
    <w:rsid w:val="007B3557"/>
    <w:rsid w:val="007B4959"/>
    <w:rsid w:val="007C48B6"/>
    <w:rsid w:val="007D0C58"/>
    <w:rsid w:val="007D473A"/>
    <w:rsid w:val="007D5F88"/>
    <w:rsid w:val="007D6744"/>
    <w:rsid w:val="007D7516"/>
    <w:rsid w:val="007E12B3"/>
    <w:rsid w:val="00801858"/>
    <w:rsid w:val="00805C24"/>
    <w:rsid w:val="00813FE5"/>
    <w:rsid w:val="00816EDC"/>
    <w:rsid w:val="00820CE6"/>
    <w:rsid w:val="008317EC"/>
    <w:rsid w:val="00843814"/>
    <w:rsid w:val="008503C7"/>
    <w:rsid w:val="00851826"/>
    <w:rsid w:val="00855380"/>
    <w:rsid w:val="00856302"/>
    <w:rsid w:val="00857A13"/>
    <w:rsid w:val="00872067"/>
    <w:rsid w:val="008731AD"/>
    <w:rsid w:val="0087405E"/>
    <w:rsid w:val="008817C1"/>
    <w:rsid w:val="00881A93"/>
    <w:rsid w:val="008925D3"/>
    <w:rsid w:val="008A2809"/>
    <w:rsid w:val="008A28C4"/>
    <w:rsid w:val="008B4ED0"/>
    <w:rsid w:val="008C14FB"/>
    <w:rsid w:val="008C6658"/>
    <w:rsid w:val="008C7BF2"/>
    <w:rsid w:val="008D544C"/>
    <w:rsid w:val="008F7D96"/>
    <w:rsid w:val="00910A8B"/>
    <w:rsid w:val="00911D97"/>
    <w:rsid w:val="00911F7C"/>
    <w:rsid w:val="00915979"/>
    <w:rsid w:val="00921F02"/>
    <w:rsid w:val="009259DC"/>
    <w:rsid w:val="00927718"/>
    <w:rsid w:val="009324EA"/>
    <w:rsid w:val="009337CB"/>
    <w:rsid w:val="00940351"/>
    <w:rsid w:val="0094393D"/>
    <w:rsid w:val="009536D5"/>
    <w:rsid w:val="00953A3C"/>
    <w:rsid w:val="0095782C"/>
    <w:rsid w:val="009611AF"/>
    <w:rsid w:val="00967D37"/>
    <w:rsid w:val="0097068A"/>
    <w:rsid w:val="009723A6"/>
    <w:rsid w:val="00987787"/>
    <w:rsid w:val="00991A23"/>
    <w:rsid w:val="00991ABA"/>
    <w:rsid w:val="00991D92"/>
    <w:rsid w:val="00992E49"/>
    <w:rsid w:val="00993CF3"/>
    <w:rsid w:val="009947E3"/>
    <w:rsid w:val="009969B2"/>
    <w:rsid w:val="009A40AE"/>
    <w:rsid w:val="009A774E"/>
    <w:rsid w:val="009B7A07"/>
    <w:rsid w:val="009C14A1"/>
    <w:rsid w:val="009C3C09"/>
    <w:rsid w:val="009C3CCF"/>
    <w:rsid w:val="009E1021"/>
    <w:rsid w:val="00A118F0"/>
    <w:rsid w:val="00A24E4A"/>
    <w:rsid w:val="00A2521B"/>
    <w:rsid w:val="00A25B6D"/>
    <w:rsid w:val="00A300AB"/>
    <w:rsid w:val="00A320FA"/>
    <w:rsid w:val="00A3606D"/>
    <w:rsid w:val="00A56521"/>
    <w:rsid w:val="00A62156"/>
    <w:rsid w:val="00A640DC"/>
    <w:rsid w:val="00A655CF"/>
    <w:rsid w:val="00A67C05"/>
    <w:rsid w:val="00A71844"/>
    <w:rsid w:val="00A71E80"/>
    <w:rsid w:val="00A75C6E"/>
    <w:rsid w:val="00A862DA"/>
    <w:rsid w:val="00A93B9E"/>
    <w:rsid w:val="00AA2426"/>
    <w:rsid w:val="00AA5247"/>
    <w:rsid w:val="00AB53AE"/>
    <w:rsid w:val="00AB631D"/>
    <w:rsid w:val="00AB68C0"/>
    <w:rsid w:val="00AD3C74"/>
    <w:rsid w:val="00AD4E71"/>
    <w:rsid w:val="00AE04D6"/>
    <w:rsid w:val="00AE0534"/>
    <w:rsid w:val="00AF3387"/>
    <w:rsid w:val="00B003D4"/>
    <w:rsid w:val="00B06778"/>
    <w:rsid w:val="00B071B1"/>
    <w:rsid w:val="00B11200"/>
    <w:rsid w:val="00B11FB7"/>
    <w:rsid w:val="00B133D7"/>
    <w:rsid w:val="00B17A87"/>
    <w:rsid w:val="00B2221E"/>
    <w:rsid w:val="00B30216"/>
    <w:rsid w:val="00B31921"/>
    <w:rsid w:val="00B404BF"/>
    <w:rsid w:val="00B42000"/>
    <w:rsid w:val="00B45098"/>
    <w:rsid w:val="00B473E3"/>
    <w:rsid w:val="00B500A3"/>
    <w:rsid w:val="00B50490"/>
    <w:rsid w:val="00B54F08"/>
    <w:rsid w:val="00B5537B"/>
    <w:rsid w:val="00B7040B"/>
    <w:rsid w:val="00B7290F"/>
    <w:rsid w:val="00B766C3"/>
    <w:rsid w:val="00B8404E"/>
    <w:rsid w:val="00B90B72"/>
    <w:rsid w:val="00B9159F"/>
    <w:rsid w:val="00BA4A2C"/>
    <w:rsid w:val="00BB219E"/>
    <w:rsid w:val="00BB544F"/>
    <w:rsid w:val="00BB72F5"/>
    <w:rsid w:val="00BB780F"/>
    <w:rsid w:val="00BC02F2"/>
    <w:rsid w:val="00BD72B2"/>
    <w:rsid w:val="00BE3085"/>
    <w:rsid w:val="00BE7E07"/>
    <w:rsid w:val="00BF191B"/>
    <w:rsid w:val="00C00341"/>
    <w:rsid w:val="00C060A6"/>
    <w:rsid w:val="00C15B3A"/>
    <w:rsid w:val="00C161F5"/>
    <w:rsid w:val="00C21C9C"/>
    <w:rsid w:val="00C25E64"/>
    <w:rsid w:val="00C36508"/>
    <w:rsid w:val="00C42940"/>
    <w:rsid w:val="00C44BBA"/>
    <w:rsid w:val="00C47CBF"/>
    <w:rsid w:val="00C53574"/>
    <w:rsid w:val="00C545FA"/>
    <w:rsid w:val="00C61741"/>
    <w:rsid w:val="00C62083"/>
    <w:rsid w:val="00C71A9B"/>
    <w:rsid w:val="00C76342"/>
    <w:rsid w:val="00C87B95"/>
    <w:rsid w:val="00C9625E"/>
    <w:rsid w:val="00CA1938"/>
    <w:rsid w:val="00CA741F"/>
    <w:rsid w:val="00CB0CA7"/>
    <w:rsid w:val="00CB6E4F"/>
    <w:rsid w:val="00CC29F3"/>
    <w:rsid w:val="00CC2F12"/>
    <w:rsid w:val="00CC715D"/>
    <w:rsid w:val="00CE0F60"/>
    <w:rsid w:val="00CE1547"/>
    <w:rsid w:val="00CE205A"/>
    <w:rsid w:val="00CE3658"/>
    <w:rsid w:val="00CE61B3"/>
    <w:rsid w:val="00CE691A"/>
    <w:rsid w:val="00CF0597"/>
    <w:rsid w:val="00CF1A0F"/>
    <w:rsid w:val="00CF31A4"/>
    <w:rsid w:val="00CF3F6C"/>
    <w:rsid w:val="00D00A5E"/>
    <w:rsid w:val="00D104B8"/>
    <w:rsid w:val="00D14C17"/>
    <w:rsid w:val="00D22EB9"/>
    <w:rsid w:val="00D24DC3"/>
    <w:rsid w:val="00D31EA2"/>
    <w:rsid w:val="00D3499C"/>
    <w:rsid w:val="00D3563A"/>
    <w:rsid w:val="00D375A2"/>
    <w:rsid w:val="00D50BFF"/>
    <w:rsid w:val="00D5199E"/>
    <w:rsid w:val="00D52E71"/>
    <w:rsid w:val="00D562B6"/>
    <w:rsid w:val="00D578AC"/>
    <w:rsid w:val="00D62007"/>
    <w:rsid w:val="00D82EA6"/>
    <w:rsid w:val="00D83B8B"/>
    <w:rsid w:val="00DA1659"/>
    <w:rsid w:val="00DA5B4B"/>
    <w:rsid w:val="00DB0587"/>
    <w:rsid w:val="00DC653C"/>
    <w:rsid w:val="00DD5853"/>
    <w:rsid w:val="00DD6E3A"/>
    <w:rsid w:val="00DE575D"/>
    <w:rsid w:val="00DF55CA"/>
    <w:rsid w:val="00E00CC9"/>
    <w:rsid w:val="00E015F8"/>
    <w:rsid w:val="00E029BA"/>
    <w:rsid w:val="00E030E9"/>
    <w:rsid w:val="00E031C6"/>
    <w:rsid w:val="00E14098"/>
    <w:rsid w:val="00E24229"/>
    <w:rsid w:val="00E30D8A"/>
    <w:rsid w:val="00E30E32"/>
    <w:rsid w:val="00E34F51"/>
    <w:rsid w:val="00E42A5E"/>
    <w:rsid w:val="00E43FA4"/>
    <w:rsid w:val="00E609BC"/>
    <w:rsid w:val="00E65FEB"/>
    <w:rsid w:val="00E662BD"/>
    <w:rsid w:val="00E734E2"/>
    <w:rsid w:val="00E80C10"/>
    <w:rsid w:val="00E869E5"/>
    <w:rsid w:val="00EB075C"/>
    <w:rsid w:val="00EB2577"/>
    <w:rsid w:val="00EB29CA"/>
    <w:rsid w:val="00EC0B5D"/>
    <w:rsid w:val="00EC6A45"/>
    <w:rsid w:val="00ED0675"/>
    <w:rsid w:val="00ED08CB"/>
    <w:rsid w:val="00ED7823"/>
    <w:rsid w:val="00EF5B01"/>
    <w:rsid w:val="00EF6811"/>
    <w:rsid w:val="00F0417E"/>
    <w:rsid w:val="00F06892"/>
    <w:rsid w:val="00F07C4E"/>
    <w:rsid w:val="00F120CF"/>
    <w:rsid w:val="00F12283"/>
    <w:rsid w:val="00F24E9E"/>
    <w:rsid w:val="00F26E2E"/>
    <w:rsid w:val="00F31787"/>
    <w:rsid w:val="00F37BE2"/>
    <w:rsid w:val="00F47956"/>
    <w:rsid w:val="00F51625"/>
    <w:rsid w:val="00F57811"/>
    <w:rsid w:val="00F63414"/>
    <w:rsid w:val="00F84A2C"/>
    <w:rsid w:val="00F94434"/>
    <w:rsid w:val="00FA00AD"/>
    <w:rsid w:val="00FA59EA"/>
    <w:rsid w:val="00FA69B6"/>
    <w:rsid w:val="00FA6CAF"/>
    <w:rsid w:val="00FC0372"/>
    <w:rsid w:val="00FC4916"/>
    <w:rsid w:val="00FD0FF3"/>
    <w:rsid w:val="00FD2597"/>
    <w:rsid w:val="00FD3B04"/>
    <w:rsid w:val="00FE1A6A"/>
    <w:rsid w:val="00FE647F"/>
    <w:rsid w:val="00FE6D84"/>
    <w:rsid w:val="00FF7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B6C56"/>
  <w15:docId w15:val="{0945F62E-AA37-48FF-BDCE-804C5DB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6B8"/>
    <w:pPr>
      <w:tabs>
        <w:tab w:val="center" w:pos="4320"/>
        <w:tab w:val="right" w:pos="8640"/>
      </w:tabs>
    </w:pPr>
  </w:style>
  <w:style w:type="paragraph" w:styleId="Footer">
    <w:name w:val="footer"/>
    <w:basedOn w:val="Normal"/>
    <w:rsid w:val="000C56B8"/>
    <w:pPr>
      <w:tabs>
        <w:tab w:val="center" w:pos="4320"/>
        <w:tab w:val="right" w:pos="8640"/>
      </w:tabs>
    </w:pPr>
  </w:style>
  <w:style w:type="character" w:styleId="PageNumber">
    <w:name w:val="page number"/>
    <w:basedOn w:val="DefaultParagraphFont"/>
    <w:rsid w:val="000C56B8"/>
  </w:style>
  <w:style w:type="paragraph" w:customStyle="1" w:styleId="File">
    <w:name w:val="File#"/>
    <w:basedOn w:val="Normal"/>
    <w:rsid w:val="000C56B8"/>
    <w:pPr>
      <w:spacing w:after="240"/>
      <w:ind w:left="7776"/>
    </w:pPr>
    <w:rPr>
      <w:rFonts w:ascii="Times New Roman" w:hAnsi="Times New Roman"/>
      <w:sz w:val="24"/>
    </w:rPr>
  </w:style>
  <w:style w:type="paragraph" w:styleId="BalloonText">
    <w:name w:val="Balloon Text"/>
    <w:basedOn w:val="Normal"/>
    <w:semiHidden/>
    <w:rsid w:val="000C56B8"/>
    <w:rPr>
      <w:rFonts w:ascii="Tahoma" w:hAnsi="Tahoma" w:cs="Tahoma"/>
      <w:sz w:val="16"/>
      <w:szCs w:val="16"/>
    </w:rPr>
  </w:style>
  <w:style w:type="paragraph" w:customStyle="1" w:styleId="Default">
    <w:name w:val="Default"/>
    <w:rsid w:val="00910A8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881A93"/>
    <w:pPr>
      <w:spacing w:before="100" w:beforeAutospacing="1" w:after="100" w:afterAutospacing="1"/>
      <w:jc w:val="both"/>
    </w:pPr>
    <w:rPr>
      <w:rFonts w:ascii="Times New Roman" w:hAnsi="Times New Roman"/>
      <w:sz w:val="24"/>
      <w:szCs w:val="24"/>
    </w:rPr>
  </w:style>
  <w:style w:type="character" w:customStyle="1" w:styleId="DeltaViewInsertion">
    <w:name w:val="DeltaView Insertion"/>
    <w:uiPriority w:val="99"/>
    <w:rsid w:val="00F120CF"/>
    <w:rPr>
      <w:color w:val="0000FF"/>
      <w:u w:val="double"/>
    </w:rPr>
  </w:style>
  <w:style w:type="paragraph" w:styleId="BodyText">
    <w:name w:val="Body Text"/>
    <w:basedOn w:val="Normal"/>
    <w:link w:val="BodyTextChar"/>
    <w:uiPriority w:val="99"/>
    <w:rsid w:val="0054119F"/>
    <w:pPr>
      <w:widowControl w:val="0"/>
      <w:autoSpaceDE w:val="0"/>
      <w:autoSpaceDN w:val="0"/>
      <w:adjustRightInd w:val="0"/>
      <w:spacing w:after="240"/>
      <w:jc w:val="both"/>
    </w:pPr>
    <w:rPr>
      <w:rFonts w:ascii="Times New Roman" w:eastAsia="CG Times (W1)" w:hAnsi="Times New Roman" w:cs="CG Times (W1)"/>
      <w:sz w:val="24"/>
      <w:lang w:val="en-CA"/>
    </w:rPr>
  </w:style>
  <w:style w:type="character" w:customStyle="1" w:styleId="BodyTextChar">
    <w:name w:val="Body Text Char"/>
    <w:basedOn w:val="DefaultParagraphFont"/>
    <w:link w:val="BodyText"/>
    <w:uiPriority w:val="99"/>
    <w:rsid w:val="0054119F"/>
    <w:rPr>
      <w:rFonts w:ascii="Times New Roman" w:eastAsia="CG Times (W1)" w:hAnsi="Times New Roman" w:cs="CG Times (W1)"/>
      <w:sz w:val="24"/>
      <w:lang w:val="en-CA" w:eastAsia="en-US"/>
    </w:rPr>
  </w:style>
  <w:style w:type="paragraph" w:styleId="ListParagraph">
    <w:name w:val="List Paragraph"/>
    <w:basedOn w:val="Normal"/>
    <w:uiPriority w:val="34"/>
    <w:qFormat/>
    <w:rsid w:val="008B4ED0"/>
    <w:pPr>
      <w:ind w:left="720"/>
      <w:contextualSpacing/>
    </w:pPr>
  </w:style>
  <w:style w:type="table" w:styleId="TableGrid">
    <w:name w:val="Table Grid"/>
    <w:basedOn w:val="TableNormal"/>
    <w:uiPriority w:val="59"/>
    <w:rsid w:val="0095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A3C"/>
    <w:rPr>
      <w:color w:val="0000FF" w:themeColor="hyperlink"/>
      <w:u w:val="single"/>
    </w:rPr>
  </w:style>
  <w:style w:type="paragraph" w:styleId="Revision">
    <w:name w:val="Revision"/>
    <w:hidden/>
    <w:uiPriority w:val="99"/>
    <w:semiHidden/>
    <w:rsid w:val="002152F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 W i l d D O C S ! 3 4 0 0 4 3 2 . 2 < / d o c u m e n t i d >  
     < s e n d e r i d > N R O B E L E K < / s e n d e r i d >  
     < s e n d e r e m a i l > N R O B E L E K @ W I L D L A W . C A < / s e n d e r e m a i l >  
     < l a s t m o d i f i e d > 2 0 1 9 - 0 7 - 1 8 T 1 4 : 4 5 : 0 0 . 0 0 0 0 0 0 0 - 0 4 : 0 0 < / l a s t m o d i f i e d >  
     < d a t a b a s e > W i l d D O C S < / d a t a b a s e >  
 < / p r o p e r t i e s > 
</file>

<file path=customXml/itemProps1.xml><?xml version="1.0" encoding="utf-8"?>
<ds:datastoreItem xmlns:ds="http://schemas.openxmlformats.org/officeDocument/2006/customXml" ds:itemID="{AE4AC220-48B5-42CE-B476-C8E80EF2185B}">
  <ds:schemaRefs>
    <ds:schemaRef ds:uri="http://schemas.openxmlformats.org/officeDocument/2006/bibliography"/>
  </ds:schemaRefs>
</ds:datastoreItem>
</file>

<file path=customXml/itemProps2.xml><?xml version="1.0" encoding="utf-8"?>
<ds:datastoreItem xmlns:ds="http://schemas.openxmlformats.org/officeDocument/2006/customXml" ds:itemID="{35BB455D-FBF5-4401-88F0-77B872D5AF3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PresentationFormat>15|.DOCX</PresentationFormat>
  <Lines>40</Lines>
  <Paragraphs>11</Paragraphs>
  <ScaleCrop>false</ScaleCrop>
  <HeadingPairs>
    <vt:vector size="2" baseType="variant">
      <vt:variant>
        <vt:lpstr>Title</vt:lpstr>
      </vt:variant>
      <vt:variant>
        <vt:i4>1</vt:i4>
      </vt:variant>
    </vt:vector>
  </HeadingPairs>
  <TitlesOfParts>
    <vt:vector size="1" baseType="lpstr">
      <vt:lpstr>Material Change Report - Consolidation (D0427702-2).DOCX</vt:lpstr>
    </vt:vector>
  </TitlesOfParts>
  <Company>Dumoulin Black</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Change Report - Consolidation (D0427702-3).DOCX</dc:title>
  <dc:subject/>
  <dc:creator>CBS</dc:creator>
  <cp:keywords/>
  <cp:lastModifiedBy>Madi Wells</cp:lastModifiedBy>
  <cp:revision>2</cp:revision>
  <cp:lastPrinted>2019-07-18T18:18:00Z</cp:lastPrinted>
  <dcterms:created xsi:type="dcterms:W3CDTF">2022-11-10T22:31:00Z</dcterms:created>
  <dcterms:modified xsi:type="dcterms:W3CDTF">2022-11-10T22:31:00Z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CMD\465201\0003</vt:lpwstr>
  </property>
  <property fmtid="{D5CDD505-2E9C-101B-9397-08002B2CF9AE}" pid="3" name="LawCorp">
    <vt:lpwstr>no</vt:lpwstr>
  </property>
  <property fmtid="{D5CDD505-2E9C-101B-9397-08002B2CF9AE}" pid="4" name="iManageFooter">
    <vt:lpwstr>#3400432v2</vt:lpwstr>
  </property>
  <property fmtid="{D5CDD505-2E9C-101B-9397-08002B2CF9AE}" pid="5" name="CUS_DocIDActiveBits">
    <vt:lpwstr>98304</vt:lpwstr>
  </property>
  <property fmtid="{D5CDD505-2E9C-101B-9397-08002B2CF9AE}" pid="6" name="CUS_DocIDLocation">
    <vt:lpwstr>NO_DOC_ID</vt:lpwstr>
  </property>
  <property fmtid="{D5CDD505-2E9C-101B-9397-08002B2CF9AE}" pid="7" name="CUS_DocIDReference">
    <vt:lpwstr>noDocID</vt:lpwstr>
  </property>
</Properties>
</file>