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A564B" w14:textId="77777777" w:rsidR="006C3E6B" w:rsidRDefault="006C3E6B" w:rsidP="006C3E6B">
      <w:pPr>
        <w:rPr>
          <w:rFonts w:ascii="Arial" w:hAnsi="Arial" w:cs="Arial"/>
          <w:sz w:val="20"/>
        </w:rPr>
      </w:pPr>
    </w:p>
    <w:p w14:paraId="4E0B1F60" w14:textId="6F98DBFD" w:rsidR="00345C70" w:rsidRDefault="00345C70" w:rsidP="00345C70">
      <w:pPr>
        <w:jc w:val="center"/>
        <w:rPr>
          <w:rFonts w:asciiTheme="minorHAnsi" w:hAnsiTheme="minorHAnsi" w:cstheme="minorHAnsi"/>
          <w:b/>
          <w:bCs/>
          <w:sz w:val="28"/>
          <w:szCs w:val="28"/>
        </w:rPr>
      </w:pPr>
      <w:r w:rsidRPr="00345C70">
        <w:rPr>
          <w:rFonts w:asciiTheme="minorHAnsi" w:hAnsiTheme="minorHAnsi" w:cstheme="minorHAnsi"/>
          <w:b/>
          <w:bCs/>
          <w:sz w:val="28"/>
          <w:szCs w:val="28"/>
        </w:rPr>
        <w:t>Mariner Options the Dog Bay Gold Properties in Central Newfoundland</w:t>
      </w:r>
    </w:p>
    <w:p w14:paraId="563C66CB" w14:textId="77777777" w:rsidR="00345C70" w:rsidRPr="00345C70" w:rsidRDefault="00345C70" w:rsidP="00345C70">
      <w:pPr>
        <w:jc w:val="center"/>
        <w:rPr>
          <w:rFonts w:asciiTheme="minorHAnsi" w:hAnsiTheme="minorHAnsi" w:cstheme="minorHAnsi"/>
          <w:b/>
          <w:bCs/>
          <w:sz w:val="28"/>
          <w:szCs w:val="28"/>
        </w:rPr>
      </w:pPr>
    </w:p>
    <w:p w14:paraId="1BBF9572" w14:textId="17FBF253" w:rsid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Edmonton, August 20</w:t>
      </w:r>
      <w:r w:rsidRPr="00345C70">
        <w:rPr>
          <w:rFonts w:asciiTheme="minorHAnsi" w:hAnsiTheme="minorHAnsi" w:cstheme="minorHAnsi"/>
          <w:sz w:val="22"/>
          <w:szCs w:val="22"/>
          <w:vertAlign w:val="superscript"/>
        </w:rPr>
        <w:t>th</w:t>
      </w:r>
      <w:r w:rsidRPr="00345C70">
        <w:rPr>
          <w:rFonts w:asciiTheme="minorHAnsi" w:hAnsiTheme="minorHAnsi" w:cstheme="minorHAnsi"/>
          <w:sz w:val="22"/>
          <w:szCs w:val="22"/>
        </w:rPr>
        <w:t xml:space="preserve">, 2020 – Mariner Resources Corp., (“Mariner” or the “Company”) (CSE: RNR) is pleased to announce that it has entered into an option agreement to acquire 100% interest in the Dog Bay Gold properties (the “properties”) consisting of 485 mineral claims </w:t>
      </w:r>
      <w:r w:rsidR="00834F35" w:rsidRPr="00345C70">
        <w:rPr>
          <w:rFonts w:asciiTheme="minorHAnsi" w:hAnsiTheme="minorHAnsi" w:cstheme="minorHAnsi"/>
          <w:sz w:val="22"/>
          <w:szCs w:val="22"/>
        </w:rPr>
        <w:t>totaling</w:t>
      </w:r>
      <w:r w:rsidRPr="00345C70">
        <w:rPr>
          <w:rFonts w:asciiTheme="minorHAnsi" w:hAnsiTheme="minorHAnsi" w:cstheme="minorHAnsi"/>
          <w:sz w:val="22"/>
          <w:szCs w:val="22"/>
        </w:rPr>
        <w:t xml:space="preserve"> 121.25 km² located on the Port Albert Peninsula, Dog Bay, Newfoundland.</w:t>
      </w:r>
    </w:p>
    <w:p w14:paraId="4C213B2F" w14:textId="77777777" w:rsidR="00345C70" w:rsidRPr="00345C70" w:rsidRDefault="00345C70" w:rsidP="00345C70">
      <w:pPr>
        <w:jc w:val="both"/>
        <w:rPr>
          <w:rFonts w:asciiTheme="minorHAnsi" w:hAnsiTheme="minorHAnsi" w:cstheme="minorHAnsi"/>
          <w:sz w:val="22"/>
          <w:szCs w:val="22"/>
        </w:rPr>
      </w:pPr>
    </w:p>
    <w:p w14:paraId="1FD4FBA6" w14:textId="77777777" w:rsidR="00345C70" w:rsidRPr="00345C70" w:rsidRDefault="00345C70" w:rsidP="00345C70">
      <w:pPr>
        <w:jc w:val="both"/>
        <w:rPr>
          <w:rFonts w:asciiTheme="minorHAnsi" w:hAnsiTheme="minorHAnsi" w:cstheme="minorHAnsi"/>
          <w:b/>
          <w:bCs/>
          <w:sz w:val="22"/>
          <w:szCs w:val="22"/>
        </w:rPr>
      </w:pPr>
      <w:r w:rsidRPr="00345C70">
        <w:rPr>
          <w:rFonts w:asciiTheme="minorHAnsi" w:hAnsiTheme="minorHAnsi" w:cstheme="minorHAnsi"/>
          <w:b/>
          <w:bCs/>
          <w:sz w:val="22"/>
          <w:szCs w:val="22"/>
        </w:rPr>
        <w:t>Property Highlights</w:t>
      </w:r>
    </w:p>
    <w:p w14:paraId="48C6E2D9" w14:textId="77777777" w:rsidR="00345C70" w:rsidRPr="00345C70" w:rsidRDefault="00345C70" w:rsidP="00345C70">
      <w:pPr>
        <w:pStyle w:val="ListParagraph"/>
        <w:numPr>
          <w:ilvl w:val="0"/>
          <w:numId w:val="6"/>
        </w:numPr>
        <w:jc w:val="both"/>
        <w:rPr>
          <w:rFonts w:cstheme="minorHAnsi"/>
        </w:rPr>
      </w:pPr>
      <w:r w:rsidRPr="00345C70">
        <w:rPr>
          <w:rFonts w:cstheme="minorHAnsi"/>
        </w:rPr>
        <w:t>Located within the Exploits Subzone in prospective siliciclastic sediments and along the northern extent of the Dog Bay Line and Appleton Linear Fault zones, which are associated with gold mineralization in the area.</w:t>
      </w:r>
    </w:p>
    <w:p w14:paraId="10F98CFB" w14:textId="77777777" w:rsidR="00345C70" w:rsidRPr="00345C70" w:rsidRDefault="00345C70" w:rsidP="00345C70">
      <w:pPr>
        <w:pStyle w:val="ListParagraph"/>
        <w:numPr>
          <w:ilvl w:val="0"/>
          <w:numId w:val="6"/>
        </w:numPr>
        <w:jc w:val="both"/>
        <w:rPr>
          <w:rFonts w:cstheme="minorHAnsi"/>
        </w:rPr>
      </w:pPr>
      <w:r w:rsidRPr="00345C70">
        <w:rPr>
          <w:rFonts w:cstheme="minorHAnsi"/>
        </w:rPr>
        <w:t xml:space="preserve">Shallow historical drilling on the property consisted of only 1,559m and returned values of up to </w:t>
      </w:r>
      <w:r w:rsidRPr="00345C70">
        <w:rPr>
          <w:rFonts w:cstheme="minorHAnsi"/>
          <w:b/>
          <w:bCs/>
        </w:rPr>
        <w:t>3.35m at 10.22 g/t Au</w:t>
      </w:r>
      <w:r w:rsidRPr="00345C70">
        <w:rPr>
          <w:rFonts w:cstheme="minorHAnsi"/>
        </w:rPr>
        <w:t xml:space="preserve">, targeting surficial channel sampling intercepts of up to </w:t>
      </w:r>
      <w:r w:rsidRPr="00345C70">
        <w:rPr>
          <w:rFonts w:cstheme="minorHAnsi"/>
          <w:b/>
          <w:bCs/>
        </w:rPr>
        <w:t>48.22 g/t Au over 0.80m,</w:t>
      </w:r>
      <w:r w:rsidRPr="00345C70">
        <w:rPr>
          <w:rFonts w:cstheme="minorHAnsi"/>
        </w:rPr>
        <w:t xml:space="preserve"> </w:t>
      </w:r>
      <w:r w:rsidRPr="00345C70">
        <w:rPr>
          <w:rFonts w:cstheme="minorHAnsi"/>
          <w:b/>
          <w:bCs/>
        </w:rPr>
        <w:t xml:space="preserve">15.25 g/t Au over 3.00m and 9.41 g/t Au over 4.25m </w:t>
      </w:r>
      <w:r w:rsidRPr="00345C70">
        <w:rPr>
          <w:rFonts w:cstheme="minorHAnsi"/>
        </w:rPr>
        <w:t>(Crosshair Exploration and Mining Corp., 2002-2005).</w:t>
      </w:r>
    </w:p>
    <w:p w14:paraId="50A22D1C" w14:textId="77777777" w:rsidR="00345C70" w:rsidRPr="00345C70" w:rsidRDefault="00345C70" w:rsidP="00345C70">
      <w:pPr>
        <w:pStyle w:val="ListParagraph"/>
        <w:numPr>
          <w:ilvl w:val="0"/>
          <w:numId w:val="6"/>
        </w:numPr>
        <w:jc w:val="both"/>
        <w:rPr>
          <w:rFonts w:cstheme="minorHAnsi"/>
        </w:rPr>
      </w:pPr>
      <w:r w:rsidRPr="00345C70">
        <w:rPr>
          <w:rFonts w:cstheme="minorHAnsi"/>
        </w:rPr>
        <w:t xml:space="preserve">Recent prospecting by property Vendors has indicated up to 4 km of undrilled potential strike length, highlighted by assays of up to </w:t>
      </w:r>
      <w:r w:rsidRPr="00345C70">
        <w:rPr>
          <w:rFonts w:cstheme="minorHAnsi"/>
          <w:b/>
          <w:bCs/>
        </w:rPr>
        <w:t>233 g/t Au</w:t>
      </w:r>
      <w:r w:rsidRPr="00345C70">
        <w:rPr>
          <w:rFonts w:cstheme="minorHAnsi"/>
        </w:rPr>
        <w:t xml:space="preserve"> in </w:t>
      </w:r>
      <w:proofErr w:type="spellStart"/>
      <w:r w:rsidRPr="00345C70">
        <w:rPr>
          <w:rFonts w:cstheme="minorHAnsi"/>
        </w:rPr>
        <w:t>subcrop</w:t>
      </w:r>
      <w:proofErr w:type="spellEnd"/>
      <w:r w:rsidRPr="00345C70">
        <w:rPr>
          <w:rFonts w:cstheme="minorHAnsi"/>
        </w:rPr>
        <w:t xml:space="preserve"> and soil samples up to </w:t>
      </w:r>
      <w:r w:rsidRPr="00345C70">
        <w:rPr>
          <w:rFonts w:cstheme="minorHAnsi"/>
          <w:b/>
          <w:bCs/>
        </w:rPr>
        <w:t>624 ppb Au</w:t>
      </w:r>
      <w:r w:rsidRPr="00345C70">
        <w:rPr>
          <w:rFonts w:cstheme="minorHAnsi"/>
        </w:rPr>
        <w:t>.</w:t>
      </w:r>
    </w:p>
    <w:p w14:paraId="78A9604A" w14:textId="77777777" w:rsidR="00345C70" w:rsidRPr="00345C70" w:rsidRDefault="00345C70" w:rsidP="00345C70">
      <w:pPr>
        <w:pStyle w:val="ListParagraph"/>
        <w:numPr>
          <w:ilvl w:val="0"/>
          <w:numId w:val="6"/>
        </w:numPr>
        <w:jc w:val="both"/>
        <w:rPr>
          <w:rFonts w:cstheme="minorHAnsi"/>
        </w:rPr>
      </w:pPr>
      <w:r w:rsidRPr="00345C70">
        <w:rPr>
          <w:rFonts w:cstheme="minorHAnsi"/>
        </w:rPr>
        <w:t xml:space="preserve">New structural model focusing on structurally hosted, </w:t>
      </w:r>
      <w:proofErr w:type="spellStart"/>
      <w:r w:rsidRPr="00345C70">
        <w:rPr>
          <w:rFonts w:cstheme="minorHAnsi"/>
        </w:rPr>
        <w:t>epizonal</w:t>
      </w:r>
      <w:proofErr w:type="spellEnd"/>
      <w:r w:rsidRPr="00345C70">
        <w:rPr>
          <w:rFonts w:cstheme="minorHAnsi"/>
        </w:rPr>
        <w:t xml:space="preserve"> orogenic gold provides a pathway to discovery for new gold deposits on the properties.</w:t>
      </w:r>
    </w:p>
    <w:p w14:paraId="14DFDDEA" w14:textId="77777777" w:rsidR="00345C70" w:rsidRPr="00345C70" w:rsidRDefault="00345C70" w:rsidP="00345C70">
      <w:pPr>
        <w:pStyle w:val="ListParagraph"/>
        <w:numPr>
          <w:ilvl w:val="0"/>
          <w:numId w:val="6"/>
        </w:numPr>
        <w:jc w:val="both"/>
        <w:rPr>
          <w:rFonts w:cstheme="minorHAnsi"/>
        </w:rPr>
      </w:pPr>
      <w:r w:rsidRPr="00345C70">
        <w:rPr>
          <w:rFonts w:cstheme="minorHAnsi"/>
        </w:rPr>
        <w:t>The exploration completed by the Vendors of the Dog Bay properties has delivered results pegging the project as what Mariner considers to be an “advanced early stage prospect” with trenching and targets that are considered “drill ready”.</w:t>
      </w:r>
    </w:p>
    <w:p w14:paraId="6B510431" w14:textId="77777777" w:rsidR="00345C70" w:rsidRPr="00345C70" w:rsidRDefault="00345C70" w:rsidP="00345C70">
      <w:pPr>
        <w:pStyle w:val="ListParagraph"/>
        <w:numPr>
          <w:ilvl w:val="0"/>
          <w:numId w:val="6"/>
        </w:numPr>
        <w:jc w:val="both"/>
        <w:rPr>
          <w:rFonts w:cstheme="minorHAnsi"/>
        </w:rPr>
      </w:pPr>
      <w:r w:rsidRPr="00345C70">
        <w:rPr>
          <w:rFonts w:cstheme="minorHAnsi"/>
        </w:rPr>
        <w:t>Mariner will work to verify existing data and expand on these known gold showings to develop a clear exploration plan immediately.</w:t>
      </w:r>
    </w:p>
    <w:p w14:paraId="1E1AAFC2" w14:textId="31E8466D" w:rsid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CEO John Williamson comments, "Mariner continues to build its land position within the Exploits Subzone, extending to the north on the valued Appleton Fault and Dog Bay Line. The acquisition of the Dog Bay properties</w:t>
      </w:r>
      <w:r w:rsidRPr="00345C70">
        <w:rPr>
          <w:rFonts w:asciiTheme="minorHAnsi" w:hAnsiTheme="minorHAnsi" w:cstheme="minorHAnsi"/>
          <w:color w:val="FF0000"/>
          <w:sz w:val="22"/>
          <w:szCs w:val="22"/>
        </w:rPr>
        <w:t xml:space="preserve"> </w:t>
      </w:r>
      <w:r w:rsidRPr="00345C70">
        <w:rPr>
          <w:rFonts w:asciiTheme="minorHAnsi" w:hAnsiTheme="minorHAnsi" w:cstheme="minorHAnsi"/>
          <w:sz w:val="22"/>
          <w:szCs w:val="22"/>
        </w:rPr>
        <w:t>locks in additional key ground in the Exploits Subzone. We look forward to working with the Vendors, Eddie and Roland Quinlan, as we move to active exploration on our Exploits Subzone projects."</w:t>
      </w:r>
    </w:p>
    <w:p w14:paraId="36E2A0F6" w14:textId="77777777" w:rsidR="00345C70" w:rsidRPr="00345C70" w:rsidRDefault="00345C70" w:rsidP="00345C70">
      <w:pPr>
        <w:jc w:val="both"/>
        <w:rPr>
          <w:rFonts w:asciiTheme="minorHAnsi" w:hAnsiTheme="minorHAnsi" w:cstheme="minorHAnsi"/>
          <w:b/>
          <w:bCs/>
          <w:sz w:val="22"/>
          <w:szCs w:val="22"/>
        </w:rPr>
      </w:pPr>
    </w:p>
    <w:p w14:paraId="00D564F2" w14:textId="2F45BD48" w:rsid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The option agreement covers 8 discrete mineral prospects together consisting of 485 claims, encompassing a total land area of 121.25 km², straddling the northern extent of both the Dog Bay Line and Appleton Fault Zones.  The properties can be accessed by travelling north on highway 340 from Notre Dame Junction, where further access is gained by traveling inland on a network of well-maintained forest service roads. The properties are also situated between 20 and 60 km northeast of the late 2019 New Found Gold Corp. gold discovery, which returned a diamond drill hole with 92.86 g/t Au over 19.0 meters near surface (see New Found Gold Corp. news dated January 28, 2020), and is underlain by the same fault zones and package of siliciclastic rocks as the discovery host, as mapped by the Newfoundland and Labrador Geologic Survey.</w:t>
      </w:r>
    </w:p>
    <w:p w14:paraId="217B4AAD" w14:textId="11EC8852" w:rsidR="00345C70" w:rsidRDefault="00345C70">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A36717B" w14:textId="77777777" w:rsidR="00345C70" w:rsidRPr="00345C70" w:rsidRDefault="00345C70" w:rsidP="00345C70">
      <w:pPr>
        <w:jc w:val="both"/>
        <w:rPr>
          <w:rFonts w:asciiTheme="minorHAnsi" w:hAnsiTheme="minorHAnsi" w:cstheme="minorHAnsi"/>
          <w:sz w:val="22"/>
          <w:szCs w:val="22"/>
        </w:rPr>
      </w:pPr>
    </w:p>
    <w:p w14:paraId="158E45A0" w14:textId="37F48523" w:rsid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 xml:space="preserve">Mariner believes that the Exploits Subzone, which runs 200 km from Dog Bay southwest to Bay </w:t>
      </w:r>
      <w:proofErr w:type="spellStart"/>
      <w:r w:rsidRPr="00345C70">
        <w:rPr>
          <w:rFonts w:asciiTheme="minorHAnsi" w:hAnsiTheme="minorHAnsi" w:cstheme="minorHAnsi"/>
          <w:sz w:val="22"/>
          <w:szCs w:val="22"/>
        </w:rPr>
        <w:t>d'Espoir</w:t>
      </w:r>
      <w:proofErr w:type="spellEnd"/>
      <w:r w:rsidRPr="00345C70">
        <w:rPr>
          <w:rFonts w:asciiTheme="minorHAnsi" w:hAnsiTheme="minorHAnsi" w:cstheme="minorHAnsi"/>
          <w:sz w:val="22"/>
          <w:szCs w:val="22"/>
        </w:rPr>
        <w:t xml:space="preserve"> has been neglected since the last major exploration campaigns in the 1980's. The last 40 years have seen incremental advancements in the understanding of gold mineralization in the camp. The sum of this knowledge is now coming together in discrete and effective exploration models that the Company believes will drive major discovery. Mariner intends to leverage this shift in understanding and become one of the most extensive explorers in the Exploits Subzone.</w:t>
      </w:r>
    </w:p>
    <w:p w14:paraId="3AA47252" w14:textId="77777777" w:rsidR="00345C70" w:rsidRPr="00345C70" w:rsidRDefault="00345C70" w:rsidP="00345C70">
      <w:pPr>
        <w:jc w:val="both"/>
        <w:rPr>
          <w:rFonts w:asciiTheme="minorHAnsi" w:hAnsiTheme="minorHAnsi" w:cstheme="minorHAnsi"/>
          <w:sz w:val="22"/>
          <w:szCs w:val="22"/>
        </w:rPr>
      </w:pPr>
    </w:p>
    <w:p w14:paraId="0E11B6F6" w14:textId="51C28F20" w:rsid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 xml:space="preserve">The team at Mariner, with significant local experience and knowledge, have studied the entirety of the Exploits Subzone and picked individual land packages for staking or joint venture where there is an opportunity for world class discoveries and mine development. </w:t>
      </w:r>
    </w:p>
    <w:p w14:paraId="2FF9A893" w14:textId="77777777" w:rsidR="00345C70" w:rsidRPr="00345C70" w:rsidRDefault="00345C70" w:rsidP="00345C70">
      <w:pPr>
        <w:jc w:val="both"/>
        <w:rPr>
          <w:rFonts w:asciiTheme="minorHAnsi" w:hAnsiTheme="minorHAnsi" w:cstheme="minorHAnsi"/>
          <w:sz w:val="22"/>
          <w:szCs w:val="22"/>
        </w:rPr>
      </w:pPr>
    </w:p>
    <w:p w14:paraId="58A4C44F" w14:textId="77777777" w:rsidR="00345C70" w:rsidRPr="00345C70" w:rsidRDefault="00345C70" w:rsidP="00345C70">
      <w:pPr>
        <w:jc w:val="both"/>
        <w:rPr>
          <w:rFonts w:asciiTheme="minorHAnsi" w:hAnsiTheme="minorHAnsi" w:cstheme="minorHAnsi"/>
          <w:b/>
          <w:bCs/>
          <w:sz w:val="22"/>
          <w:szCs w:val="22"/>
        </w:rPr>
      </w:pPr>
      <w:r w:rsidRPr="00345C70">
        <w:rPr>
          <w:rFonts w:asciiTheme="minorHAnsi" w:hAnsiTheme="minorHAnsi" w:cstheme="minorHAnsi"/>
          <w:b/>
          <w:bCs/>
          <w:sz w:val="22"/>
          <w:szCs w:val="22"/>
        </w:rPr>
        <w:t>Property Geology</w:t>
      </w:r>
    </w:p>
    <w:p w14:paraId="440BF117" w14:textId="77777777" w:rsidR="00345C70" w:rsidRP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 xml:space="preserve">The properties are situated within the Exploits Subzone and encompass (from east to west) the Newfoundland Geological Survey mapped Main Point Formation, Indian Islands Group, </w:t>
      </w:r>
      <w:proofErr w:type="spellStart"/>
      <w:r w:rsidRPr="00345C70">
        <w:rPr>
          <w:rFonts w:asciiTheme="minorHAnsi" w:hAnsiTheme="minorHAnsi" w:cstheme="minorHAnsi"/>
          <w:sz w:val="22"/>
          <w:szCs w:val="22"/>
        </w:rPr>
        <w:t>Duder</w:t>
      </w:r>
      <w:proofErr w:type="spellEnd"/>
      <w:r w:rsidRPr="00345C70">
        <w:rPr>
          <w:rFonts w:asciiTheme="minorHAnsi" w:hAnsiTheme="minorHAnsi" w:cstheme="minorHAnsi"/>
          <w:sz w:val="22"/>
          <w:szCs w:val="22"/>
        </w:rPr>
        <w:t xml:space="preserve"> Group, and Badger Group. Lithological units and age ranges are consistent across the formation and groups and includes Ordovician to Silurian, marine and non-marine siliciclastic sediments, striking in a general NE-SW direction. Within the </w:t>
      </w:r>
      <w:proofErr w:type="spellStart"/>
      <w:r w:rsidRPr="00345C70">
        <w:rPr>
          <w:rFonts w:asciiTheme="minorHAnsi" w:hAnsiTheme="minorHAnsi" w:cstheme="minorHAnsi"/>
          <w:sz w:val="22"/>
          <w:szCs w:val="22"/>
        </w:rPr>
        <w:t>Duder</w:t>
      </w:r>
      <w:proofErr w:type="spellEnd"/>
      <w:r w:rsidRPr="00345C70">
        <w:rPr>
          <w:rFonts w:asciiTheme="minorHAnsi" w:hAnsiTheme="minorHAnsi" w:cstheme="minorHAnsi"/>
          <w:sz w:val="22"/>
          <w:szCs w:val="22"/>
        </w:rPr>
        <w:t xml:space="preserve"> Group, a unit of </w:t>
      </w:r>
      <w:proofErr w:type="spellStart"/>
      <w:r w:rsidRPr="00345C70">
        <w:rPr>
          <w:rFonts w:asciiTheme="minorHAnsi" w:hAnsiTheme="minorHAnsi" w:cstheme="minorHAnsi"/>
          <w:sz w:val="22"/>
          <w:szCs w:val="22"/>
        </w:rPr>
        <w:t>melange</w:t>
      </w:r>
      <w:proofErr w:type="spellEnd"/>
      <w:r w:rsidRPr="00345C70">
        <w:rPr>
          <w:rFonts w:asciiTheme="minorHAnsi" w:hAnsiTheme="minorHAnsi" w:cstheme="minorHAnsi"/>
          <w:sz w:val="22"/>
          <w:szCs w:val="22"/>
        </w:rPr>
        <w:t xml:space="preserve"> was mapped, striking parallel to the overall stratigraphy.</w:t>
      </w:r>
    </w:p>
    <w:p w14:paraId="192CCE2F" w14:textId="77777777" w:rsidR="00345C70" w:rsidRP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 xml:space="preserve">Structurally, the properties straddle the northern extent of the NE-SW trending Dog Bay Line and Appleton Linear fault zones. The Dog Bay Line is a significant suture formed by the closing of the Iapetus Ocean and has implications of deep-seated mantle tapping potential. The Appleton Linear is interpreted to be a sub-parallel, secondary structure to the Dog Bay Line, formed by the aforementioned major tectonic thrusting. The Appleton Linear was highlighted by New Found Gold Corp. to host significant mineralization (NFGC, 2020) and has been interpreted to continue onto the acquired properties along strike to the northeast. </w:t>
      </w:r>
    </w:p>
    <w:p w14:paraId="66EE97D8" w14:textId="77777777" w:rsidR="00345C70" w:rsidRPr="00345C70" w:rsidRDefault="00345C70" w:rsidP="00345C70">
      <w:pPr>
        <w:jc w:val="both"/>
        <w:rPr>
          <w:rFonts w:asciiTheme="minorHAnsi" w:hAnsiTheme="minorHAnsi" w:cstheme="minorHAnsi"/>
          <w:sz w:val="22"/>
          <w:szCs w:val="22"/>
        </w:rPr>
      </w:pPr>
      <w:r w:rsidRPr="00345C70">
        <w:rPr>
          <w:rFonts w:asciiTheme="minorHAnsi" w:hAnsiTheme="minorHAnsi" w:cstheme="minorHAnsi"/>
          <w:sz w:val="22"/>
          <w:szCs w:val="22"/>
        </w:rPr>
        <w:t xml:space="preserve">Major structural domains coupled with brittle siliciclastic sedimentary rocks, which are covered by the properties, increase the opportunity for </w:t>
      </w:r>
      <w:proofErr w:type="spellStart"/>
      <w:r w:rsidRPr="00345C70">
        <w:rPr>
          <w:rFonts w:asciiTheme="minorHAnsi" w:hAnsiTheme="minorHAnsi" w:cstheme="minorHAnsi"/>
          <w:sz w:val="22"/>
          <w:szCs w:val="22"/>
        </w:rPr>
        <w:t>epizonal</w:t>
      </w:r>
      <w:proofErr w:type="spellEnd"/>
      <w:r w:rsidRPr="00345C70">
        <w:rPr>
          <w:rFonts w:asciiTheme="minorHAnsi" w:hAnsiTheme="minorHAnsi" w:cstheme="minorHAnsi"/>
          <w:sz w:val="22"/>
          <w:szCs w:val="22"/>
        </w:rPr>
        <w:t xml:space="preserve">, orogenic gold mineralization to occur. Historic drilling on the property is limited and constrained to 20 shallow (maximum length of  115m) diamond drilled holes totaling 1,559m. Results were positive with intercepts up to 10.22 g/t Au over 3.35m. The drill holes followed up on channel sampling within trenches that returned assays up to 48.22 g/t Au over 0.80m and including 15.25 g/t over 3.00m and 9.41 g/t Au over 4.25m (Crosshair Exploration and Mining Corp., 2002-2005). Recent prospecting and soil sampling in the area, following up on work done by Noranda in the late 1980’s, led to discovery of a 233 g/t Au in quartz veined sediment </w:t>
      </w:r>
      <w:proofErr w:type="spellStart"/>
      <w:r w:rsidRPr="00345C70">
        <w:rPr>
          <w:rFonts w:asciiTheme="minorHAnsi" w:hAnsiTheme="minorHAnsi" w:cstheme="minorHAnsi"/>
          <w:sz w:val="22"/>
          <w:szCs w:val="22"/>
        </w:rPr>
        <w:t>subcrop</w:t>
      </w:r>
      <w:proofErr w:type="spellEnd"/>
      <w:r w:rsidRPr="00345C70">
        <w:rPr>
          <w:rFonts w:asciiTheme="minorHAnsi" w:hAnsiTheme="minorHAnsi" w:cstheme="minorHAnsi"/>
          <w:sz w:val="22"/>
          <w:szCs w:val="22"/>
        </w:rPr>
        <w:t xml:space="preserve"> as well as soils up to 624 ppb Au, indicating up to 4km of untested potential strike length of gold mineralization trending in the NE-SW directing displayed by the regional structures. Samples have also returned anomalous arsenic and antimony, which are indicative of </w:t>
      </w:r>
      <w:proofErr w:type="spellStart"/>
      <w:r w:rsidRPr="00345C70">
        <w:rPr>
          <w:rFonts w:asciiTheme="minorHAnsi" w:hAnsiTheme="minorHAnsi" w:cstheme="minorHAnsi"/>
          <w:sz w:val="22"/>
          <w:szCs w:val="22"/>
        </w:rPr>
        <w:t>epizonal</w:t>
      </w:r>
      <w:proofErr w:type="spellEnd"/>
      <w:r w:rsidRPr="00345C70">
        <w:rPr>
          <w:rFonts w:asciiTheme="minorHAnsi" w:hAnsiTheme="minorHAnsi" w:cstheme="minorHAnsi"/>
          <w:sz w:val="22"/>
          <w:szCs w:val="22"/>
        </w:rPr>
        <w:t>, orogenic style mineralization.</w:t>
      </w:r>
    </w:p>
    <w:p w14:paraId="6A443134" w14:textId="17C4E31A" w:rsidR="00345C70" w:rsidRDefault="00345C70">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7490BCC" w14:textId="17FD0550" w:rsidR="00345C70" w:rsidRPr="00345C70" w:rsidRDefault="00345C70" w:rsidP="00345C70">
      <w:pPr>
        <w:jc w:val="both"/>
        <w:rPr>
          <w:rFonts w:asciiTheme="minorHAnsi" w:hAnsiTheme="minorHAnsi" w:cstheme="minorHAnsi"/>
          <w:b/>
          <w:bCs/>
          <w:sz w:val="22"/>
          <w:szCs w:val="22"/>
          <w:lang w:val="en-CA"/>
        </w:rPr>
      </w:pPr>
      <w:r w:rsidRPr="00345C70">
        <w:rPr>
          <w:rFonts w:asciiTheme="minorHAnsi" w:hAnsiTheme="minorHAnsi" w:cstheme="minorHAnsi"/>
          <w:b/>
          <w:bCs/>
          <w:sz w:val="22"/>
          <w:szCs w:val="22"/>
          <w:lang w:val="en-CA"/>
        </w:rPr>
        <w:lastRenderedPageBreak/>
        <w:t>Area Map of the Dog Bay Properties</w:t>
      </w:r>
    </w:p>
    <w:p w14:paraId="26275596" w14:textId="69CAE578" w:rsidR="00345C70" w:rsidRDefault="00345C70" w:rsidP="00157108">
      <w:pPr>
        <w:jc w:val="both"/>
        <w:rPr>
          <w:rFonts w:asciiTheme="minorHAnsi" w:hAnsiTheme="minorHAnsi" w:cstheme="minorHAnsi"/>
          <w:b/>
          <w:bCs/>
          <w:sz w:val="22"/>
          <w:szCs w:val="22"/>
          <w:lang w:val="en-CA"/>
        </w:rPr>
      </w:pPr>
      <w:r w:rsidRPr="00750427">
        <w:rPr>
          <w:rFonts w:cstheme="minorHAnsi"/>
          <w:noProof/>
          <w:sz w:val="22"/>
          <w:szCs w:val="22"/>
        </w:rPr>
        <w:drawing>
          <wp:inline distT="0" distB="0" distL="0" distR="0" wp14:anchorId="27D21E30" wp14:editId="012C9B32">
            <wp:extent cx="5143500" cy="6656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0539" cy="6665403"/>
                    </a:xfrm>
                    <a:prstGeom prst="rect">
                      <a:avLst/>
                    </a:prstGeom>
                  </pic:spPr>
                </pic:pic>
              </a:graphicData>
            </a:graphic>
          </wp:inline>
        </w:drawing>
      </w:r>
    </w:p>
    <w:p w14:paraId="6E899885" w14:textId="77777777" w:rsidR="00345C70" w:rsidRDefault="00345C70">
      <w:pPr>
        <w:spacing w:after="160" w:line="259" w:lineRule="auto"/>
        <w:rPr>
          <w:rFonts w:asciiTheme="minorHAnsi" w:hAnsiTheme="minorHAnsi" w:cstheme="minorHAnsi"/>
          <w:b/>
          <w:bCs/>
          <w:sz w:val="22"/>
          <w:szCs w:val="22"/>
          <w:lang w:val="en-CA"/>
        </w:rPr>
      </w:pPr>
      <w:r>
        <w:rPr>
          <w:rFonts w:asciiTheme="minorHAnsi" w:hAnsiTheme="minorHAnsi" w:cstheme="minorHAnsi"/>
          <w:b/>
          <w:bCs/>
          <w:sz w:val="22"/>
          <w:szCs w:val="22"/>
          <w:lang w:val="en-CA"/>
        </w:rPr>
        <w:br w:type="page"/>
      </w:r>
    </w:p>
    <w:p w14:paraId="6B24A952" w14:textId="77777777" w:rsidR="00345C70" w:rsidRPr="00345C70" w:rsidRDefault="00345C70" w:rsidP="00345C70">
      <w:pPr>
        <w:jc w:val="both"/>
        <w:rPr>
          <w:rFonts w:asciiTheme="minorHAnsi" w:hAnsiTheme="minorHAnsi" w:cstheme="minorHAnsi"/>
          <w:b/>
          <w:bCs/>
          <w:sz w:val="22"/>
          <w:szCs w:val="22"/>
          <w:lang w:val="en-CA"/>
        </w:rPr>
      </w:pPr>
      <w:r w:rsidRPr="00345C70">
        <w:rPr>
          <w:rFonts w:asciiTheme="minorHAnsi" w:hAnsiTheme="minorHAnsi" w:cstheme="minorHAnsi"/>
          <w:b/>
          <w:bCs/>
          <w:sz w:val="22"/>
          <w:szCs w:val="22"/>
          <w:lang w:val="en-CA"/>
        </w:rPr>
        <w:lastRenderedPageBreak/>
        <w:t>Transaction Outlined</w:t>
      </w:r>
    </w:p>
    <w:p w14:paraId="7880A3C0" w14:textId="3CBC5C87" w:rsidR="00345C70" w:rsidRDefault="00345C70" w:rsidP="00345C70">
      <w:p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Under the terms of the agreement, the company may acquire a 100-per-cent interest in the property by paying an aggregate of $250,000 cash and issuing 3,500,000 common shares and $560,000 in either cash or common shares as follows:</w:t>
      </w:r>
    </w:p>
    <w:p w14:paraId="21367B7D" w14:textId="77777777" w:rsidR="00345C70" w:rsidRPr="00345C70" w:rsidRDefault="00345C70" w:rsidP="00345C70">
      <w:pPr>
        <w:jc w:val="both"/>
        <w:rPr>
          <w:rFonts w:asciiTheme="minorHAnsi" w:hAnsiTheme="minorHAnsi" w:cstheme="minorHAnsi"/>
          <w:sz w:val="22"/>
          <w:szCs w:val="22"/>
          <w:lang w:val="en-CA"/>
        </w:rPr>
      </w:pPr>
    </w:p>
    <w:p w14:paraId="7A16EB6A" w14:textId="77777777"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$30,000 &amp; 1,000,000 common shares upon signing the purchase agreement; and</w:t>
      </w:r>
    </w:p>
    <w:p w14:paraId="5C524CA6" w14:textId="77777777"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$40,000 &amp; 400,000 common shares on first anniversary; and</w:t>
      </w:r>
    </w:p>
    <w:p w14:paraId="5C5361FB" w14:textId="77777777"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$50,000 &amp; 500,000 common shares on second anniversary; and</w:t>
      </w:r>
    </w:p>
    <w:p w14:paraId="05E2C6AF" w14:textId="77777777"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$60,000 &amp; 600,000 common shares on third anniversary; and</w:t>
      </w:r>
    </w:p>
    <w:p w14:paraId="67ECDBA6" w14:textId="77777777"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$70,000 &amp; 1,000,000 common shares on fourth anniversary; and</w:t>
      </w:r>
    </w:p>
    <w:p w14:paraId="04B3525D" w14:textId="77777777"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$10,000 in cash or common shares for the fifth to tenth anniversary; and</w:t>
      </w:r>
    </w:p>
    <w:p w14:paraId="6E6B7234" w14:textId="3E7FF4FF" w:rsidR="00345C70" w:rsidRPr="00345C70" w:rsidRDefault="00345C70" w:rsidP="00345C70">
      <w:pPr>
        <w:numPr>
          <w:ilvl w:val="0"/>
          <w:numId w:val="3"/>
        </w:num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$50,000 in cash or common shares for eleventh to twentieth anniversary.</w:t>
      </w:r>
    </w:p>
    <w:p w14:paraId="4DE6B85F" w14:textId="77777777" w:rsidR="00345C70" w:rsidRPr="00345C70" w:rsidRDefault="00345C70" w:rsidP="00345C70">
      <w:pPr>
        <w:ind w:left="720"/>
        <w:jc w:val="both"/>
        <w:rPr>
          <w:rFonts w:asciiTheme="minorHAnsi" w:hAnsiTheme="minorHAnsi" w:cstheme="minorHAnsi"/>
          <w:sz w:val="22"/>
          <w:szCs w:val="22"/>
          <w:lang w:val="en-CA"/>
        </w:rPr>
      </w:pPr>
    </w:p>
    <w:p w14:paraId="2B092C7A" w14:textId="273BF745" w:rsidR="00345C70" w:rsidRPr="00345C70" w:rsidRDefault="00345C70" w:rsidP="00345C70">
      <w:p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The vendors shall retain a 2.0-per-cent net smelter return royalty (NSR) on the property, of which the company shall have the right to purchase half (1.0 per cent) for $4-million.</w:t>
      </w:r>
    </w:p>
    <w:p w14:paraId="4289D4FA" w14:textId="77777777" w:rsidR="00345C70" w:rsidRPr="00345C70" w:rsidRDefault="00345C70" w:rsidP="00345C70">
      <w:pPr>
        <w:jc w:val="both"/>
        <w:rPr>
          <w:rFonts w:asciiTheme="minorHAnsi" w:hAnsiTheme="minorHAnsi" w:cstheme="minorHAnsi"/>
          <w:b/>
          <w:bCs/>
          <w:sz w:val="22"/>
          <w:szCs w:val="22"/>
          <w:lang w:val="en-CA"/>
        </w:rPr>
      </w:pPr>
    </w:p>
    <w:p w14:paraId="349691EB" w14:textId="274A757A" w:rsidR="00157108" w:rsidRPr="00157108" w:rsidRDefault="00157108" w:rsidP="00157108">
      <w:pPr>
        <w:jc w:val="both"/>
        <w:rPr>
          <w:rFonts w:asciiTheme="minorHAnsi" w:hAnsiTheme="minorHAnsi" w:cstheme="minorHAnsi"/>
          <w:b/>
          <w:bCs/>
          <w:sz w:val="22"/>
          <w:szCs w:val="22"/>
          <w:lang w:val="en-CA"/>
        </w:rPr>
      </w:pPr>
      <w:r w:rsidRPr="00157108">
        <w:rPr>
          <w:rFonts w:asciiTheme="minorHAnsi" w:hAnsiTheme="minorHAnsi" w:cstheme="minorHAnsi"/>
          <w:b/>
          <w:bCs/>
          <w:sz w:val="22"/>
          <w:szCs w:val="22"/>
          <w:lang w:val="en-CA"/>
        </w:rPr>
        <w:t>NI 43-101 Disclosure</w:t>
      </w:r>
    </w:p>
    <w:p w14:paraId="0F68B60C" w14:textId="7774568D" w:rsidR="00157108" w:rsidRDefault="00157108" w:rsidP="00157108">
      <w:pPr>
        <w:jc w:val="both"/>
        <w:rPr>
          <w:rFonts w:asciiTheme="minorHAnsi" w:hAnsiTheme="minorHAnsi" w:cstheme="minorHAnsi"/>
          <w:sz w:val="22"/>
          <w:szCs w:val="22"/>
          <w:lang w:val="en-CA"/>
        </w:rPr>
      </w:pPr>
      <w:r w:rsidRPr="00157108">
        <w:rPr>
          <w:rFonts w:asciiTheme="minorHAnsi" w:hAnsiTheme="minorHAnsi" w:cstheme="minorHAnsi"/>
          <w:sz w:val="22"/>
          <w:szCs w:val="22"/>
          <w:lang w:val="en-CA"/>
        </w:rPr>
        <w:t xml:space="preserve">Ian </w:t>
      </w:r>
      <w:proofErr w:type="spellStart"/>
      <w:r w:rsidRPr="00157108">
        <w:rPr>
          <w:rFonts w:asciiTheme="minorHAnsi" w:hAnsiTheme="minorHAnsi" w:cstheme="minorHAnsi"/>
          <w:sz w:val="22"/>
          <w:szCs w:val="22"/>
          <w:lang w:val="en-CA"/>
        </w:rPr>
        <w:t>Herbranson</w:t>
      </w:r>
      <w:proofErr w:type="spellEnd"/>
      <w:r w:rsidRPr="00157108">
        <w:rPr>
          <w:rFonts w:asciiTheme="minorHAnsi" w:hAnsiTheme="minorHAnsi" w:cstheme="minorHAnsi"/>
          <w:sz w:val="22"/>
          <w:szCs w:val="22"/>
          <w:lang w:val="en-CA"/>
        </w:rPr>
        <w:t xml:space="preserve">, </w:t>
      </w:r>
      <w:proofErr w:type="spellStart"/>
      <w:r w:rsidRPr="00157108">
        <w:rPr>
          <w:rFonts w:asciiTheme="minorHAnsi" w:hAnsiTheme="minorHAnsi" w:cstheme="minorHAnsi"/>
          <w:sz w:val="22"/>
          <w:szCs w:val="22"/>
          <w:lang w:val="en-CA"/>
        </w:rPr>
        <w:t>P.Geo</w:t>
      </w:r>
      <w:proofErr w:type="spellEnd"/>
      <w:r w:rsidRPr="00157108">
        <w:rPr>
          <w:rFonts w:asciiTheme="minorHAnsi" w:hAnsiTheme="minorHAnsi" w:cstheme="minorHAnsi"/>
          <w:sz w:val="22"/>
          <w:szCs w:val="22"/>
          <w:lang w:val="en-CA"/>
        </w:rPr>
        <w:t xml:space="preserve">, is a consultant for the company, shareholder and qualified person as defined by National Instrument 43-101. Mr. </w:t>
      </w:r>
      <w:proofErr w:type="spellStart"/>
      <w:r w:rsidRPr="00157108">
        <w:rPr>
          <w:rFonts w:asciiTheme="minorHAnsi" w:hAnsiTheme="minorHAnsi" w:cstheme="minorHAnsi"/>
          <w:sz w:val="22"/>
          <w:szCs w:val="22"/>
          <w:lang w:val="en-CA"/>
        </w:rPr>
        <w:t>Herbranson</w:t>
      </w:r>
      <w:proofErr w:type="spellEnd"/>
      <w:r w:rsidRPr="00157108">
        <w:rPr>
          <w:rFonts w:asciiTheme="minorHAnsi" w:hAnsiTheme="minorHAnsi" w:cstheme="minorHAnsi"/>
          <w:sz w:val="22"/>
          <w:szCs w:val="22"/>
          <w:lang w:val="en-CA"/>
        </w:rPr>
        <w:t xml:space="preserve"> supervised the preparation of the technical information in this news release.</w:t>
      </w:r>
    </w:p>
    <w:p w14:paraId="7AFA82AE" w14:textId="77777777" w:rsidR="00157108" w:rsidRPr="00157108" w:rsidRDefault="00157108" w:rsidP="00157108">
      <w:pPr>
        <w:jc w:val="both"/>
        <w:rPr>
          <w:rFonts w:asciiTheme="minorHAnsi" w:hAnsiTheme="minorHAnsi" w:cstheme="minorHAnsi"/>
          <w:sz w:val="22"/>
          <w:szCs w:val="22"/>
          <w:lang w:val="en-CA"/>
        </w:rPr>
      </w:pPr>
    </w:p>
    <w:p w14:paraId="3F1C9D63" w14:textId="77777777" w:rsidR="00157108" w:rsidRPr="00157108" w:rsidRDefault="00157108" w:rsidP="00157108">
      <w:pPr>
        <w:jc w:val="both"/>
        <w:rPr>
          <w:rFonts w:asciiTheme="minorHAnsi" w:hAnsiTheme="minorHAnsi" w:cstheme="minorHAnsi"/>
          <w:b/>
          <w:bCs/>
          <w:sz w:val="22"/>
          <w:szCs w:val="22"/>
          <w:lang w:val="en-CA"/>
        </w:rPr>
      </w:pPr>
      <w:r w:rsidRPr="00157108">
        <w:rPr>
          <w:rFonts w:asciiTheme="minorHAnsi" w:hAnsiTheme="minorHAnsi" w:cstheme="minorHAnsi"/>
          <w:b/>
          <w:bCs/>
          <w:sz w:val="22"/>
          <w:szCs w:val="22"/>
          <w:lang w:val="en-CA"/>
        </w:rPr>
        <w:t>About Mariner Resources Corp.</w:t>
      </w:r>
    </w:p>
    <w:p w14:paraId="52346BAF" w14:textId="77777777" w:rsidR="00345C70" w:rsidRPr="00345C70" w:rsidRDefault="00345C70" w:rsidP="00345C70">
      <w:pPr>
        <w:jc w:val="both"/>
        <w:rPr>
          <w:rFonts w:asciiTheme="minorHAnsi" w:hAnsiTheme="minorHAnsi" w:cstheme="minorHAnsi"/>
          <w:sz w:val="22"/>
          <w:szCs w:val="22"/>
          <w:lang w:val="en-CA"/>
        </w:rPr>
      </w:pPr>
      <w:r w:rsidRPr="00345C70">
        <w:rPr>
          <w:rFonts w:asciiTheme="minorHAnsi" w:hAnsiTheme="minorHAnsi" w:cstheme="minorHAnsi"/>
          <w:sz w:val="22"/>
          <w:szCs w:val="22"/>
          <w:lang w:val="en-CA"/>
        </w:rPr>
        <w:t xml:space="preserve">Mariner Resources Corp. is a Canadian mineral exploration company focused on the acquisition and development of mineral projects in Newfoundland, Canada. The company currently holds the Middle Ridge, True Grit, Great Bend, Mt. Peyton North &amp; Shirley Lake, </w:t>
      </w:r>
      <w:proofErr w:type="spellStart"/>
      <w:r w:rsidRPr="00345C70">
        <w:rPr>
          <w:rFonts w:asciiTheme="minorHAnsi" w:hAnsiTheme="minorHAnsi" w:cstheme="minorHAnsi"/>
          <w:sz w:val="22"/>
          <w:szCs w:val="22"/>
          <w:lang w:val="en-CA"/>
        </w:rPr>
        <w:t>Gazeebow</w:t>
      </w:r>
      <w:proofErr w:type="spellEnd"/>
      <w:r w:rsidRPr="00345C70">
        <w:rPr>
          <w:rFonts w:asciiTheme="minorHAnsi" w:hAnsiTheme="minorHAnsi" w:cstheme="minorHAnsi"/>
          <w:sz w:val="22"/>
          <w:szCs w:val="22"/>
          <w:lang w:val="en-CA"/>
        </w:rPr>
        <w:t xml:space="preserve"> and Dog Bay projects, which cumulatively cover an area of 1,168.75 km². All four projects lay within the Exploits Subzone and Gander River Ultramafic Belt (GRUB) of the Dunnage Zone, which contain the majority of Newfoundland's gold mineral occurrences and exploration efforts, including New Found Gold's 2019 discovery of 92.86 g/t Au over 19.0 meters near surface. The Exploits Subzone and GRUB regions have been the focus of major staking and financing throughout 2020, with increased exploration activities forecasted in the area moving into 2021.</w:t>
      </w:r>
    </w:p>
    <w:p w14:paraId="76B80B75" w14:textId="77777777" w:rsidR="00157108" w:rsidRPr="00157108" w:rsidRDefault="00157108" w:rsidP="00157108">
      <w:pPr>
        <w:jc w:val="both"/>
        <w:rPr>
          <w:rFonts w:asciiTheme="minorHAnsi" w:hAnsiTheme="minorHAnsi" w:cstheme="minorHAnsi"/>
          <w:sz w:val="22"/>
          <w:szCs w:val="22"/>
        </w:rPr>
      </w:pPr>
    </w:p>
    <w:p w14:paraId="49F06BEB" w14:textId="5B96260E" w:rsidR="009D2E18" w:rsidRDefault="003876D4" w:rsidP="009D2E18">
      <w:pPr>
        <w:widowControl w:val="0"/>
        <w:autoSpaceDE w:val="0"/>
        <w:autoSpaceDN w:val="0"/>
        <w:adjustRightInd w:val="0"/>
        <w:jc w:val="both"/>
        <w:rPr>
          <w:rFonts w:asciiTheme="minorHAnsi" w:hAnsiTheme="minorHAnsi"/>
          <w:spacing w:val="3"/>
          <w:sz w:val="22"/>
          <w:szCs w:val="22"/>
        </w:rPr>
        <w:sectPr w:rsidR="009D2E18" w:rsidSect="003912BB">
          <w:headerReference w:type="default" r:id="rId8"/>
          <w:footerReference w:type="default" r:id="rId9"/>
          <w:headerReference w:type="first" r:id="rId10"/>
          <w:footerReference w:type="first" r:id="rId11"/>
          <w:pgSz w:w="12240" w:h="15840"/>
          <w:pgMar w:top="2154" w:right="1080" w:bottom="1440" w:left="1260" w:header="720" w:footer="720" w:gutter="0"/>
          <w:cols w:space="720"/>
          <w:titlePg/>
          <w:docGrid w:linePitch="360"/>
        </w:sectPr>
      </w:pPr>
      <w:r w:rsidRPr="003876D4">
        <w:rPr>
          <w:rFonts w:asciiTheme="minorHAnsi" w:hAnsiTheme="minorHAnsi"/>
          <w:color w:val="000000"/>
          <w:sz w:val="22"/>
          <w:szCs w:val="22"/>
          <w:lang w:eastAsia="en-CA"/>
        </w:rPr>
        <w:t>.</w:t>
      </w:r>
    </w:p>
    <w:p w14:paraId="1D13BAB5" w14:textId="73A4FD87" w:rsidR="009D2E18" w:rsidRDefault="009D2E18" w:rsidP="009D2E18">
      <w:pPr>
        <w:widowControl w:val="0"/>
        <w:autoSpaceDE w:val="0"/>
        <w:autoSpaceDN w:val="0"/>
        <w:adjustRightInd w:val="0"/>
        <w:jc w:val="both"/>
        <w:rPr>
          <w:rFonts w:asciiTheme="minorHAnsi" w:hAnsiTheme="minorHAnsi"/>
          <w:spacing w:val="3"/>
          <w:sz w:val="22"/>
          <w:szCs w:val="22"/>
        </w:rPr>
      </w:pPr>
    </w:p>
    <w:p w14:paraId="6D78BC2B" w14:textId="77777777" w:rsidR="009D2E18" w:rsidRPr="004439A0" w:rsidRDefault="009D2E18" w:rsidP="009D2E18">
      <w:pPr>
        <w:spacing w:after="120"/>
        <w:rPr>
          <w:rFonts w:asciiTheme="minorHAnsi" w:hAnsiTheme="minorHAnsi" w:cstheme="minorHAnsi"/>
          <w:b/>
          <w:bCs/>
        </w:rPr>
      </w:pPr>
      <w:r w:rsidRPr="004439A0">
        <w:rPr>
          <w:rFonts w:asciiTheme="minorHAnsi" w:hAnsiTheme="minorHAnsi" w:cstheme="minorHAnsi"/>
          <w:b/>
          <w:bCs/>
        </w:rPr>
        <w:t>ON BEHALF OF THE BOARD</w:t>
      </w:r>
    </w:p>
    <w:p w14:paraId="4BD7A5FF" w14:textId="77777777" w:rsidR="009D2E18" w:rsidRPr="004439A0" w:rsidRDefault="009D2E18" w:rsidP="009D2E18">
      <w:pPr>
        <w:spacing w:after="120"/>
        <w:rPr>
          <w:rFonts w:asciiTheme="minorHAnsi" w:hAnsiTheme="minorHAnsi" w:cstheme="minorHAnsi"/>
        </w:rPr>
      </w:pPr>
      <w:r w:rsidRPr="004439A0">
        <w:rPr>
          <w:rFonts w:asciiTheme="minorHAnsi" w:hAnsiTheme="minorHAnsi" w:cstheme="minorHAnsi"/>
          <w:i/>
        </w:rPr>
        <w:t>/s/ "John Williamson"</w:t>
      </w:r>
      <w:r w:rsidRPr="004439A0">
        <w:rPr>
          <w:rFonts w:asciiTheme="minorHAnsi" w:hAnsiTheme="minorHAnsi" w:cstheme="minorHAnsi"/>
        </w:rPr>
        <w:br/>
      </w:r>
      <w:r>
        <w:rPr>
          <w:rFonts w:asciiTheme="minorHAnsi" w:hAnsiTheme="minorHAnsi" w:cstheme="minorHAnsi"/>
        </w:rPr>
        <w:t>Chief Executive Officer</w:t>
      </w:r>
    </w:p>
    <w:p w14:paraId="2B080287" w14:textId="77777777" w:rsidR="009D2E18" w:rsidRPr="004439A0" w:rsidRDefault="009D2E18" w:rsidP="009D2E18">
      <w:pPr>
        <w:pStyle w:val="NoSpacing"/>
        <w:rPr>
          <w:rFonts w:asciiTheme="minorHAnsi" w:hAnsiTheme="minorHAnsi" w:cstheme="minorHAnsi"/>
          <w:b/>
          <w:bCs/>
          <w:sz w:val="22"/>
          <w:szCs w:val="22"/>
        </w:rPr>
      </w:pPr>
    </w:p>
    <w:p w14:paraId="6D55B52E" w14:textId="77777777" w:rsidR="009D2E18" w:rsidRPr="004439A0" w:rsidRDefault="009D2E18" w:rsidP="009D2E18">
      <w:pPr>
        <w:pStyle w:val="NoSpacing"/>
        <w:rPr>
          <w:rFonts w:asciiTheme="minorHAnsi" w:hAnsiTheme="minorHAnsi" w:cstheme="minorHAnsi"/>
          <w:sz w:val="22"/>
          <w:szCs w:val="22"/>
        </w:rPr>
      </w:pPr>
      <w:r w:rsidRPr="004439A0">
        <w:rPr>
          <w:rFonts w:asciiTheme="minorHAnsi" w:hAnsiTheme="minorHAnsi" w:cstheme="minorHAnsi"/>
          <w:b/>
          <w:bCs/>
          <w:sz w:val="22"/>
          <w:szCs w:val="22"/>
        </w:rPr>
        <w:t>For further information, please contact:</w:t>
      </w:r>
      <w:r w:rsidRPr="004439A0">
        <w:rPr>
          <w:rFonts w:asciiTheme="minorHAnsi" w:hAnsiTheme="minorHAnsi" w:cstheme="minorHAnsi"/>
          <w:sz w:val="22"/>
          <w:szCs w:val="22"/>
        </w:rPr>
        <w:br/>
      </w:r>
      <w:r>
        <w:rPr>
          <w:rFonts w:asciiTheme="minorHAnsi" w:hAnsiTheme="minorHAnsi" w:cstheme="minorHAnsi"/>
          <w:sz w:val="22"/>
          <w:szCs w:val="22"/>
        </w:rPr>
        <w:t>Justin Bourassa</w:t>
      </w:r>
      <w:r w:rsidRPr="004439A0">
        <w:rPr>
          <w:rFonts w:asciiTheme="minorHAnsi" w:hAnsiTheme="minorHAnsi" w:cstheme="minorHAnsi"/>
          <w:sz w:val="22"/>
          <w:szCs w:val="22"/>
        </w:rPr>
        <w:t xml:space="preserve">, Director </w:t>
      </w:r>
      <w:r>
        <w:rPr>
          <w:rFonts w:asciiTheme="minorHAnsi" w:hAnsiTheme="minorHAnsi" w:cstheme="minorHAnsi"/>
          <w:sz w:val="22"/>
          <w:szCs w:val="22"/>
        </w:rPr>
        <w:t>and CFO</w:t>
      </w:r>
    </w:p>
    <w:p w14:paraId="2683DB69" w14:textId="0C149223" w:rsidR="009D2E18" w:rsidRPr="009D2E18" w:rsidRDefault="009D2E18" w:rsidP="009D2E18">
      <w:pPr>
        <w:widowControl w:val="0"/>
        <w:autoSpaceDE w:val="0"/>
        <w:autoSpaceDN w:val="0"/>
        <w:adjustRightInd w:val="0"/>
        <w:jc w:val="both"/>
        <w:rPr>
          <w:rFonts w:asciiTheme="minorHAnsi" w:hAnsiTheme="minorHAnsi"/>
          <w:spacing w:val="3"/>
          <w:sz w:val="22"/>
          <w:szCs w:val="22"/>
        </w:rPr>
      </w:pPr>
      <w:r>
        <w:rPr>
          <w:rFonts w:asciiTheme="minorHAnsi" w:hAnsiTheme="minorHAnsi" w:cstheme="minorHAnsi"/>
          <w:sz w:val="22"/>
          <w:szCs w:val="22"/>
        </w:rPr>
        <w:t>justinb</w:t>
      </w:r>
      <w:r w:rsidRPr="004439A0">
        <w:rPr>
          <w:rFonts w:asciiTheme="minorHAnsi" w:hAnsiTheme="minorHAnsi" w:cstheme="minorHAnsi"/>
          <w:sz w:val="22"/>
          <w:szCs w:val="22"/>
        </w:rPr>
        <w:t>@</w:t>
      </w:r>
      <w:r>
        <w:rPr>
          <w:rFonts w:asciiTheme="minorHAnsi" w:hAnsiTheme="minorHAnsi" w:cstheme="minorHAnsi"/>
          <w:sz w:val="22"/>
          <w:szCs w:val="22"/>
        </w:rPr>
        <w:t>metalsgroup</w:t>
      </w:r>
      <w:r w:rsidRPr="004439A0">
        <w:rPr>
          <w:rFonts w:asciiTheme="minorHAnsi" w:hAnsiTheme="minorHAnsi" w:cstheme="minorHAnsi"/>
          <w:sz w:val="22"/>
          <w:szCs w:val="22"/>
        </w:rPr>
        <w:t>.com</w:t>
      </w:r>
      <w:r w:rsidRPr="004439A0">
        <w:rPr>
          <w:rFonts w:asciiTheme="minorHAnsi" w:hAnsiTheme="minorHAnsi" w:cstheme="minorHAnsi"/>
          <w:sz w:val="22"/>
          <w:szCs w:val="22"/>
        </w:rPr>
        <w:br/>
      </w:r>
      <w:r w:rsidRPr="004439A0">
        <w:rPr>
          <w:rFonts w:asciiTheme="minorHAnsi" w:hAnsiTheme="minorHAnsi" w:cstheme="minorHAnsi"/>
          <w:b/>
          <w:sz w:val="22"/>
          <w:szCs w:val="22"/>
        </w:rPr>
        <w:t>Tel: (</w:t>
      </w:r>
      <w:r>
        <w:rPr>
          <w:rFonts w:asciiTheme="minorHAnsi" w:hAnsiTheme="minorHAnsi" w:cstheme="minorHAnsi"/>
          <w:b/>
          <w:sz w:val="22"/>
          <w:szCs w:val="22"/>
        </w:rPr>
        <w:t>780</w:t>
      </w:r>
      <w:r w:rsidRPr="004439A0">
        <w:rPr>
          <w:rFonts w:asciiTheme="minorHAnsi" w:hAnsiTheme="minorHAnsi" w:cstheme="minorHAnsi"/>
          <w:b/>
          <w:sz w:val="22"/>
          <w:szCs w:val="22"/>
        </w:rPr>
        <w:t>) 7</w:t>
      </w:r>
      <w:r>
        <w:rPr>
          <w:rFonts w:asciiTheme="minorHAnsi" w:hAnsiTheme="minorHAnsi" w:cstheme="minorHAnsi"/>
          <w:b/>
          <w:sz w:val="22"/>
          <w:szCs w:val="22"/>
        </w:rPr>
        <w:t>01</w:t>
      </w:r>
      <w:r w:rsidRPr="004439A0">
        <w:rPr>
          <w:rFonts w:asciiTheme="minorHAnsi" w:hAnsiTheme="minorHAnsi" w:cstheme="minorHAnsi"/>
          <w:b/>
          <w:sz w:val="22"/>
          <w:szCs w:val="22"/>
        </w:rPr>
        <w:t>-</w:t>
      </w:r>
      <w:r>
        <w:rPr>
          <w:rFonts w:asciiTheme="minorHAnsi" w:hAnsiTheme="minorHAnsi" w:cstheme="minorHAnsi"/>
          <w:b/>
          <w:sz w:val="22"/>
          <w:szCs w:val="22"/>
        </w:rPr>
        <w:t>3216</w:t>
      </w:r>
    </w:p>
    <w:p w14:paraId="22A13EE3" w14:textId="75BB8F6C" w:rsidR="009D2E18" w:rsidRDefault="009D2E18" w:rsidP="00EA522F">
      <w:pPr>
        <w:rPr>
          <w:rFonts w:cstheme="minorHAnsi"/>
          <w:lang w:eastAsia="zh-CN"/>
        </w:rPr>
        <w:sectPr w:rsidR="009D2E18" w:rsidSect="009D2E18">
          <w:type w:val="continuous"/>
          <w:pgSz w:w="12240" w:h="15840"/>
          <w:pgMar w:top="2154" w:right="1080" w:bottom="1440" w:left="1260" w:header="720" w:footer="720" w:gutter="0"/>
          <w:cols w:num="2" w:space="720"/>
          <w:titlePg/>
          <w:docGrid w:linePitch="360"/>
        </w:sectPr>
      </w:pPr>
    </w:p>
    <w:p w14:paraId="1421E62E" w14:textId="77777777" w:rsidR="009D2E18" w:rsidRDefault="009D2E18" w:rsidP="009D2E18">
      <w:pPr>
        <w:spacing w:after="160" w:line="259" w:lineRule="auto"/>
        <w:rPr>
          <w:rFonts w:ascii="Calibri" w:hAnsi="Calibri"/>
          <w:sz w:val="18"/>
          <w:szCs w:val="18"/>
          <w:lang w:eastAsia="zh-CN"/>
        </w:rPr>
      </w:pPr>
      <w:bookmarkStart w:id="0" w:name="_Hlk24469537"/>
    </w:p>
    <w:p w14:paraId="097F6104" w14:textId="072BB2CA" w:rsidR="009D2E18" w:rsidRPr="00BB1107" w:rsidRDefault="009D2E18" w:rsidP="00345C70">
      <w:pPr>
        <w:spacing w:after="160" w:line="259" w:lineRule="auto"/>
        <w:jc w:val="both"/>
        <w:rPr>
          <w:rFonts w:ascii="Calibri" w:hAnsi="Calibri"/>
          <w:sz w:val="18"/>
          <w:szCs w:val="18"/>
          <w:lang w:eastAsia="zh-CN"/>
        </w:rPr>
      </w:pPr>
      <w:r w:rsidRPr="00BB1107">
        <w:rPr>
          <w:rFonts w:ascii="Calibri" w:hAnsi="Calibri"/>
          <w:sz w:val="18"/>
          <w:szCs w:val="18"/>
          <w:lang w:eastAsia="zh-CN"/>
        </w:rPr>
        <w:t xml:space="preserve">This news release may contain certain “forward looking statements”. Forward-looking statements involve known and unknown risks, uncertainties, assumptions and other factors that may cause the actual results, performance or achievements of the Company to be materially different from any future results, performance or achievements expressed or implied by the forward-looking statements. Any forward-looking statement speaks only as of the date of this news release and, except as may be required </w:t>
      </w:r>
      <w:bookmarkEnd w:id="0"/>
      <w:r w:rsidRPr="00BB1107">
        <w:rPr>
          <w:rFonts w:ascii="Calibri" w:hAnsi="Calibri"/>
          <w:sz w:val="18"/>
          <w:szCs w:val="18"/>
          <w:lang w:eastAsia="zh-CN"/>
        </w:rPr>
        <w:t>by applicable securities laws, the Company disclaims any intent or obligation to update any forward-looking statement, whether as a result of new information, future events or results or otherwise.</w:t>
      </w:r>
    </w:p>
    <w:p w14:paraId="751F2505" w14:textId="5D2401EB" w:rsidR="00CC47AD" w:rsidRPr="00CC47AD" w:rsidRDefault="00CC47AD" w:rsidP="00CC47AD">
      <w:pPr>
        <w:tabs>
          <w:tab w:val="left" w:pos="3435"/>
        </w:tabs>
        <w:rPr>
          <w:rFonts w:cstheme="minorHAnsi"/>
          <w:lang w:eastAsia="zh-CN"/>
        </w:rPr>
      </w:pPr>
    </w:p>
    <w:sectPr w:rsidR="00CC47AD" w:rsidRPr="00CC47AD" w:rsidSect="009D2E18">
      <w:type w:val="continuous"/>
      <w:pgSz w:w="12240" w:h="15840"/>
      <w:pgMar w:top="2154" w:right="1080" w:bottom="1440"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CC3AF" w14:textId="77777777" w:rsidR="00214EAA" w:rsidRDefault="00214EAA" w:rsidP="00010DA4">
      <w:r>
        <w:separator/>
      </w:r>
    </w:p>
  </w:endnote>
  <w:endnote w:type="continuationSeparator" w:id="0">
    <w:p w14:paraId="7D51F98A" w14:textId="77777777" w:rsidR="00214EAA" w:rsidRDefault="00214EAA" w:rsidP="0001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3EA47" w14:textId="2A84E889" w:rsidR="00010DA4" w:rsidRDefault="009D2E18">
    <w:pPr>
      <w:pStyle w:val="Footer"/>
    </w:pPr>
    <w:r>
      <w:rPr>
        <w:noProof/>
      </w:rPr>
      <w:drawing>
        <wp:anchor distT="0" distB="0" distL="114300" distR="114300" simplePos="0" relativeHeight="251660800" behindDoc="1" locked="0" layoutInCell="1" allowOverlap="1" wp14:anchorId="47D9A5F0" wp14:editId="52831528">
          <wp:simplePos x="0" y="0"/>
          <wp:positionH relativeFrom="margin">
            <wp:align>center</wp:align>
          </wp:positionH>
          <wp:positionV relativeFrom="paragraph">
            <wp:posOffset>-1247775</wp:posOffset>
          </wp:positionV>
          <wp:extent cx="7864958" cy="1871289"/>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 bottom letterhead.png"/>
                  <pic:cNvPicPr/>
                </pic:nvPicPr>
                <pic:blipFill>
                  <a:blip r:embed="rId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7864958" cy="187128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7FC15" w14:textId="0BADC5FF" w:rsidR="00904D5C" w:rsidRDefault="00172A74" w:rsidP="00172A74">
    <w:pPr>
      <w:pStyle w:val="Footer"/>
      <w:tabs>
        <w:tab w:val="clear" w:pos="4680"/>
        <w:tab w:val="clear" w:pos="9360"/>
        <w:tab w:val="left" w:pos="885"/>
        <w:tab w:val="left" w:pos="7515"/>
      </w:tabs>
    </w:pPr>
    <w:r>
      <w:rPr>
        <w:noProof/>
      </w:rPr>
      <w:drawing>
        <wp:anchor distT="0" distB="0" distL="114300" distR="114300" simplePos="0" relativeHeight="251662848" behindDoc="1" locked="0" layoutInCell="1" allowOverlap="1" wp14:anchorId="21285603" wp14:editId="6E5AEA67">
          <wp:simplePos x="0" y="0"/>
          <wp:positionH relativeFrom="page">
            <wp:posOffset>-47625</wp:posOffset>
          </wp:positionH>
          <wp:positionV relativeFrom="paragraph">
            <wp:posOffset>-1228725</wp:posOffset>
          </wp:positionV>
          <wp:extent cx="7864958" cy="1871289"/>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 bottom letterhead.png"/>
                  <pic:cNvPicPr/>
                </pic:nvPicPr>
                <pic:blipFill>
                  <a:blip r:embed="rId1">
                    <a:duotone>
                      <a:prstClr val="black"/>
                      <a:schemeClr val="accent4">
                        <a:tint val="45000"/>
                        <a:satMod val="400000"/>
                      </a:schemeClr>
                    </a:duotone>
                    <a:extLst>
                      <a:ext uri="{BEBA8EAE-BF5A-486C-A8C5-ECC9F3942E4B}">
                        <a14:imgProps xmlns:a14="http://schemas.microsoft.com/office/drawing/2010/main">
                          <a14:imgLayer r:embed="rId2">
                            <a14:imgEffect>
                              <a14:colorTemperature colorTemp="6590"/>
                            </a14:imgEffect>
                          </a14:imgLayer>
                        </a14:imgProps>
                      </a:ext>
                      <a:ext uri="{28A0092B-C50C-407E-A947-70E740481C1C}">
                        <a14:useLocalDpi xmlns:a14="http://schemas.microsoft.com/office/drawing/2010/main" val="0"/>
                      </a:ext>
                    </a:extLst>
                  </a:blip>
                  <a:stretch>
                    <a:fillRect/>
                  </a:stretch>
                </pic:blipFill>
                <pic:spPr>
                  <a:xfrm>
                    <a:off x="0" y="0"/>
                    <a:ext cx="7864958" cy="1871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2F">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6A7F3" w14:textId="77777777" w:rsidR="00214EAA" w:rsidRDefault="00214EAA" w:rsidP="00010DA4">
      <w:r>
        <w:separator/>
      </w:r>
    </w:p>
  </w:footnote>
  <w:footnote w:type="continuationSeparator" w:id="0">
    <w:p w14:paraId="58C9046B" w14:textId="77777777" w:rsidR="00214EAA" w:rsidRDefault="00214EAA" w:rsidP="00010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265119847"/>
      <w:docPartObj>
        <w:docPartGallery w:val="Page Numbers (Top of Page)"/>
        <w:docPartUnique/>
      </w:docPartObj>
    </w:sdtPr>
    <w:sdtEndPr>
      <w:rPr>
        <w:b/>
        <w:bCs/>
        <w:noProof/>
        <w:color w:val="auto"/>
        <w:spacing w:val="0"/>
      </w:rPr>
    </w:sdtEndPr>
    <w:sdtContent>
      <w:p w14:paraId="0CBE874D" w14:textId="034307DC" w:rsidR="00904D5C" w:rsidRDefault="00904D5C" w:rsidP="00904D5C">
        <w:pPr>
          <w:pStyle w:val="Header"/>
          <w:pBdr>
            <w:bottom w:val="single" w:sz="4" w:space="1" w:color="D9D9D9" w:themeColor="background1" w:themeShade="D9"/>
          </w:pBdr>
          <w:rPr>
            <w:color w:val="7F7F7F" w:themeColor="background1" w:themeShade="7F"/>
            <w:spacing w:val="60"/>
          </w:rPr>
        </w:pPr>
      </w:p>
      <w:p w14:paraId="3CF954BC" w14:textId="0BF0DA46" w:rsidR="00904D5C" w:rsidRDefault="00904D5C" w:rsidP="00904D5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3F17E48B" w14:textId="16BBC821" w:rsidR="00010DA4" w:rsidRDefault="00010DA4">
    <w:pPr>
      <w:pStyle w:val="Header"/>
    </w:pPr>
  </w:p>
  <w:p w14:paraId="5A21EB73" w14:textId="77777777" w:rsidR="008C1B13" w:rsidRDefault="008C1B13"/>
  <w:p w14:paraId="561E0498" w14:textId="77777777" w:rsidR="008C1B13" w:rsidRDefault="008C1B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2354" w14:textId="5E9B337D" w:rsidR="00904D5C" w:rsidRDefault="005B0FD7">
    <w:pPr>
      <w:pStyle w:val="Header"/>
    </w:pPr>
    <w:r>
      <w:rPr>
        <w:noProof/>
      </w:rPr>
      <mc:AlternateContent>
        <mc:Choice Requires="wps">
          <w:drawing>
            <wp:anchor distT="45720" distB="45720" distL="114300" distR="114300" simplePos="0" relativeHeight="251655680" behindDoc="0" locked="0" layoutInCell="1" allowOverlap="1" wp14:anchorId="7FAEE2ED" wp14:editId="4DAE4FCB">
              <wp:simplePos x="0" y="0"/>
              <wp:positionH relativeFrom="margin">
                <wp:posOffset>3409950</wp:posOffset>
              </wp:positionH>
              <wp:positionV relativeFrom="paragraph">
                <wp:posOffset>0</wp:posOffset>
              </wp:positionV>
              <wp:extent cx="3238500" cy="8572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57250"/>
                      </a:xfrm>
                      <a:prstGeom prst="rect">
                        <a:avLst/>
                      </a:prstGeom>
                      <a:solidFill>
                        <a:srgbClr val="FFFFFF"/>
                      </a:solidFill>
                      <a:ln w="9525">
                        <a:noFill/>
                        <a:miter lim="800000"/>
                        <a:headEnd/>
                        <a:tailEnd/>
                      </a:ln>
                    </wps:spPr>
                    <wps:txbx>
                      <w:txbxContent>
                        <w:p w14:paraId="184845A3" w14:textId="73AE367C" w:rsidR="00904D5C" w:rsidRPr="00157108" w:rsidRDefault="00CF5D44" w:rsidP="00904D5C">
                          <w:pPr>
                            <w:spacing w:after="40"/>
                            <w:jc w:val="right"/>
                            <w:rPr>
                              <w:rFonts w:ascii="Bahnschrift" w:hAnsi="Bahnschrift"/>
                              <w:b/>
                              <w:color w:val="BF8F00" w:themeColor="accent4" w:themeShade="BF"/>
                            </w:rPr>
                          </w:pPr>
                          <w:r w:rsidRPr="00157108">
                            <w:rPr>
                              <w:rFonts w:ascii="Bahnschrift" w:hAnsi="Bahnschrift"/>
                              <w:b/>
                              <w:color w:val="BF8F00" w:themeColor="accent4" w:themeShade="BF"/>
                            </w:rPr>
                            <w:t>Mariner Resources Corp.</w:t>
                          </w:r>
                        </w:p>
                        <w:p w14:paraId="0477FE1F" w14:textId="77777777" w:rsidR="00E00840" w:rsidRDefault="00904D5C" w:rsidP="00E00840">
                          <w:pPr>
                            <w:spacing w:after="40"/>
                            <w:ind w:left="1134" w:firstLine="993"/>
                            <w:jc w:val="right"/>
                            <w:rPr>
                              <w:rFonts w:ascii="Bahnschrift" w:hAnsi="Bahnschrift"/>
                              <w:color w:val="525252" w:themeColor="accent3" w:themeShade="80"/>
                              <w:sz w:val="20"/>
                            </w:rPr>
                          </w:pPr>
                          <w:r w:rsidRPr="00EA522F">
                            <w:rPr>
                              <w:rFonts w:ascii="Bahnschrift" w:hAnsi="Bahnschrift"/>
                              <w:color w:val="525252" w:themeColor="accent3" w:themeShade="80"/>
                              <w:sz w:val="20"/>
                            </w:rPr>
                            <w:t>250 Southridge</w:t>
                          </w:r>
                          <w:r w:rsidR="00E00840">
                            <w:rPr>
                              <w:rFonts w:ascii="Bahnschrift" w:hAnsi="Bahnschrift"/>
                              <w:color w:val="525252" w:themeColor="accent3" w:themeShade="80"/>
                              <w:sz w:val="20"/>
                            </w:rPr>
                            <w:t xml:space="preserve"> NW</w:t>
                          </w:r>
                          <w:r w:rsidR="00CF5D44" w:rsidRPr="00EA522F">
                            <w:rPr>
                              <w:rFonts w:ascii="Bahnschrift" w:hAnsi="Bahnschrift"/>
                              <w:color w:val="525252" w:themeColor="accent3" w:themeShade="80"/>
                              <w:sz w:val="20"/>
                            </w:rPr>
                            <w:t>, Suite 300</w:t>
                          </w:r>
                          <w:r w:rsidRPr="00EA522F">
                            <w:rPr>
                              <w:rFonts w:ascii="Bahnschrift" w:hAnsi="Bahnschrift"/>
                              <w:color w:val="525252" w:themeColor="accent3" w:themeShade="80"/>
                              <w:sz w:val="20"/>
                            </w:rPr>
                            <w:t xml:space="preserve"> </w:t>
                          </w:r>
                        </w:p>
                        <w:p w14:paraId="62BF71B4" w14:textId="2816D9EE" w:rsidR="00904D5C" w:rsidRPr="00EA522F" w:rsidRDefault="00904D5C" w:rsidP="00E00840">
                          <w:pPr>
                            <w:spacing w:after="40"/>
                            <w:ind w:left="1134" w:firstLine="567"/>
                            <w:jc w:val="right"/>
                            <w:rPr>
                              <w:rFonts w:ascii="Bahnschrift" w:hAnsi="Bahnschrift"/>
                              <w:color w:val="525252" w:themeColor="accent3" w:themeShade="80"/>
                              <w:sz w:val="20"/>
                            </w:rPr>
                          </w:pPr>
                          <w:r w:rsidRPr="00EA522F">
                            <w:rPr>
                              <w:rFonts w:ascii="Bahnschrift" w:hAnsi="Bahnschrift"/>
                              <w:color w:val="525252" w:themeColor="accent3" w:themeShade="80"/>
                              <w:sz w:val="20"/>
                            </w:rPr>
                            <w:t>Edmonton, AB  T6H 4M9</w:t>
                          </w:r>
                        </w:p>
                        <w:p w14:paraId="6579DF8E" w14:textId="77777777" w:rsidR="00904D5C" w:rsidRPr="007E2448" w:rsidRDefault="00904D5C" w:rsidP="00904D5C">
                          <w:pPr>
                            <w:spacing w:after="40"/>
                            <w:jc w:val="right"/>
                            <w:rPr>
                              <w:rFonts w:ascii="Bahnschrift" w:hAnsi="Bahnschrift"/>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EE2ED" id="_x0000_t202" coordsize="21600,21600" o:spt="202" path="m,l,21600r21600,l21600,xe">
              <v:stroke joinstyle="miter"/>
              <v:path gradientshapeok="t" o:connecttype="rect"/>
            </v:shapetype>
            <v:shape id="Text Box 2" o:spid="_x0000_s1026" type="#_x0000_t202" style="position:absolute;margin-left:268.5pt;margin-top:0;width:255pt;height:6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" stroked="f">
              <v:textbox>
                <w:txbxContent>
                  <w:p w14:paraId="184845A3" w14:textId="73AE367C" w:rsidR="00904D5C" w:rsidRPr="00157108" w:rsidRDefault="00CF5D44" w:rsidP="00904D5C">
                    <w:pPr>
                      <w:spacing w:after="40"/>
                      <w:jc w:val="right"/>
                      <w:rPr>
                        <w:rFonts w:ascii="Bahnschrift" w:hAnsi="Bahnschrift"/>
                        <w:b/>
                        <w:color w:val="BF8F00" w:themeColor="accent4" w:themeShade="BF"/>
                      </w:rPr>
                    </w:pPr>
                    <w:r w:rsidRPr="00157108">
                      <w:rPr>
                        <w:rFonts w:ascii="Bahnschrift" w:hAnsi="Bahnschrift"/>
                        <w:b/>
                        <w:color w:val="BF8F00" w:themeColor="accent4" w:themeShade="BF"/>
                      </w:rPr>
                      <w:t>Mariner Resources Corp.</w:t>
                    </w:r>
                  </w:p>
                  <w:p w14:paraId="0477FE1F" w14:textId="77777777" w:rsidR="00E00840" w:rsidRDefault="00904D5C" w:rsidP="00E00840">
                    <w:pPr>
                      <w:spacing w:after="40"/>
                      <w:ind w:left="1134" w:firstLine="993"/>
                      <w:jc w:val="right"/>
                      <w:rPr>
                        <w:rFonts w:ascii="Bahnschrift" w:hAnsi="Bahnschrift"/>
                        <w:color w:val="525252" w:themeColor="accent3" w:themeShade="80"/>
                        <w:sz w:val="20"/>
                      </w:rPr>
                    </w:pPr>
                    <w:r w:rsidRPr="00EA522F">
                      <w:rPr>
                        <w:rFonts w:ascii="Bahnschrift" w:hAnsi="Bahnschrift"/>
                        <w:color w:val="525252" w:themeColor="accent3" w:themeShade="80"/>
                        <w:sz w:val="20"/>
                      </w:rPr>
                      <w:t>250 Southridge</w:t>
                    </w:r>
                    <w:r w:rsidR="00E00840">
                      <w:rPr>
                        <w:rFonts w:ascii="Bahnschrift" w:hAnsi="Bahnschrift"/>
                        <w:color w:val="525252" w:themeColor="accent3" w:themeShade="80"/>
                        <w:sz w:val="20"/>
                      </w:rPr>
                      <w:t xml:space="preserve"> NW</w:t>
                    </w:r>
                    <w:r w:rsidR="00CF5D44" w:rsidRPr="00EA522F">
                      <w:rPr>
                        <w:rFonts w:ascii="Bahnschrift" w:hAnsi="Bahnschrift"/>
                        <w:color w:val="525252" w:themeColor="accent3" w:themeShade="80"/>
                        <w:sz w:val="20"/>
                      </w:rPr>
                      <w:t>, Suite 300</w:t>
                    </w:r>
                    <w:r w:rsidRPr="00EA522F">
                      <w:rPr>
                        <w:rFonts w:ascii="Bahnschrift" w:hAnsi="Bahnschrift"/>
                        <w:color w:val="525252" w:themeColor="accent3" w:themeShade="80"/>
                        <w:sz w:val="20"/>
                      </w:rPr>
                      <w:t xml:space="preserve"> </w:t>
                    </w:r>
                  </w:p>
                  <w:p w14:paraId="62BF71B4" w14:textId="2816D9EE" w:rsidR="00904D5C" w:rsidRPr="00EA522F" w:rsidRDefault="00904D5C" w:rsidP="00E00840">
                    <w:pPr>
                      <w:spacing w:after="40"/>
                      <w:ind w:left="1134" w:firstLine="567"/>
                      <w:jc w:val="right"/>
                      <w:rPr>
                        <w:rFonts w:ascii="Bahnschrift" w:hAnsi="Bahnschrift"/>
                        <w:color w:val="525252" w:themeColor="accent3" w:themeShade="80"/>
                        <w:sz w:val="20"/>
                      </w:rPr>
                    </w:pPr>
                    <w:r w:rsidRPr="00EA522F">
                      <w:rPr>
                        <w:rFonts w:ascii="Bahnschrift" w:hAnsi="Bahnschrift"/>
                        <w:color w:val="525252" w:themeColor="accent3" w:themeShade="80"/>
                        <w:sz w:val="20"/>
                      </w:rPr>
                      <w:t>Edmonton, AB  T6H 4M9</w:t>
                    </w:r>
                  </w:p>
                  <w:p w14:paraId="6579DF8E" w14:textId="77777777" w:rsidR="00904D5C" w:rsidRPr="007E2448" w:rsidRDefault="00904D5C" w:rsidP="00904D5C">
                    <w:pPr>
                      <w:spacing w:after="40"/>
                      <w:jc w:val="right"/>
                      <w:rPr>
                        <w:rFonts w:ascii="Bahnschrift" w:hAnsi="Bahnschrift"/>
                        <w:color w:val="2F5496" w:themeColor="accent1" w:themeShade="BF"/>
                      </w:rPr>
                    </w:pPr>
                  </w:p>
                </w:txbxContent>
              </v:textbox>
              <w10:wrap type="square" anchorx="margin"/>
            </v:shape>
          </w:pict>
        </mc:Fallback>
      </mc:AlternateContent>
    </w:r>
    <w:r w:rsidRPr="00CF5D44">
      <w:rPr>
        <w:noProof/>
      </w:rPr>
      <mc:AlternateContent>
        <mc:Choice Requires="wps">
          <w:drawing>
            <wp:anchor distT="0" distB="0" distL="114300" distR="114300" simplePos="0" relativeHeight="251658752" behindDoc="0" locked="0" layoutInCell="1" allowOverlap="1" wp14:anchorId="38AC2150" wp14:editId="62F2C959">
              <wp:simplePos x="0" y="0"/>
              <wp:positionH relativeFrom="margin">
                <wp:posOffset>-581025</wp:posOffset>
              </wp:positionH>
              <wp:positionV relativeFrom="paragraph">
                <wp:posOffset>314325</wp:posOffset>
              </wp:positionV>
              <wp:extent cx="2009775" cy="533400"/>
              <wp:effectExtent l="0" t="0" r="0" b="0"/>
              <wp:wrapNone/>
              <wp:docPr id="6" name="Rectangle 5">
                <a:extLst xmlns:a="http://schemas.openxmlformats.org/drawingml/2006/main">
                  <a:ext uri="{FF2B5EF4-FFF2-40B4-BE49-F238E27FC236}">
                    <a16:creationId xmlns:a16="http://schemas.microsoft.com/office/drawing/2014/main" id="{016B0183-85D6-430B-8AD3-9F3A8E0E330B}"/>
                  </a:ext>
                </a:extLst>
              </wp:docPr>
              <wp:cNvGraphicFramePr/>
              <a:graphic xmlns:a="http://schemas.openxmlformats.org/drawingml/2006/main">
                <a:graphicData uri="http://schemas.microsoft.com/office/word/2010/wordprocessingShape">
                  <wps:wsp>
                    <wps:cNvSpPr/>
                    <wps:spPr>
                      <a:xfrm>
                        <a:off x="0" y="0"/>
                        <a:ext cx="2009775" cy="533400"/>
                      </a:xfrm>
                      <a:prstGeom prst="rect">
                        <a:avLst/>
                      </a:prstGeom>
                      <a:noFill/>
                    </wps:spPr>
                    <wps:txbx>
                      <w:txbxContent>
                        <w:p w14:paraId="1B0BB261" w14:textId="77777777" w:rsidR="00CF5D44" w:rsidRPr="00CC47AD" w:rsidRDefault="00CF5D44" w:rsidP="00CF5D44">
                          <w:pPr>
                            <w:pStyle w:val="NormalWeb"/>
                            <w:spacing w:before="0" w:beforeAutospacing="0" w:after="0" w:afterAutospacing="0"/>
                            <w:jc w:val="center"/>
                            <w:rPr>
                              <w:sz w:val="56"/>
                              <w:szCs w:val="56"/>
                            </w:rPr>
                          </w:pPr>
                          <w:r w:rsidRPr="005B0FD7">
                            <w:rPr>
                              <w:rFonts w:asciiTheme="minorHAnsi" w:hAnsi="Calibri" w:cstheme="minorBidi"/>
                              <w:color w:val="3B4634"/>
                              <w:kern w:val="24"/>
                              <w:sz w:val="48"/>
                              <w:szCs w:val="48"/>
                              <w:lang w:val="en-US"/>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t>RESOURCES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8AC2150" id="Rectangle 5" o:spid="_x0000_s1027" style="position:absolute;margin-left:-45.75pt;margin-top:24.75pt;width:158.25pt;height:4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" filled="f" stroked="f">
              <v:textbox>
                <w:txbxContent>
                  <w:p w14:paraId="1B0BB261" w14:textId="77777777" w:rsidR="00CF5D44" w:rsidRPr="00CC47AD" w:rsidRDefault="00CF5D44" w:rsidP="00CF5D44">
                    <w:pPr>
                      <w:pStyle w:val="NormalWeb"/>
                      <w:spacing w:before="0" w:beforeAutospacing="0" w:after="0" w:afterAutospacing="0"/>
                      <w:jc w:val="center"/>
                      <w:rPr>
                        <w:sz w:val="56"/>
                        <w:szCs w:val="56"/>
                      </w:rPr>
                    </w:pPr>
                    <w:r w:rsidRPr="005B0FD7">
                      <w:rPr>
                        <w:rFonts w:asciiTheme="minorHAnsi" w:hAnsi="Calibri" w:cstheme="minorBidi"/>
                        <w:color w:val="3B4634"/>
                        <w:kern w:val="24"/>
                        <w:sz w:val="48"/>
                        <w:szCs w:val="48"/>
                        <w:lang w:val="en-US"/>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t>RESOURCES</w:t>
                    </w:r>
                  </w:p>
                </w:txbxContent>
              </v:textbox>
              <w10:wrap anchorx="margin"/>
            </v:rect>
          </w:pict>
        </mc:Fallback>
      </mc:AlternateContent>
    </w:r>
    <w:r w:rsidRPr="00CF5D44">
      <w:rPr>
        <w:noProof/>
      </w:rPr>
      <mc:AlternateContent>
        <mc:Choice Requires="wps">
          <w:drawing>
            <wp:anchor distT="0" distB="0" distL="114300" distR="114300" simplePos="0" relativeHeight="251657728" behindDoc="0" locked="0" layoutInCell="1" allowOverlap="1" wp14:anchorId="44368CA2" wp14:editId="334F03AB">
              <wp:simplePos x="0" y="0"/>
              <wp:positionH relativeFrom="column">
                <wp:posOffset>-466725</wp:posOffset>
              </wp:positionH>
              <wp:positionV relativeFrom="paragraph">
                <wp:posOffset>-76200</wp:posOffset>
              </wp:positionV>
              <wp:extent cx="2324100" cy="647700"/>
              <wp:effectExtent l="0" t="0" r="0" b="0"/>
              <wp:wrapNone/>
              <wp:docPr id="9" name="Rectangle 8">
                <a:extLst xmlns:a="http://schemas.openxmlformats.org/drawingml/2006/main">
                  <a:ext uri="{FF2B5EF4-FFF2-40B4-BE49-F238E27FC236}">
                    <a16:creationId xmlns:a16="http://schemas.microsoft.com/office/drawing/2014/main" id="{9B037CF8-4E6D-42F0-938B-70BA50BAAE05}"/>
                  </a:ext>
                </a:extLst>
              </wp:docPr>
              <wp:cNvGraphicFramePr/>
              <a:graphic xmlns:a="http://schemas.openxmlformats.org/drawingml/2006/main">
                <a:graphicData uri="http://schemas.microsoft.com/office/word/2010/wordprocessingShape">
                  <wps:wsp>
                    <wps:cNvSpPr/>
                    <wps:spPr>
                      <a:xfrm>
                        <a:off x="0" y="0"/>
                        <a:ext cx="2324100" cy="647700"/>
                      </a:xfrm>
                      <a:prstGeom prst="rect">
                        <a:avLst/>
                      </a:prstGeom>
                    </wps:spPr>
                    <wps:txbx>
                      <w:txbxContent>
                        <w:p w14:paraId="12D9FEE3" w14:textId="6BD16655" w:rsidR="00CF5D44" w:rsidRPr="00157108" w:rsidRDefault="00CF5D44" w:rsidP="00CF5D44">
                          <w:pPr>
                            <w:pStyle w:val="NormalWeb"/>
                            <w:rPr>
                              <w:rFonts w:asciiTheme="minorHAnsi" w:hAnsi="Calibri" w:cstheme="minorBidi"/>
                              <w:color w:val="BF8F00" w:themeColor="accent4" w:themeShade="BF"/>
                              <w:kern w:val="24"/>
                              <w:sz w:val="72"/>
                              <w:szCs w:val="72"/>
                              <w:u w:val="single"/>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pPr>
                          <w:r w:rsidRPr="00157108">
                            <w:rPr>
                              <w:rFonts w:asciiTheme="minorHAnsi" w:hAnsi="Calibri" w:cstheme="minorBidi"/>
                              <w:color w:val="BF8F00" w:themeColor="accent4" w:themeShade="BF"/>
                              <w:kern w:val="24"/>
                              <w:sz w:val="64"/>
                              <w:szCs w:val="64"/>
                              <w:u w:val="single"/>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t>MARINER</w:t>
                          </w:r>
                          <w:r w:rsidR="006A48DF" w:rsidRPr="00157108">
                            <w:rPr>
                              <w:rFonts w:asciiTheme="minorHAnsi" w:hAnsi="Calibri" w:cstheme="minorBidi"/>
                              <w:color w:val="BF8F00" w:themeColor="accent4" w:themeShade="BF"/>
                              <w:kern w:val="24"/>
                              <w:sz w:val="64"/>
                              <w:szCs w:val="64"/>
                              <w:u w:val="single"/>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t xml:space="preserve">   </w:t>
                          </w:r>
                        </w:p>
                        <w:p w14:paraId="2A3087A6" w14:textId="77777777" w:rsidR="00CF5D44" w:rsidRPr="00CF5D44" w:rsidRDefault="00CF5D44" w:rsidP="00CF5D44">
                          <w:pPr>
                            <w:pStyle w:val="NormalWeb"/>
                            <w:rPr>
                              <w:rFonts w:asciiTheme="minorHAnsi" w:hAnsi="Calibri" w:cstheme="minorBidi"/>
                              <w:color w:val="385623" w:themeColor="accent6" w:themeShade="80"/>
                              <w:kern w:val="24"/>
                              <w:sz w:val="36"/>
                              <w:szCs w:val="36"/>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pPr>
                        </w:p>
                        <w:p w14:paraId="1019ECE2" w14:textId="1E078607" w:rsidR="00CF5D44" w:rsidRDefault="00CF5D44" w:rsidP="00CF5D44">
                          <w:pPr>
                            <w:pStyle w:val="NormalWeb"/>
                            <w:spacing w:before="0" w:beforeAutospacing="0" w:after="0" w:afterAutospacing="0"/>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368CA2" id="Rectangle 8" o:spid="_x0000_s1028" style="position:absolute;margin-left:-36.75pt;margin-top:-6pt;width:183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" filled="f" stroked="f">
              <v:textbox>
                <w:txbxContent>
                  <w:p w14:paraId="12D9FEE3" w14:textId="6BD16655" w:rsidR="00CF5D44" w:rsidRPr="00157108" w:rsidRDefault="00CF5D44" w:rsidP="00CF5D44">
                    <w:pPr>
                      <w:pStyle w:val="NormalWeb"/>
                      <w:rPr>
                        <w:rFonts w:asciiTheme="minorHAnsi" w:hAnsi="Calibri" w:cstheme="minorBidi"/>
                        <w:color w:val="BF8F00" w:themeColor="accent4" w:themeShade="BF"/>
                        <w:kern w:val="24"/>
                        <w:sz w:val="72"/>
                        <w:szCs w:val="72"/>
                        <w:u w:val="single"/>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pPr>
                    <w:r w:rsidRPr="00157108">
                      <w:rPr>
                        <w:rFonts w:asciiTheme="minorHAnsi" w:hAnsi="Calibri" w:cstheme="minorBidi"/>
                        <w:color w:val="BF8F00" w:themeColor="accent4" w:themeShade="BF"/>
                        <w:kern w:val="24"/>
                        <w:sz w:val="64"/>
                        <w:szCs w:val="64"/>
                        <w:u w:val="single"/>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t>MARINER</w:t>
                    </w:r>
                    <w:r w:rsidR="006A48DF" w:rsidRPr="00157108">
                      <w:rPr>
                        <w:rFonts w:asciiTheme="minorHAnsi" w:hAnsi="Calibri" w:cstheme="minorBidi"/>
                        <w:color w:val="BF8F00" w:themeColor="accent4" w:themeShade="BF"/>
                        <w:kern w:val="24"/>
                        <w:sz w:val="64"/>
                        <w:szCs w:val="64"/>
                        <w:u w:val="single"/>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t xml:space="preserve">   </w:t>
                    </w:r>
                  </w:p>
                  <w:p w14:paraId="2A3087A6" w14:textId="77777777" w:rsidR="00CF5D44" w:rsidRPr="00CF5D44" w:rsidRDefault="00CF5D44" w:rsidP="00CF5D44">
                    <w:pPr>
                      <w:pStyle w:val="NormalWeb"/>
                      <w:rPr>
                        <w:rFonts w:asciiTheme="minorHAnsi" w:hAnsi="Calibri" w:cstheme="minorBidi"/>
                        <w:color w:val="385623" w:themeColor="accent6" w:themeShade="80"/>
                        <w:kern w:val="24"/>
                        <w:sz w:val="36"/>
                        <w:szCs w:val="36"/>
                        <w14:shadow w14:blurRad="38100" w14:dist="25400" w14:dir="5400000" w14:sx="100000" w14:sy="100000" w14:kx="0" w14:ky="0" w14:algn="ctr">
                          <w14:srgbClr w14:val="6E747A">
                            <w14:alpha w14:val="57000"/>
                          </w14:srgbClr>
                        </w14:shadow>
                        <w14:textOutline w14:w="0" w14:cap="flat" w14:cmpd="sng" w14:algn="ctr">
                          <w14:solidFill>
                            <w14:schemeClr w14:val="accent6">
                              <w14:lumMod w14:val="50000"/>
                            </w14:schemeClr>
                          </w14:solidFill>
                          <w14:prstDash w14:val="solid"/>
                          <w14:round/>
                        </w14:textOutline>
                      </w:rPr>
                    </w:pPr>
                  </w:p>
                  <w:p w14:paraId="1019ECE2" w14:textId="1E078607" w:rsidR="00CF5D44" w:rsidRDefault="00CF5D44" w:rsidP="00CF5D44">
                    <w:pPr>
                      <w:pStyle w:val="NormalWeb"/>
                      <w:spacing w:before="0" w:beforeAutospacing="0" w:after="0" w:afterAutospacing="0"/>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3C46"/>
    <w:multiLevelType w:val="hybridMultilevel"/>
    <w:tmpl w:val="ED5C8904"/>
    <w:lvl w:ilvl="0" w:tplc="F73A04E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92B5E86"/>
    <w:multiLevelType w:val="multilevel"/>
    <w:tmpl w:val="2D7E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A3D8C"/>
    <w:multiLevelType w:val="hybridMultilevel"/>
    <w:tmpl w:val="74FAF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A693A83"/>
    <w:multiLevelType w:val="hybridMultilevel"/>
    <w:tmpl w:val="D7CC67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3E73B02"/>
    <w:multiLevelType w:val="hybridMultilevel"/>
    <w:tmpl w:val="564CF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9614522"/>
    <w:multiLevelType w:val="hybridMultilevel"/>
    <w:tmpl w:val="E46EE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DA4"/>
    <w:rsid w:val="00010DA4"/>
    <w:rsid w:val="00157108"/>
    <w:rsid w:val="00170698"/>
    <w:rsid w:val="00172A74"/>
    <w:rsid w:val="001D79B8"/>
    <w:rsid w:val="00214EAA"/>
    <w:rsid w:val="00280CD4"/>
    <w:rsid w:val="00322120"/>
    <w:rsid w:val="00345C70"/>
    <w:rsid w:val="003876D4"/>
    <w:rsid w:val="003912BB"/>
    <w:rsid w:val="00396C49"/>
    <w:rsid w:val="003E7A1E"/>
    <w:rsid w:val="00456D02"/>
    <w:rsid w:val="00475625"/>
    <w:rsid w:val="004F11F9"/>
    <w:rsid w:val="005B0FD7"/>
    <w:rsid w:val="005E4675"/>
    <w:rsid w:val="0068387D"/>
    <w:rsid w:val="00697414"/>
    <w:rsid w:val="006A48DF"/>
    <w:rsid w:val="006C3E6B"/>
    <w:rsid w:val="00720221"/>
    <w:rsid w:val="007E2EAC"/>
    <w:rsid w:val="0081286E"/>
    <w:rsid w:val="00834F35"/>
    <w:rsid w:val="00845741"/>
    <w:rsid w:val="008C1B13"/>
    <w:rsid w:val="00904D5C"/>
    <w:rsid w:val="00915857"/>
    <w:rsid w:val="009D2E18"/>
    <w:rsid w:val="00B4439A"/>
    <w:rsid w:val="00C42B57"/>
    <w:rsid w:val="00C640F2"/>
    <w:rsid w:val="00CC47AD"/>
    <w:rsid w:val="00CF5D44"/>
    <w:rsid w:val="00D81975"/>
    <w:rsid w:val="00E00840"/>
    <w:rsid w:val="00E05574"/>
    <w:rsid w:val="00E11DB2"/>
    <w:rsid w:val="00E229E7"/>
    <w:rsid w:val="00E573B3"/>
    <w:rsid w:val="00EA522F"/>
    <w:rsid w:val="00F2776B"/>
    <w:rsid w:val="00FC11BD"/>
    <w:rsid w:val="00FD2705"/>
    <w:rsid w:val="00FD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5189DDD"/>
  <w15:chartTrackingRefBased/>
  <w15:docId w15:val="{06E99328-2DBB-4BE1-8858-37148BFC8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E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DA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10DA4"/>
  </w:style>
  <w:style w:type="paragraph" w:styleId="Footer">
    <w:name w:val="footer"/>
    <w:basedOn w:val="Normal"/>
    <w:link w:val="FooterChar"/>
    <w:uiPriority w:val="99"/>
    <w:unhideWhenUsed/>
    <w:rsid w:val="00010DA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10DA4"/>
  </w:style>
  <w:style w:type="character" w:styleId="Hyperlink">
    <w:name w:val="Hyperlink"/>
    <w:basedOn w:val="DefaultParagraphFont"/>
    <w:uiPriority w:val="99"/>
    <w:semiHidden/>
    <w:unhideWhenUsed/>
    <w:rsid w:val="00456D02"/>
    <w:rPr>
      <w:color w:val="0563C1" w:themeColor="hyperlink"/>
      <w:u w:val="single"/>
    </w:rPr>
  </w:style>
  <w:style w:type="paragraph" w:styleId="NoSpacing">
    <w:name w:val="No Spacing"/>
    <w:uiPriority w:val="1"/>
    <w:qFormat/>
    <w:rsid w:val="00456D02"/>
    <w:pPr>
      <w:spacing w:after="0" w:line="240" w:lineRule="auto"/>
    </w:pPr>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CF5D44"/>
    <w:pPr>
      <w:spacing w:before="100" w:beforeAutospacing="1" w:after="100" w:afterAutospacing="1"/>
    </w:pPr>
    <w:rPr>
      <w:rFonts w:eastAsiaTheme="minorEastAsia"/>
      <w:lang w:val="en-CA" w:eastAsia="en-CA"/>
    </w:rPr>
  </w:style>
  <w:style w:type="paragraph" w:styleId="ListParagraph">
    <w:name w:val="List Paragraph"/>
    <w:basedOn w:val="Normal"/>
    <w:uiPriority w:val="34"/>
    <w:qFormat/>
    <w:rsid w:val="00475625"/>
    <w:pPr>
      <w:spacing w:after="160" w:line="259" w:lineRule="auto"/>
      <w:ind w:left="720"/>
      <w:contextualSpacing/>
    </w:pPr>
    <w:rPr>
      <w:rFonts w:asciiTheme="minorHAnsi" w:eastAsiaTheme="minorHAnsi" w:hAnsiTheme="minorHAnsi" w:cstheme="minorBid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2277">
      <w:bodyDiv w:val="1"/>
      <w:marLeft w:val="0"/>
      <w:marRight w:val="0"/>
      <w:marTop w:val="0"/>
      <w:marBottom w:val="0"/>
      <w:divBdr>
        <w:top w:val="none" w:sz="0" w:space="0" w:color="auto"/>
        <w:left w:val="none" w:sz="0" w:space="0" w:color="auto"/>
        <w:bottom w:val="none" w:sz="0" w:space="0" w:color="auto"/>
        <w:right w:val="none" w:sz="0" w:space="0" w:color="auto"/>
      </w:divBdr>
    </w:div>
    <w:div w:id="296686958">
      <w:bodyDiv w:val="1"/>
      <w:marLeft w:val="0"/>
      <w:marRight w:val="0"/>
      <w:marTop w:val="0"/>
      <w:marBottom w:val="0"/>
      <w:divBdr>
        <w:top w:val="none" w:sz="0" w:space="0" w:color="auto"/>
        <w:left w:val="none" w:sz="0" w:space="0" w:color="auto"/>
        <w:bottom w:val="none" w:sz="0" w:space="0" w:color="auto"/>
        <w:right w:val="none" w:sz="0" w:space="0" w:color="auto"/>
      </w:divBdr>
    </w:div>
    <w:div w:id="746146362">
      <w:bodyDiv w:val="1"/>
      <w:marLeft w:val="0"/>
      <w:marRight w:val="0"/>
      <w:marTop w:val="0"/>
      <w:marBottom w:val="0"/>
      <w:divBdr>
        <w:top w:val="none" w:sz="0" w:space="0" w:color="auto"/>
        <w:left w:val="none" w:sz="0" w:space="0" w:color="auto"/>
        <w:bottom w:val="none" w:sz="0" w:space="0" w:color="auto"/>
        <w:right w:val="none" w:sz="0" w:space="0" w:color="auto"/>
      </w:divBdr>
    </w:div>
    <w:div w:id="754397437">
      <w:bodyDiv w:val="1"/>
      <w:marLeft w:val="0"/>
      <w:marRight w:val="0"/>
      <w:marTop w:val="0"/>
      <w:marBottom w:val="0"/>
      <w:divBdr>
        <w:top w:val="none" w:sz="0" w:space="0" w:color="auto"/>
        <w:left w:val="none" w:sz="0" w:space="0" w:color="auto"/>
        <w:bottom w:val="none" w:sz="0" w:space="0" w:color="auto"/>
        <w:right w:val="none" w:sz="0" w:space="0" w:color="auto"/>
      </w:divBdr>
    </w:div>
    <w:div w:id="781531534">
      <w:bodyDiv w:val="1"/>
      <w:marLeft w:val="0"/>
      <w:marRight w:val="0"/>
      <w:marTop w:val="0"/>
      <w:marBottom w:val="0"/>
      <w:divBdr>
        <w:top w:val="none" w:sz="0" w:space="0" w:color="auto"/>
        <w:left w:val="none" w:sz="0" w:space="0" w:color="auto"/>
        <w:bottom w:val="none" w:sz="0" w:space="0" w:color="auto"/>
        <w:right w:val="none" w:sz="0" w:space="0" w:color="auto"/>
      </w:divBdr>
    </w:div>
    <w:div w:id="802501962">
      <w:bodyDiv w:val="1"/>
      <w:marLeft w:val="0"/>
      <w:marRight w:val="0"/>
      <w:marTop w:val="0"/>
      <w:marBottom w:val="0"/>
      <w:divBdr>
        <w:top w:val="none" w:sz="0" w:space="0" w:color="auto"/>
        <w:left w:val="none" w:sz="0" w:space="0" w:color="auto"/>
        <w:bottom w:val="none" w:sz="0" w:space="0" w:color="auto"/>
        <w:right w:val="none" w:sz="0" w:space="0" w:color="auto"/>
      </w:divBdr>
    </w:div>
    <w:div w:id="1075739386">
      <w:bodyDiv w:val="1"/>
      <w:marLeft w:val="0"/>
      <w:marRight w:val="0"/>
      <w:marTop w:val="0"/>
      <w:marBottom w:val="0"/>
      <w:divBdr>
        <w:top w:val="none" w:sz="0" w:space="0" w:color="auto"/>
        <w:left w:val="none" w:sz="0" w:space="0" w:color="auto"/>
        <w:bottom w:val="none" w:sz="0" w:space="0" w:color="auto"/>
        <w:right w:val="none" w:sz="0" w:space="0" w:color="auto"/>
      </w:divBdr>
    </w:div>
    <w:div w:id="1280453211">
      <w:bodyDiv w:val="1"/>
      <w:marLeft w:val="0"/>
      <w:marRight w:val="0"/>
      <w:marTop w:val="0"/>
      <w:marBottom w:val="0"/>
      <w:divBdr>
        <w:top w:val="none" w:sz="0" w:space="0" w:color="auto"/>
        <w:left w:val="none" w:sz="0" w:space="0" w:color="auto"/>
        <w:bottom w:val="none" w:sz="0" w:space="0" w:color="auto"/>
        <w:right w:val="none" w:sz="0" w:space="0" w:color="auto"/>
      </w:divBdr>
    </w:div>
    <w:div w:id="1350715832">
      <w:bodyDiv w:val="1"/>
      <w:marLeft w:val="0"/>
      <w:marRight w:val="0"/>
      <w:marTop w:val="0"/>
      <w:marBottom w:val="0"/>
      <w:divBdr>
        <w:top w:val="none" w:sz="0" w:space="0" w:color="auto"/>
        <w:left w:val="none" w:sz="0" w:space="0" w:color="auto"/>
        <w:bottom w:val="none" w:sz="0" w:space="0" w:color="auto"/>
        <w:right w:val="none" w:sz="0" w:space="0" w:color="auto"/>
      </w:divBdr>
    </w:div>
    <w:div w:id="1716152046">
      <w:bodyDiv w:val="1"/>
      <w:marLeft w:val="0"/>
      <w:marRight w:val="0"/>
      <w:marTop w:val="0"/>
      <w:marBottom w:val="0"/>
      <w:divBdr>
        <w:top w:val="none" w:sz="0" w:space="0" w:color="auto"/>
        <w:left w:val="none" w:sz="0" w:space="0" w:color="auto"/>
        <w:bottom w:val="none" w:sz="0" w:space="0" w:color="auto"/>
        <w:right w:val="none" w:sz="0" w:space="0" w:color="auto"/>
      </w:divBdr>
    </w:div>
    <w:div w:id="178757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Taylor Williamson</cp:lastModifiedBy>
  <cp:revision>3</cp:revision>
  <cp:lastPrinted>2020-07-21T22:14:00Z</cp:lastPrinted>
  <dcterms:created xsi:type="dcterms:W3CDTF">2020-08-19T21:24:00Z</dcterms:created>
  <dcterms:modified xsi:type="dcterms:W3CDTF">2020-08-19T21:24:00Z</dcterms:modified>
</cp:coreProperties>
</file>