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B008C" w14:textId="77777777" w:rsidR="00EA4133" w:rsidRPr="0001060A" w:rsidRDefault="00BF6A2D">
      <w:pPr>
        <w:pStyle w:val="Title"/>
        <w:spacing w:before="0"/>
        <w:rPr>
          <w:sz w:val="28"/>
          <w:lang w:val="en-CA"/>
        </w:rPr>
      </w:pPr>
      <w:r w:rsidRPr="0001060A">
        <w:rPr>
          <w:sz w:val="28"/>
          <w:lang w:val="en-CA"/>
        </w:rPr>
        <w:t>FORM 9</w:t>
      </w:r>
    </w:p>
    <w:p w14:paraId="78D0C99B" w14:textId="77777777" w:rsidR="00EA4133" w:rsidRPr="007568B3" w:rsidRDefault="00BF6A2D">
      <w:pPr>
        <w:pStyle w:val="Title"/>
        <w:spacing w:before="0" w:after="0"/>
        <w:rPr>
          <w:sz w:val="28"/>
          <w:u w:val="single"/>
          <w:lang w:val="en-CA"/>
        </w:rPr>
      </w:pPr>
      <w:r w:rsidRPr="007568B3">
        <w:rPr>
          <w:sz w:val="28"/>
          <w:u w:val="single"/>
          <w:lang w:val="en-CA"/>
        </w:rPr>
        <w:t xml:space="preserve">NOTICE OF </w:t>
      </w:r>
      <w:r w:rsidR="00840B45">
        <w:rPr>
          <w:sz w:val="28"/>
          <w:u w:val="single"/>
          <w:lang w:val="en-CA"/>
        </w:rPr>
        <w:t xml:space="preserve">ISSUANCE OR </w:t>
      </w:r>
      <w:r w:rsidRPr="007568B3">
        <w:rPr>
          <w:sz w:val="28"/>
          <w:u w:val="single"/>
          <w:lang w:val="en-CA"/>
        </w:rPr>
        <w:t xml:space="preserve">PROPOSED ISSUANCE OF </w:t>
      </w:r>
      <w:r w:rsidR="000B64EF">
        <w:rPr>
          <w:sz w:val="28"/>
          <w:u w:val="single"/>
          <w:lang w:val="en-CA"/>
        </w:rPr>
        <w:t>LISTED</w:t>
      </w:r>
      <w:r w:rsidRPr="007568B3">
        <w:rPr>
          <w:sz w:val="28"/>
          <w:u w:val="single"/>
          <w:lang w:val="en-CA"/>
        </w:rPr>
        <w:t xml:space="preserve"> SECURITIES </w:t>
      </w:r>
    </w:p>
    <w:p w14:paraId="7CD33BD6" w14:textId="77777777" w:rsidR="00EA4133" w:rsidRDefault="00BF6A2D">
      <w:pPr>
        <w:pStyle w:val="Title"/>
        <w:spacing w:before="0" w:after="0"/>
        <w:rPr>
          <w:sz w:val="28"/>
          <w:u w:val="single"/>
          <w:lang w:val="en-CA"/>
        </w:rPr>
      </w:pPr>
      <w:r>
        <w:rPr>
          <w:sz w:val="28"/>
          <w:u w:val="single"/>
          <w:lang w:val="en-CA"/>
        </w:rPr>
        <w:t xml:space="preserve">(or securities convertible or exchangeable into </w:t>
      </w:r>
      <w:r w:rsidR="000B64EF">
        <w:rPr>
          <w:sz w:val="28"/>
          <w:u w:val="single"/>
          <w:lang w:val="en-CA"/>
        </w:rPr>
        <w:t>listed</w:t>
      </w:r>
      <w:r>
        <w:rPr>
          <w:sz w:val="28"/>
          <w:u w:val="single"/>
          <w:lang w:val="en-CA"/>
        </w:rPr>
        <w:t xml:space="preserve"> securities</w:t>
      </w:r>
      <w:r w:rsidR="009136E7">
        <w:rPr>
          <w:rStyle w:val="FootnoteReference"/>
        </w:rPr>
        <w:footnoteRef/>
      </w:r>
      <w:r>
        <w:rPr>
          <w:sz w:val="28"/>
          <w:u w:val="single"/>
          <w:lang w:val="en-CA"/>
        </w:rPr>
        <w:t>)</w:t>
      </w:r>
    </w:p>
    <w:p w14:paraId="4EAB7CBF" w14:textId="77777777" w:rsidR="00EA4133" w:rsidRDefault="00BF6A2D">
      <w:pPr>
        <w:pStyle w:val="BodyText"/>
        <w:rPr>
          <w:rFonts w:ascii="Arial" w:hAnsi="Arial"/>
          <w:lang w:val="en-CA"/>
        </w:rPr>
      </w:pPr>
      <w:r>
        <w:rPr>
          <w:rFonts w:ascii="Arial" w:hAnsi="Arial"/>
          <w:lang w:val="en-CA"/>
        </w:rPr>
        <w:t xml:space="preserve">Name of </w:t>
      </w:r>
      <w:r w:rsidR="00A93530">
        <w:rPr>
          <w:rFonts w:ascii="Arial" w:hAnsi="Arial"/>
          <w:lang w:val="en-CA"/>
        </w:rPr>
        <w:t>Listed</w:t>
      </w:r>
      <w:r>
        <w:rPr>
          <w:rFonts w:ascii="Arial" w:hAnsi="Arial"/>
          <w:lang w:val="en-CA"/>
        </w:rPr>
        <w:t xml:space="preserve"> Issuer: </w:t>
      </w:r>
      <w:r w:rsidR="00840B45">
        <w:rPr>
          <w:rFonts w:ascii="Arial" w:hAnsi="Arial"/>
          <w:lang w:val="en-CA"/>
        </w:rPr>
        <w:tab/>
      </w:r>
      <w:r w:rsidR="00840B45">
        <w:rPr>
          <w:rFonts w:ascii="Arial" w:hAnsi="Arial"/>
          <w:lang w:val="en-CA"/>
        </w:rPr>
        <w:tab/>
      </w:r>
      <w:r w:rsidR="00840B45">
        <w:rPr>
          <w:rFonts w:ascii="Arial" w:hAnsi="Arial"/>
          <w:lang w:val="en-CA"/>
        </w:rPr>
        <w:tab/>
      </w:r>
      <w:r w:rsidR="00840B45">
        <w:rPr>
          <w:rFonts w:ascii="Arial" w:hAnsi="Arial"/>
          <w:lang w:val="en-CA"/>
        </w:rPr>
        <w:tab/>
      </w:r>
      <w:r w:rsidR="00840B45">
        <w:rPr>
          <w:rFonts w:ascii="Arial" w:hAnsi="Arial"/>
          <w:lang w:val="en-CA"/>
        </w:rPr>
        <w:tab/>
      </w:r>
      <w:r w:rsidR="00840B45">
        <w:rPr>
          <w:rFonts w:ascii="Arial" w:hAnsi="Arial"/>
          <w:lang w:val="en-CA"/>
        </w:rPr>
        <w:tab/>
        <w:t>Symbol(s):</w:t>
      </w:r>
    </w:p>
    <w:tbl>
      <w:tblPr>
        <w:tblStyle w:val="TableGrid"/>
        <w:tblW w:w="0" w:type="auto"/>
        <w:tblLook w:val="04A0" w:firstRow="1" w:lastRow="0" w:firstColumn="1" w:lastColumn="0" w:noHBand="0" w:noVBand="1"/>
      </w:tblPr>
      <w:tblGrid>
        <w:gridCol w:w="6319"/>
        <w:gridCol w:w="3031"/>
      </w:tblGrid>
      <w:tr w:rsidR="00D7398F" w14:paraId="314EAEDD" w14:textId="77777777" w:rsidTr="00840B45">
        <w:tc>
          <w:tcPr>
            <w:tcW w:w="6487" w:type="dxa"/>
          </w:tcPr>
          <w:p w14:paraId="23DD9CE8" w14:textId="3F3434A8" w:rsidR="00840B45" w:rsidRDefault="00BF6A2D" w:rsidP="00840B45">
            <w:pPr>
              <w:pStyle w:val="BodyText"/>
              <w:jc w:val="right"/>
              <w:rPr>
                <w:rFonts w:ascii="Arial" w:hAnsi="Arial"/>
                <w:lang w:val="en-CA"/>
              </w:rPr>
            </w:pPr>
            <w:r>
              <w:rPr>
                <w:rFonts w:ascii="Arial" w:hAnsi="Arial"/>
                <w:lang w:val="en-CA"/>
              </w:rPr>
              <w:t xml:space="preserve">Promino Nutritional Sciences Inc. (the “Issuer”).  </w:t>
            </w:r>
          </w:p>
        </w:tc>
        <w:tc>
          <w:tcPr>
            <w:tcW w:w="3089" w:type="dxa"/>
          </w:tcPr>
          <w:p w14:paraId="07D92AE1" w14:textId="2B4114DF" w:rsidR="00840B45" w:rsidRDefault="00BF6A2D">
            <w:pPr>
              <w:pStyle w:val="BodyText"/>
              <w:rPr>
                <w:rFonts w:ascii="Arial" w:hAnsi="Arial"/>
                <w:lang w:val="en-CA"/>
              </w:rPr>
            </w:pPr>
            <w:r>
              <w:rPr>
                <w:rFonts w:ascii="Arial" w:hAnsi="Arial"/>
                <w:lang w:val="en-CA"/>
              </w:rPr>
              <w:t>MUSL.CN</w:t>
            </w:r>
          </w:p>
        </w:tc>
      </w:tr>
    </w:tbl>
    <w:p w14:paraId="329725CF" w14:textId="0A493C0D" w:rsidR="00EA4133" w:rsidRDefault="00BF6A2D" w:rsidP="00840B45">
      <w:pPr>
        <w:pStyle w:val="BodyText"/>
        <w:spacing w:after="240"/>
        <w:rPr>
          <w:rFonts w:ascii="Arial" w:hAnsi="Arial"/>
          <w:sz w:val="32"/>
          <w:lang w:val="en-CA"/>
        </w:rPr>
      </w:pPr>
      <w:r>
        <w:rPr>
          <w:rFonts w:ascii="Arial" w:hAnsi="Arial"/>
          <w:lang w:val="en-CA"/>
        </w:rPr>
        <w:t xml:space="preserve">Date:  </w:t>
      </w:r>
      <w:r>
        <w:rPr>
          <w:rFonts w:ascii="Arial" w:hAnsi="Arial"/>
          <w:u w:val="single"/>
          <w:lang w:val="en-CA"/>
        </w:rPr>
        <w:tab/>
      </w:r>
      <w:r w:rsidR="00CF7219">
        <w:rPr>
          <w:rFonts w:ascii="Arial" w:hAnsi="Arial"/>
          <w:u w:val="single"/>
          <w:lang w:val="en-CA"/>
        </w:rPr>
        <w:t>June 2</w:t>
      </w:r>
      <w:r w:rsidR="00E57BE9">
        <w:rPr>
          <w:rFonts w:ascii="Arial" w:hAnsi="Arial"/>
          <w:u w:val="single"/>
          <w:lang w:val="en-CA"/>
        </w:rPr>
        <w:t>, 2026</w:t>
      </w:r>
      <w:r>
        <w:rPr>
          <w:rFonts w:ascii="Arial" w:hAnsi="Arial"/>
          <w:u w:val="single"/>
          <w:lang w:val="en-CA"/>
        </w:rPr>
        <w:tab/>
      </w:r>
      <w:r>
        <w:rPr>
          <w:rFonts w:ascii="Arial" w:hAnsi="Arial"/>
          <w:lang w:val="en-CA"/>
        </w:rPr>
        <w:t>Is this an updating or amending Notice:</w:t>
      </w:r>
      <w:r>
        <w:rPr>
          <w:rFonts w:ascii="Arial" w:hAnsi="Arial"/>
          <w:lang w:val="en-CA"/>
        </w:rPr>
        <w:tab/>
      </w:r>
      <w:r w:rsidR="00E52A1B">
        <w:rPr>
          <w:rFonts w:ascii="Monotype Sorts" w:hAnsi="Monotype Sorts"/>
          <w:lang w:val="en-CA"/>
        </w:rPr>
        <w:t></w:t>
      </w:r>
      <w:r>
        <w:rPr>
          <w:rFonts w:ascii="Arial" w:hAnsi="Arial"/>
          <w:lang w:val="en-CA"/>
        </w:rPr>
        <w:t>Yes</w:t>
      </w:r>
      <w:r>
        <w:rPr>
          <w:rFonts w:ascii="Arial" w:hAnsi="Arial"/>
          <w:lang w:val="en-CA"/>
        </w:rPr>
        <w:tab/>
      </w:r>
      <w:r w:rsidR="00E52A1B">
        <w:rPr>
          <w:rFonts w:ascii="Wingdings" w:hAnsi="Wingdings"/>
          <w:lang w:val="en-CA"/>
        </w:rPr>
        <w:sym w:font="Wingdings" w:char="F078"/>
      </w:r>
      <w:r>
        <w:rPr>
          <w:rFonts w:ascii="Arial" w:hAnsi="Arial"/>
          <w:lang w:val="en-CA"/>
        </w:rPr>
        <w:t>No</w:t>
      </w:r>
      <w:r>
        <w:rPr>
          <w:rFonts w:ascii="Arial" w:hAnsi="Arial"/>
          <w:sz w:val="32"/>
          <w:lang w:val="en-CA"/>
        </w:rPr>
        <w:tab/>
      </w:r>
    </w:p>
    <w:p w14:paraId="6B9241A6" w14:textId="78261A07" w:rsidR="00EA4133" w:rsidRDefault="00BF6A2D" w:rsidP="00C10A32">
      <w:pPr>
        <w:pStyle w:val="BodyText"/>
        <w:tabs>
          <w:tab w:val="left" w:pos="9180"/>
        </w:tabs>
        <w:spacing w:before="0" w:after="120"/>
        <w:rPr>
          <w:rFonts w:ascii="Arial" w:hAnsi="Arial"/>
          <w:lang w:val="en-CA"/>
        </w:rPr>
      </w:pPr>
      <w:r>
        <w:rPr>
          <w:rFonts w:ascii="Arial" w:hAnsi="Arial"/>
          <w:lang w:val="en-CA"/>
        </w:rPr>
        <w:t xml:space="preserve">If yes provide date(s) of prior Notices:  </w:t>
      </w:r>
      <w:r w:rsidR="00E52A1B">
        <w:rPr>
          <w:rFonts w:ascii="Arial" w:hAnsi="Arial"/>
          <w:u w:val="single"/>
          <w:lang w:val="en-CA"/>
        </w:rPr>
        <w:t>N/A</w:t>
      </w:r>
      <w:r w:rsidR="00582AF7">
        <w:rPr>
          <w:rFonts w:ascii="Arial" w:hAnsi="Arial"/>
          <w:u w:val="single"/>
          <w:lang w:val="en-CA"/>
        </w:rPr>
        <w:tab/>
      </w:r>
    </w:p>
    <w:p w14:paraId="64ED7A22" w14:textId="1212C47E" w:rsidR="00EA4133" w:rsidRDefault="00BF6A2D" w:rsidP="00C10A32">
      <w:pPr>
        <w:pStyle w:val="BodyText"/>
        <w:tabs>
          <w:tab w:val="left" w:pos="9180"/>
        </w:tabs>
        <w:spacing w:before="0" w:after="120"/>
        <w:rPr>
          <w:rFonts w:ascii="Arial" w:hAnsi="Arial"/>
          <w:lang w:val="en-CA"/>
        </w:rPr>
      </w:pPr>
      <w:r>
        <w:rPr>
          <w:rFonts w:ascii="Arial" w:hAnsi="Arial"/>
          <w:lang w:val="en-CA"/>
        </w:rPr>
        <w:t xml:space="preserve">Issued and Outstanding Securities of Issuer Prior to Issuance:  </w:t>
      </w:r>
      <w:r w:rsidR="0080548F">
        <w:rPr>
          <w:rFonts w:ascii="Arial" w:hAnsi="Arial"/>
          <w:u w:val="single"/>
          <w:lang w:val="en-CA"/>
        </w:rPr>
        <w:t>207,903,375</w:t>
      </w:r>
      <w:r w:rsidR="00F8316D">
        <w:rPr>
          <w:rFonts w:ascii="Arial" w:hAnsi="Arial"/>
          <w:u w:val="single"/>
          <w:lang w:val="en-CA"/>
        </w:rPr>
        <w:t xml:space="preserve"> common shares</w:t>
      </w:r>
      <w:r w:rsidR="00E13C33">
        <w:rPr>
          <w:rFonts w:ascii="Arial" w:hAnsi="Arial"/>
          <w:u w:val="single"/>
          <w:lang w:val="en-CA"/>
        </w:rPr>
        <w:t xml:space="preserve"> (“</w:t>
      </w:r>
      <w:r w:rsidR="00787468">
        <w:rPr>
          <w:rFonts w:ascii="Arial" w:hAnsi="Arial"/>
          <w:u w:val="single"/>
          <w:lang w:val="en-CA"/>
        </w:rPr>
        <w:t xml:space="preserve">Common </w:t>
      </w:r>
      <w:r w:rsidR="00E13C33">
        <w:rPr>
          <w:rFonts w:ascii="Arial" w:hAnsi="Arial"/>
          <w:u w:val="single"/>
          <w:lang w:val="en-CA"/>
        </w:rPr>
        <w:t>Shares”)</w:t>
      </w:r>
      <w:r>
        <w:rPr>
          <w:rFonts w:ascii="Arial" w:hAnsi="Arial"/>
          <w:u w:val="single"/>
          <w:lang w:val="en-CA"/>
        </w:rPr>
        <w:tab/>
      </w:r>
      <w:r>
        <w:rPr>
          <w:rFonts w:ascii="Arial" w:hAnsi="Arial"/>
          <w:lang w:val="en-CA"/>
        </w:rPr>
        <w:t xml:space="preserve"> .</w:t>
      </w:r>
    </w:p>
    <w:p w14:paraId="05735BDF" w14:textId="77777777" w:rsidR="00840B45" w:rsidRPr="00840B45" w:rsidRDefault="00BF6A2D" w:rsidP="00C10A32">
      <w:pPr>
        <w:pStyle w:val="BodyText"/>
        <w:tabs>
          <w:tab w:val="left" w:pos="9180"/>
        </w:tabs>
        <w:spacing w:before="0" w:after="120"/>
        <w:rPr>
          <w:rFonts w:ascii="Arial" w:hAnsi="Arial"/>
          <w:b/>
          <w:lang w:val="en-CA"/>
        </w:rPr>
      </w:pPr>
      <w:r>
        <w:rPr>
          <w:rFonts w:ascii="Arial" w:hAnsi="Arial"/>
          <w:b/>
          <w:lang w:val="en-CA"/>
        </w:rPr>
        <w:t>Pricing</w:t>
      </w:r>
    </w:p>
    <w:p w14:paraId="3598349B" w14:textId="27621C0C" w:rsidR="00EA4133" w:rsidRDefault="00BF6A2D" w:rsidP="00C10A32">
      <w:pPr>
        <w:pStyle w:val="BodyText"/>
        <w:tabs>
          <w:tab w:val="left" w:pos="9180"/>
        </w:tabs>
        <w:spacing w:before="0" w:after="120"/>
        <w:rPr>
          <w:rFonts w:ascii="Arial" w:hAnsi="Arial"/>
          <w:lang w:val="en-CA"/>
        </w:rPr>
      </w:pPr>
      <w:r>
        <w:rPr>
          <w:rFonts w:ascii="Arial" w:hAnsi="Arial"/>
          <w:lang w:val="en-CA"/>
        </w:rPr>
        <w:t xml:space="preserve">Date of </w:t>
      </w:r>
      <w:r w:rsidR="00840B45">
        <w:rPr>
          <w:rFonts w:ascii="Arial" w:hAnsi="Arial"/>
          <w:lang w:val="en-CA"/>
        </w:rPr>
        <w:t>n</w:t>
      </w:r>
      <w:r>
        <w:rPr>
          <w:rFonts w:ascii="Arial" w:hAnsi="Arial"/>
          <w:lang w:val="en-CA"/>
        </w:rPr>
        <w:t xml:space="preserve">ews </w:t>
      </w:r>
      <w:r w:rsidR="00840B45">
        <w:rPr>
          <w:rFonts w:ascii="Arial" w:hAnsi="Arial"/>
          <w:lang w:val="en-CA"/>
        </w:rPr>
        <w:t>r</w:t>
      </w:r>
      <w:r>
        <w:rPr>
          <w:rFonts w:ascii="Arial" w:hAnsi="Arial"/>
          <w:lang w:val="en-CA"/>
        </w:rPr>
        <w:t xml:space="preserve">elease </w:t>
      </w:r>
      <w:r w:rsidR="00840B45">
        <w:rPr>
          <w:rFonts w:ascii="Arial" w:hAnsi="Arial"/>
          <w:lang w:val="en-CA"/>
        </w:rPr>
        <w:t>a</w:t>
      </w:r>
      <w:r>
        <w:rPr>
          <w:rFonts w:ascii="Arial" w:hAnsi="Arial"/>
          <w:lang w:val="en-CA"/>
        </w:rPr>
        <w:t xml:space="preserve">nnouncing </w:t>
      </w:r>
      <w:r w:rsidR="00840B45">
        <w:rPr>
          <w:rFonts w:ascii="Arial" w:hAnsi="Arial"/>
          <w:lang w:val="en-CA"/>
        </w:rPr>
        <w:t>proposed issuance</w:t>
      </w:r>
      <w:r>
        <w:rPr>
          <w:rFonts w:ascii="Arial" w:hAnsi="Arial"/>
          <w:lang w:val="en-CA"/>
        </w:rPr>
        <w:t xml:space="preserve">:  </w:t>
      </w:r>
      <w:r w:rsidR="0033727A" w:rsidRPr="0033727A">
        <w:rPr>
          <w:rFonts w:ascii="Arial" w:hAnsi="Arial"/>
          <w:u w:val="single"/>
          <w:lang w:val="en-CA"/>
        </w:rPr>
        <w:t xml:space="preserve">May 19 and </w:t>
      </w:r>
      <w:r w:rsidR="0033727A">
        <w:rPr>
          <w:rFonts w:ascii="Arial" w:hAnsi="Arial"/>
          <w:u w:val="single"/>
          <w:lang w:val="en-CA"/>
        </w:rPr>
        <w:t>June 2, 2026</w:t>
      </w:r>
      <w:r w:rsidR="00840B45">
        <w:rPr>
          <w:rFonts w:ascii="Arial" w:hAnsi="Arial"/>
          <w:u w:val="single"/>
          <w:lang w:val="en-CA"/>
        </w:rPr>
        <w:t xml:space="preserve"> </w:t>
      </w:r>
      <w:r w:rsidR="00840B45">
        <w:rPr>
          <w:rFonts w:ascii="Arial" w:hAnsi="Arial"/>
          <w:lang w:val="en-CA"/>
        </w:rPr>
        <w:t xml:space="preserve"> or</w:t>
      </w:r>
    </w:p>
    <w:p w14:paraId="2B26F9CC" w14:textId="57A72E51" w:rsidR="00840B45" w:rsidRDefault="00BF6A2D" w:rsidP="00C10A32">
      <w:pPr>
        <w:pStyle w:val="BodyText"/>
        <w:tabs>
          <w:tab w:val="left" w:pos="9180"/>
        </w:tabs>
        <w:spacing w:before="0" w:after="120"/>
        <w:rPr>
          <w:rFonts w:ascii="Arial" w:hAnsi="Arial"/>
          <w:lang w:val="en-CA"/>
        </w:rPr>
      </w:pPr>
      <w:r>
        <w:rPr>
          <w:rFonts w:ascii="Arial" w:hAnsi="Arial"/>
          <w:lang w:val="en-CA"/>
        </w:rPr>
        <w:t xml:space="preserve">Date of confidential request for price protection: </w:t>
      </w:r>
      <w:r w:rsidR="00017E85">
        <w:rPr>
          <w:rFonts w:ascii="Arial" w:hAnsi="Arial"/>
          <w:lang w:val="en-CA"/>
        </w:rPr>
        <w:t xml:space="preserve">  </w:t>
      </w:r>
      <w:r w:rsidR="00F8316D">
        <w:rPr>
          <w:rFonts w:ascii="Arial" w:hAnsi="Arial"/>
          <w:u w:val="single"/>
          <w:lang w:val="en-CA"/>
        </w:rPr>
        <w:t>N</w:t>
      </w:r>
      <w:r w:rsidR="00582AF7">
        <w:rPr>
          <w:rFonts w:ascii="Arial" w:hAnsi="Arial"/>
          <w:u w:val="single"/>
          <w:lang w:val="en-CA"/>
        </w:rPr>
        <w:t>/A</w:t>
      </w:r>
      <w:r w:rsidR="00582AF7">
        <w:rPr>
          <w:rFonts w:ascii="Arial" w:hAnsi="Arial"/>
          <w:u w:val="single"/>
          <w:lang w:val="en-CA"/>
        </w:rPr>
        <w:tab/>
      </w:r>
    </w:p>
    <w:p w14:paraId="1149D8A2" w14:textId="7F7C2C8A" w:rsidR="00EA4133" w:rsidRDefault="00BF6A2D" w:rsidP="00C10A32">
      <w:pPr>
        <w:pStyle w:val="BodyText"/>
        <w:tabs>
          <w:tab w:val="left" w:pos="9180"/>
        </w:tabs>
        <w:spacing w:before="0" w:after="120"/>
        <w:rPr>
          <w:rFonts w:ascii="Arial" w:hAnsi="Arial"/>
          <w:lang w:val="en-CA"/>
        </w:rPr>
      </w:pPr>
      <w:r>
        <w:rPr>
          <w:rFonts w:ascii="Arial" w:hAnsi="Arial"/>
          <w:lang w:val="en-CA"/>
        </w:rPr>
        <w:t xml:space="preserve">Closing Market Price on Day Preceding the </w:t>
      </w:r>
      <w:r w:rsidR="00840B45">
        <w:rPr>
          <w:rFonts w:ascii="Arial" w:hAnsi="Arial"/>
          <w:lang w:val="en-CA"/>
        </w:rPr>
        <w:t>n</w:t>
      </w:r>
      <w:r>
        <w:rPr>
          <w:rFonts w:ascii="Arial" w:hAnsi="Arial"/>
          <w:lang w:val="en-CA"/>
        </w:rPr>
        <w:t xml:space="preserve">ews </w:t>
      </w:r>
      <w:r w:rsidR="00840B45">
        <w:rPr>
          <w:rFonts w:ascii="Arial" w:hAnsi="Arial"/>
          <w:lang w:val="en-CA"/>
        </w:rPr>
        <w:t>r</w:t>
      </w:r>
      <w:r>
        <w:rPr>
          <w:rFonts w:ascii="Arial" w:hAnsi="Arial"/>
          <w:lang w:val="en-CA"/>
        </w:rPr>
        <w:t xml:space="preserve">elease: </w:t>
      </w:r>
      <w:r w:rsidR="003F7823" w:rsidRPr="0012416A">
        <w:rPr>
          <w:rFonts w:ascii="Arial" w:hAnsi="Arial"/>
          <w:u w:val="single"/>
          <w:lang w:val="en-CA"/>
        </w:rPr>
        <w:t>$0.0</w:t>
      </w:r>
      <w:r w:rsidR="0012416A" w:rsidRPr="0012416A">
        <w:rPr>
          <w:rFonts w:ascii="Arial" w:hAnsi="Arial"/>
          <w:u w:val="single"/>
          <w:lang w:val="en-CA"/>
        </w:rPr>
        <w:t>4</w:t>
      </w:r>
      <w:r w:rsidR="00D744EB" w:rsidRPr="0012416A">
        <w:rPr>
          <w:rFonts w:ascii="Arial" w:hAnsi="Arial"/>
          <w:u w:val="single"/>
          <w:lang w:val="en-CA"/>
        </w:rPr>
        <w:t>5</w:t>
      </w:r>
      <w:r w:rsidR="00E52A1B">
        <w:rPr>
          <w:rFonts w:ascii="Arial" w:hAnsi="Arial"/>
          <w:u w:val="single"/>
          <w:lang w:val="en-CA"/>
        </w:rPr>
        <w:t xml:space="preserve"> </w:t>
      </w:r>
      <w:r w:rsidR="00840B45">
        <w:rPr>
          <w:rFonts w:ascii="Arial" w:hAnsi="Arial"/>
          <w:lang w:val="en-CA"/>
        </w:rPr>
        <w:t xml:space="preserve"> or</w:t>
      </w:r>
    </w:p>
    <w:p w14:paraId="59088A4E" w14:textId="236CA7E1" w:rsidR="00840B45" w:rsidRDefault="00BF6A2D" w:rsidP="00C10A32">
      <w:pPr>
        <w:pStyle w:val="BodyText"/>
        <w:tabs>
          <w:tab w:val="left" w:pos="9180"/>
        </w:tabs>
        <w:spacing w:before="0" w:after="120"/>
        <w:rPr>
          <w:rFonts w:ascii="Arial" w:hAnsi="Arial"/>
          <w:lang w:val="en-CA"/>
        </w:rPr>
      </w:pPr>
      <w:r>
        <w:rPr>
          <w:rFonts w:ascii="Arial" w:hAnsi="Arial"/>
          <w:lang w:val="en-CA"/>
        </w:rPr>
        <w:t xml:space="preserve">Day preceding request for price protection: </w:t>
      </w:r>
      <w:r w:rsidR="00A638B5">
        <w:rPr>
          <w:rFonts w:ascii="Arial" w:hAnsi="Arial"/>
          <w:u w:val="single"/>
          <w:lang w:val="en-CA"/>
        </w:rPr>
        <w:t>N/A</w:t>
      </w:r>
      <w:r w:rsidR="00017E85" w:rsidRPr="00017E85">
        <w:rPr>
          <w:rFonts w:ascii="Arial" w:hAnsi="Arial"/>
          <w:u w:val="single"/>
          <w:lang w:val="en-CA"/>
        </w:rPr>
        <w:tab/>
      </w:r>
    </w:p>
    <w:p w14:paraId="37AEA8CE" w14:textId="77777777" w:rsidR="00840B45" w:rsidRDefault="00BF6A2D" w:rsidP="00C10A32">
      <w:pPr>
        <w:pStyle w:val="BodyText"/>
        <w:tabs>
          <w:tab w:val="left" w:pos="9180"/>
        </w:tabs>
        <w:spacing w:before="0" w:after="120"/>
        <w:rPr>
          <w:rFonts w:ascii="Arial" w:hAnsi="Arial"/>
          <w:b/>
          <w:lang w:val="en-CA"/>
        </w:rPr>
      </w:pPr>
      <w:r>
        <w:rPr>
          <w:rFonts w:ascii="Arial" w:hAnsi="Arial"/>
          <w:b/>
          <w:lang w:val="en-CA"/>
        </w:rPr>
        <w:t>Closing</w:t>
      </w:r>
    </w:p>
    <w:p w14:paraId="428EB1D7" w14:textId="144F7AB4" w:rsidR="00840B45" w:rsidRDefault="00BF6A2D" w:rsidP="00C10A32">
      <w:pPr>
        <w:pStyle w:val="BodyText"/>
        <w:tabs>
          <w:tab w:val="left" w:pos="9180"/>
        </w:tabs>
        <w:spacing w:before="0" w:after="120"/>
        <w:rPr>
          <w:rFonts w:ascii="Arial" w:hAnsi="Arial"/>
          <w:lang w:val="en-CA"/>
        </w:rPr>
      </w:pPr>
      <w:r>
        <w:rPr>
          <w:rFonts w:ascii="Arial" w:hAnsi="Arial"/>
          <w:lang w:val="en-CA"/>
        </w:rPr>
        <w:t xml:space="preserve">Number of securities to be issued: </w:t>
      </w:r>
      <w:r w:rsidR="00037183">
        <w:rPr>
          <w:rFonts w:ascii="Arial" w:hAnsi="Arial"/>
          <w:u w:val="single"/>
          <w:lang w:val="en-CA"/>
        </w:rPr>
        <w:t>4,0</w:t>
      </w:r>
      <w:r w:rsidR="0083753A">
        <w:rPr>
          <w:rFonts w:ascii="Arial" w:hAnsi="Arial"/>
          <w:u w:val="single"/>
          <w:lang w:val="en-CA"/>
        </w:rPr>
        <w:t>00,000</w:t>
      </w:r>
      <w:r w:rsidR="00F90AAC">
        <w:rPr>
          <w:rFonts w:ascii="Arial" w:hAnsi="Arial"/>
          <w:u w:val="single"/>
          <w:lang w:val="en-CA"/>
        </w:rPr>
        <w:t xml:space="preserve"> Common Shares</w:t>
      </w:r>
      <w:r w:rsidR="00582AF7">
        <w:rPr>
          <w:rFonts w:ascii="Arial" w:hAnsi="Arial"/>
          <w:u w:val="single"/>
          <w:lang w:val="en-CA"/>
        </w:rPr>
        <w:tab/>
      </w:r>
    </w:p>
    <w:p w14:paraId="7749581F" w14:textId="03F8322F" w:rsidR="00840B45" w:rsidRDefault="00BF6A2D" w:rsidP="00C10A32">
      <w:pPr>
        <w:pStyle w:val="BodyText"/>
        <w:tabs>
          <w:tab w:val="left" w:pos="9180"/>
        </w:tabs>
        <w:spacing w:before="0" w:after="120"/>
        <w:rPr>
          <w:rFonts w:ascii="Arial" w:hAnsi="Arial"/>
          <w:lang w:val="en-CA"/>
        </w:rPr>
      </w:pPr>
      <w:r>
        <w:rPr>
          <w:rFonts w:ascii="Arial" w:hAnsi="Arial"/>
          <w:lang w:val="en-CA"/>
        </w:rPr>
        <w:t xml:space="preserve">Issued and outstanding securities following issuance: </w:t>
      </w:r>
      <w:r w:rsidR="00037183">
        <w:rPr>
          <w:rFonts w:ascii="Arial" w:hAnsi="Arial"/>
          <w:u w:val="single"/>
          <w:lang w:val="en-CA"/>
        </w:rPr>
        <w:t>2</w:t>
      </w:r>
      <w:r w:rsidR="00A50978">
        <w:rPr>
          <w:rFonts w:ascii="Arial" w:hAnsi="Arial"/>
          <w:u w:val="single"/>
          <w:lang w:val="en-CA"/>
        </w:rPr>
        <w:t>11</w:t>
      </w:r>
      <w:r w:rsidR="00037183">
        <w:rPr>
          <w:rFonts w:ascii="Arial" w:hAnsi="Arial"/>
          <w:u w:val="single"/>
          <w:lang w:val="en-CA"/>
        </w:rPr>
        <w:t>,903,375</w:t>
      </w:r>
      <w:r w:rsidR="00404906">
        <w:rPr>
          <w:rFonts w:ascii="Arial" w:hAnsi="Arial"/>
          <w:u w:val="single"/>
          <w:lang w:val="en-CA"/>
        </w:rPr>
        <w:t xml:space="preserve"> </w:t>
      </w:r>
      <w:r w:rsidR="0075570A">
        <w:rPr>
          <w:rFonts w:ascii="Arial" w:hAnsi="Arial"/>
          <w:u w:val="single"/>
          <w:lang w:val="en-CA"/>
        </w:rPr>
        <w:t>Common Shares</w:t>
      </w:r>
      <w:r w:rsidR="00017E85" w:rsidRPr="00017E85">
        <w:rPr>
          <w:rFonts w:ascii="Arial" w:hAnsi="Arial"/>
          <w:u w:val="single"/>
          <w:lang w:val="en-CA"/>
        </w:rPr>
        <w:tab/>
      </w:r>
    </w:p>
    <w:p w14:paraId="53C6A75B" w14:textId="77777777" w:rsidR="00C10A32" w:rsidRDefault="00C10A32" w:rsidP="00C10A32">
      <w:pPr>
        <w:pStyle w:val="BodyText"/>
        <w:tabs>
          <w:tab w:val="left" w:pos="9180"/>
        </w:tabs>
        <w:spacing w:before="0" w:after="120"/>
        <w:rPr>
          <w:rFonts w:ascii="Arial" w:hAnsi="Arial"/>
          <w:b/>
          <w:lang w:val="en-CA"/>
        </w:rPr>
      </w:pPr>
    </w:p>
    <w:p w14:paraId="070F1EE9" w14:textId="77777777" w:rsidR="00840B45" w:rsidRPr="00017E85" w:rsidRDefault="00BF6A2D" w:rsidP="00C10A32">
      <w:pPr>
        <w:pStyle w:val="BodyText"/>
        <w:tabs>
          <w:tab w:val="left" w:pos="9180"/>
        </w:tabs>
        <w:spacing w:before="0" w:after="120"/>
        <w:rPr>
          <w:rFonts w:ascii="Arial" w:hAnsi="Arial"/>
          <w:b/>
          <w:sz w:val="18"/>
          <w:szCs w:val="18"/>
          <w:lang w:val="en-CA"/>
        </w:rPr>
      </w:pPr>
      <w:r w:rsidRPr="00017E85">
        <w:rPr>
          <w:rFonts w:ascii="Arial" w:hAnsi="Arial"/>
          <w:b/>
          <w:sz w:val="18"/>
          <w:szCs w:val="18"/>
          <w:lang w:val="en-CA"/>
        </w:rPr>
        <w:t>Instructions:</w:t>
      </w:r>
    </w:p>
    <w:p w14:paraId="6A2183BE" w14:textId="77777777" w:rsidR="00840B45" w:rsidRPr="00017E85" w:rsidRDefault="00BF6A2D" w:rsidP="00BE2894">
      <w:pPr>
        <w:pStyle w:val="BodyText"/>
        <w:numPr>
          <w:ilvl w:val="0"/>
          <w:numId w:val="18"/>
        </w:numPr>
        <w:tabs>
          <w:tab w:val="left" w:pos="9180"/>
        </w:tabs>
        <w:spacing w:before="0" w:after="120"/>
        <w:ind w:left="426"/>
        <w:rPr>
          <w:rFonts w:ascii="Arial" w:hAnsi="Arial"/>
          <w:sz w:val="18"/>
          <w:szCs w:val="18"/>
          <w:lang w:val="en-CA"/>
        </w:rPr>
      </w:pPr>
      <w:r w:rsidRPr="00017E85">
        <w:rPr>
          <w:rFonts w:ascii="Arial" w:hAnsi="Arial"/>
          <w:sz w:val="18"/>
          <w:szCs w:val="18"/>
          <w:lang w:val="en-CA"/>
        </w:rPr>
        <w:t>For private placements (including debt settlement), complete tables 1A and 1B in Part 1 of this form.</w:t>
      </w:r>
    </w:p>
    <w:p w14:paraId="22C80B95" w14:textId="77777777" w:rsidR="00840B45" w:rsidRPr="00017E85" w:rsidRDefault="00BF6A2D" w:rsidP="00BE2894">
      <w:pPr>
        <w:pStyle w:val="BodyText"/>
        <w:numPr>
          <w:ilvl w:val="0"/>
          <w:numId w:val="18"/>
        </w:numPr>
        <w:tabs>
          <w:tab w:val="left" w:pos="9180"/>
        </w:tabs>
        <w:spacing w:before="0" w:after="120"/>
        <w:ind w:left="426"/>
        <w:rPr>
          <w:rFonts w:ascii="Arial" w:hAnsi="Arial"/>
          <w:sz w:val="18"/>
          <w:szCs w:val="18"/>
          <w:lang w:val="en-CA"/>
        </w:rPr>
      </w:pPr>
      <w:r w:rsidRPr="00017E85">
        <w:rPr>
          <w:rFonts w:ascii="Arial" w:hAnsi="Arial"/>
          <w:sz w:val="18"/>
          <w:szCs w:val="18"/>
          <w:lang w:val="en-CA"/>
        </w:rPr>
        <w:t>Complete Table 1A – Summary for all purchasers, excluding those identified in Item 8.</w:t>
      </w:r>
    </w:p>
    <w:p w14:paraId="6F711AC2" w14:textId="77777777" w:rsidR="00840B45" w:rsidRPr="00017E85" w:rsidRDefault="00BF6A2D" w:rsidP="00BE2894">
      <w:pPr>
        <w:pStyle w:val="BodyText"/>
        <w:numPr>
          <w:ilvl w:val="0"/>
          <w:numId w:val="18"/>
        </w:numPr>
        <w:tabs>
          <w:tab w:val="left" w:pos="9180"/>
        </w:tabs>
        <w:spacing w:before="0" w:after="120"/>
        <w:ind w:left="426"/>
        <w:rPr>
          <w:rFonts w:ascii="Arial" w:hAnsi="Arial"/>
          <w:sz w:val="18"/>
          <w:szCs w:val="18"/>
          <w:lang w:val="en-CA"/>
        </w:rPr>
      </w:pPr>
      <w:r w:rsidRPr="00017E85">
        <w:rPr>
          <w:rFonts w:ascii="Arial" w:hAnsi="Arial"/>
          <w:sz w:val="18"/>
          <w:szCs w:val="18"/>
          <w:lang w:val="en-CA"/>
        </w:rPr>
        <w:t>Complete Table 1B – Related Persons only for Related Persons</w:t>
      </w:r>
    </w:p>
    <w:p w14:paraId="611C7731" w14:textId="77777777" w:rsidR="00840B45" w:rsidRPr="00017E85" w:rsidRDefault="00BF6A2D" w:rsidP="00BE2894">
      <w:pPr>
        <w:pStyle w:val="BodyText"/>
        <w:numPr>
          <w:ilvl w:val="0"/>
          <w:numId w:val="18"/>
        </w:numPr>
        <w:tabs>
          <w:tab w:val="left" w:pos="9180"/>
        </w:tabs>
        <w:spacing w:before="0" w:after="120"/>
        <w:ind w:left="426"/>
        <w:rPr>
          <w:rFonts w:ascii="Arial" w:hAnsi="Arial"/>
          <w:sz w:val="18"/>
          <w:szCs w:val="18"/>
          <w:lang w:val="en-CA"/>
        </w:rPr>
      </w:pPr>
      <w:r w:rsidRPr="00017E85">
        <w:rPr>
          <w:rFonts w:ascii="Arial" w:hAnsi="Arial"/>
          <w:sz w:val="18"/>
          <w:szCs w:val="18"/>
          <w:lang w:val="en-CA"/>
        </w:rPr>
        <w:t>If shares are being issued in connection with an acquisition (either as consideration or to raise funds for a cash acquisition) please proceed to Part 2 of this form.</w:t>
      </w:r>
    </w:p>
    <w:p w14:paraId="1C15703D" w14:textId="77777777" w:rsidR="00544BCF" w:rsidRPr="00017E85" w:rsidRDefault="00BF6A2D" w:rsidP="00BE2894">
      <w:pPr>
        <w:pStyle w:val="BodyText"/>
        <w:numPr>
          <w:ilvl w:val="0"/>
          <w:numId w:val="18"/>
        </w:numPr>
        <w:tabs>
          <w:tab w:val="left" w:pos="9180"/>
        </w:tabs>
        <w:spacing w:before="0" w:after="120"/>
        <w:ind w:left="426"/>
        <w:rPr>
          <w:rFonts w:ascii="Arial" w:hAnsi="Arial"/>
          <w:sz w:val="18"/>
          <w:szCs w:val="18"/>
          <w:lang w:val="en-CA"/>
        </w:rPr>
      </w:pPr>
      <w:r w:rsidRPr="00017E85">
        <w:rPr>
          <w:rFonts w:ascii="Arial" w:hAnsi="Arial"/>
          <w:sz w:val="18"/>
          <w:szCs w:val="18"/>
          <w:lang w:val="en-CA"/>
        </w:rPr>
        <w:t>An issuance of non-convertible debt does not have to be reported unless it is a significant transaction as defined in Policy 7, in which case it is to be reported on Form 10</w:t>
      </w:r>
      <w:r w:rsidR="00C10A32" w:rsidRPr="00017E85">
        <w:rPr>
          <w:rFonts w:ascii="Arial" w:hAnsi="Arial"/>
          <w:sz w:val="18"/>
          <w:szCs w:val="18"/>
          <w:lang w:val="en-CA"/>
        </w:rPr>
        <w:t xml:space="preserve"> – Notice of Proposed Transaction</w:t>
      </w:r>
    </w:p>
    <w:p w14:paraId="7D7F9B0A" w14:textId="73762EA7" w:rsidR="00C10A32" w:rsidRPr="00BE2894" w:rsidRDefault="00BF6A2D" w:rsidP="00BE2894">
      <w:pPr>
        <w:pStyle w:val="BodyText"/>
        <w:numPr>
          <w:ilvl w:val="0"/>
          <w:numId w:val="18"/>
        </w:numPr>
        <w:tabs>
          <w:tab w:val="left" w:pos="9180"/>
        </w:tabs>
        <w:spacing w:before="0" w:after="120"/>
        <w:ind w:left="426"/>
        <w:rPr>
          <w:rFonts w:ascii="Arial" w:hAnsi="Arial"/>
          <w:b/>
          <w:lang w:val="en-CA"/>
        </w:rPr>
      </w:pPr>
      <w:r w:rsidRPr="00017E85">
        <w:rPr>
          <w:rFonts w:ascii="Arial" w:hAnsi="Arial"/>
          <w:sz w:val="18"/>
          <w:szCs w:val="18"/>
          <w:lang w:val="en-CA"/>
        </w:rPr>
        <w:t xml:space="preserve">Post the completed Form 9 to the CSE website in accordance with </w:t>
      </w:r>
      <w:r w:rsidRPr="00017E85">
        <w:rPr>
          <w:rFonts w:ascii="Arial" w:hAnsi="Arial"/>
          <w:i/>
          <w:sz w:val="18"/>
          <w:szCs w:val="18"/>
          <w:lang w:val="en-CA"/>
        </w:rPr>
        <w:t>Policy 6 – Distributions.</w:t>
      </w:r>
      <w:r w:rsidRPr="00017E85">
        <w:rPr>
          <w:rFonts w:ascii="Arial" w:hAnsi="Arial"/>
          <w:sz w:val="18"/>
          <w:szCs w:val="18"/>
          <w:lang w:val="en-CA"/>
        </w:rPr>
        <w:t xml:space="preserve">  In addition, the completed form must be delivered to listings@thecse.com with an appendix that includes the </w:t>
      </w:r>
      <w:r w:rsidR="00F33BBE" w:rsidRPr="00017E85">
        <w:rPr>
          <w:rFonts w:ascii="Arial" w:hAnsi="Arial"/>
          <w:sz w:val="18"/>
          <w:szCs w:val="18"/>
          <w:lang w:val="en-CA"/>
        </w:rPr>
        <w:t>information in Table 1B for ALL placees.</w:t>
      </w:r>
      <w:r w:rsidRPr="00BE2894">
        <w:rPr>
          <w:rFonts w:ascii="Arial" w:hAnsi="Arial"/>
          <w:b/>
          <w:lang w:val="en-CA"/>
        </w:rPr>
        <w:br w:type="page"/>
      </w:r>
    </w:p>
    <w:p w14:paraId="236BC865" w14:textId="77777777" w:rsidR="00A90670" w:rsidRDefault="00BF6A2D">
      <w:pPr>
        <w:pStyle w:val="BodyText"/>
        <w:spacing w:before="0" w:after="240"/>
        <w:rPr>
          <w:rFonts w:ascii="Arial" w:hAnsi="Arial"/>
          <w:b/>
          <w:lang w:val="en-CA"/>
        </w:rPr>
      </w:pPr>
      <w:r>
        <w:rPr>
          <w:rFonts w:ascii="Arial" w:hAnsi="Arial"/>
          <w:b/>
          <w:lang w:val="en-CA"/>
        </w:rPr>
        <w:lastRenderedPageBreak/>
        <w:t xml:space="preserve">Part </w:t>
      </w:r>
      <w:r w:rsidR="00EA4133">
        <w:rPr>
          <w:rFonts w:ascii="Arial" w:hAnsi="Arial"/>
          <w:b/>
          <w:lang w:val="en-CA"/>
        </w:rPr>
        <w:t>1.</w:t>
      </w:r>
      <w:r w:rsidR="00EA4133">
        <w:rPr>
          <w:rFonts w:ascii="Arial" w:hAnsi="Arial"/>
          <w:b/>
          <w:lang w:val="en-CA"/>
        </w:rPr>
        <w:tab/>
        <w:t xml:space="preserve">Private Placement </w:t>
      </w:r>
    </w:p>
    <w:p w14:paraId="78F3849C" w14:textId="77777777" w:rsidR="00C536D3" w:rsidRPr="00C536D3" w:rsidRDefault="00BF6A2D" w:rsidP="00C536D3">
      <w:pPr>
        <w:pStyle w:val="BodyText"/>
        <w:rPr>
          <w:rFonts w:ascii="Arial" w:hAnsi="Arial"/>
          <w:b/>
          <w:u w:val="single"/>
          <w:lang w:val="en-CA"/>
        </w:rPr>
      </w:pPr>
      <w:r w:rsidRPr="00C536D3">
        <w:rPr>
          <w:rFonts w:ascii="Arial" w:hAnsi="Arial"/>
          <w:b/>
          <w:u w:val="single"/>
          <w:lang w:val="en-CA"/>
        </w:rPr>
        <w:t>Table 1A – Summary</w:t>
      </w:r>
    </w:p>
    <w:tbl>
      <w:tblPr>
        <w:tblStyle w:val="TableGrid"/>
        <w:tblW w:w="9576" w:type="dxa"/>
        <w:tblLayout w:type="fixed"/>
        <w:tblLook w:val="04A0" w:firstRow="1" w:lastRow="0" w:firstColumn="1" w:lastColumn="0" w:noHBand="0" w:noVBand="1"/>
      </w:tblPr>
      <w:tblGrid>
        <w:gridCol w:w="3652"/>
        <w:gridCol w:w="1701"/>
        <w:gridCol w:w="1829"/>
        <w:gridCol w:w="2394"/>
      </w:tblGrid>
      <w:tr w:rsidR="00D7398F" w14:paraId="2603D0C5" w14:textId="77777777" w:rsidTr="00C15C51">
        <w:tc>
          <w:tcPr>
            <w:tcW w:w="3652" w:type="dxa"/>
          </w:tcPr>
          <w:p w14:paraId="31333E2C" w14:textId="77777777" w:rsidR="00C536D3" w:rsidRPr="00C536D3" w:rsidRDefault="00BF6A2D" w:rsidP="00C536D3">
            <w:pPr>
              <w:pStyle w:val="BodyText"/>
              <w:rPr>
                <w:rFonts w:ascii="Arial" w:hAnsi="Arial"/>
                <w:lang w:val="en-CA"/>
              </w:rPr>
            </w:pPr>
            <w:r w:rsidRPr="00C536D3">
              <w:rPr>
                <w:rFonts w:ascii="Arial" w:hAnsi="Arial"/>
                <w:lang w:val="en-CA"/>
              </w:rPr>
              <w:t>Each jurisdiction in which purchasers reside</w:t>
            </w:r>
          </w:p>
        </w:tc>
        <w:tc>
          <w:tcPr>
            <w:tcW w:w="1701" w:type="dxa"/>
          </w:tcPr>
          <w:p w14:paraId="15E4EE3C" w14:textId="77777777" w:rsidR="00C536D3" w:rsidRPr="00C536D3" w:rsidRDefault="00BF6A2D" w:rsidP="00C536D3">
            <w:pPr>
              <w:pStyle w:val="BodyText"/>
              <w:rPr>
                <w:rFonts w:ascii="Arial" w:hAnsi="Arial"/>
                <w:lang w:val="en-CA"/>
              </w:rPr>
            </w:pPr>
            <w:r w:rsidRPr="00C536D3">
              <w:rPr>
                <w:rFonts w:ascii="Arial" w:hAnsi="Arial"/>
                <w:lang w:val="en-CA"/>
              </w:rPr>
              <w:t>Number of Purchasers</w:t>
            </w:r>
          </w:p>
        </w:tc>
        <w:tc>
          <w:tcPr>
            <w:tcW w:w="1829" w:type="dxa"/>
          </w:tcPr>
          <w:p w14:paraId="0A943BE2" w14:textId="77777777" w:rsidR="00C536D3" w:rsidRPr="00C536D3" w:rsidRDefault="00BF6A2D" w:rsidP="00C536D3">
            <w:pPr>
              <w:pStyle w:val="BodyText"/>
              <w:rPr>
                <w:rFonts w:ascii="Arial" w:hAnsi="Arial"/>
                <w:lang w:val="en-CA"/>
              </w:rPr>
            </w:pPr>
            <w:r w:rsidRPr="00C536D3">
              <w:rPr>
                <w:rFonts w:ascii="Arial" w:hAnsi="Arial"/>
                <w:lang w:val="en-CA"/>
              </w:rPr>
              <w:t>Price per Security</w:t>
            </w:r>
          </w:p>
        </w:tc>
        <w:tc>
          <w:tcPr>
            <w:tcW w:w="2394" w:type="dxa"/>
          </w:tcPr>
          <w:p w14:paraId="73C9F689" w14:textId="77777777" w:rsidR="00C536D3" w:rsidRPr="00C536D3" w:rsidRDefault="00BF6A2D" w:rsidP="00C536D3">
            <w:pPr>
              <w:pStyle w:val="BodyText"/>
              <w:rPr>
                <w:rFonts w:ascii="Arial" w:hAnsi="Arial"/>
                <w:lang w:val="en-CA"/>
              </w:rPr>
            </w:pPr>
            <w:r w:rsidRPr="00C536D3">
              <w:rPr>
                <w:rFonts w:ascii="Arial" w:hAnsi="Arial"/>
                <w:lang w:val="en-CA"/>
              </w:rPr>
              <w:t>Total dollar value (CDN$) raised in the jurisdiction</w:t>
            </w:r>
          </w:p>
        </w:tc>
      </w:tr>
      <w:tr w:rsidR="00D7398F" w14:paraId="479995C8" w14:textId="77777777" w:rsidTr="00C15C51">
        <w:tc>
          <w:tcPr>
            <w:tcW w:w="3652" w:type="dxa"/>
          </w:tcPr>
          <w:p w14:paraId="7B6CD7BA" w14:textId="091D3B03" w:rsidR="00C536D3" w:rsidRPr="00C536D3" w:rsidRDefault="00C536D3" w:rsidP="00C536D3">
            <w:pPr>
              <w:pStyle w:val="BodyText"/>
              <w:rPr>
                <w:rFonts w:ascii="Arial" w:hAnsi="Arial"/>
                <w:lang w:val="en-CA"/>
              </w:rPr>
            </w:pPr>
          </w:p>
        </w:tc>
        <w:tc>
          <w:tcPr>
            <w:tcW w:w="1701" w:type="dxa"/>
          </w:tcPr>
          <w:p w14:paraId="199CE353" w14:textId="416D84DB" w:rsidR="00C536D3" w:rsidRPr="00C536D3" w:rsidRDefault="00C536D3" w:rsidP="00C536D3">
            <w:pPr>
              <w:pStyle w:val="BodyText"/>
              <w:rPr>
                <w:rFonts w:ascii="Arial" w:hAnsi="Arial"/>
                <w:lang w:val="en-CA"/>
              </w:rPr>
            </w:pPr>
          </w:p>
        </w:tc>
        <w:tc>
          <w:tcPr>
            <w:tcW w:w="1829" w:type="dxa"/>
          </w:tcPr>
          <w:p w14:paraId="32C9983B" w14:textId="218EAA31" w:rsidR="00C536D3" w:rsidRPr="00C536D3" w:rsidRDefault="00C536D3" w:rsidP="00C536D3">
            <w:pPr>
              <w:pStyle w:val="BodyText"/>
              <w:rPr>
                <w:rFonts w:ascii="Arial" w:hAnsi="Arial"/>
                <w:lang w:val="en-CA"/>
              </w:rPr>
            </w:pPr>
          </w:p>
        </w:tc>
        <w:tc>
          <w:tcPr>
            <w:tcW w:w="2394" w:type="dxa"/>
          </w:tcPr>
          <w:p w14:paraId="7AE1E84C" w14:textId="7923CB1A" w:rsidR="00C536D3" w:rsidRPr="00C536D3" w:rsidRDefault="00C536D3" w:rsidP="00C536D3">
            <w:pPr>
              <w:pStyle w:val="BodyText"/>
              <w:rPr>
                <w:rFonts w:ascii="Arial" w:hAnsi="Arial"/>
                <w:lang w:val="en-CA"/>
              </w:rPr>
            </w:pPr>
          </w:p>
        </w:tc>
      </w:tr>
      <w:tr w:rsidR="00D7398F" w14:paraId="795CC570" w14:textId="77777777" w:rsidTr="00C15C51">
        <w:tc>
          <w:tcPr>
            <w:tcW w:w="3652" w:type="dxa"/>
          </w:tcPr>
          <w:p w14:paraId="6A140254" w14:textId="096619BA" w:rsidR="00C536D3" w:rsidRPr="00C536D3" w:rsidRDefault="00C536D3" w:rsidP="00C536D3">
            <w:pPr>
              <w:pStyle w:val="BodyText"/>
              <w:rPr>
                <w:rFonts w:ascii="Arial" w:hAnsi="Arial"/>
                <w:lang w:val="en-CA"/>
              </w:rPr>
            </w:pPr>
          </w:p>
        </w:tc>
        <w:tc>
          <w:tcPr>
            <w:tcW w:w="1701" w:type="dxa"/>
          </w:tcPr>
          <w:p w14:paraId="1CAA4734" w14:textId="2CF5AFFD" w:rsidR="00C536D3" w:rsidRPr="00C536D3" w:rsidRDefault="00C536D3" w:rsidP="00C536D3">
            <w:pPr>
              <w:pStyle w:val="BodyText"/>
              <w:rPr>
                <w:rFonts w:ascii="Arial" w:hAnsi="Arial"/>
                <w:lang w:val="en-CA"/>
              </w:rPr>
            </w:pPr>
          </w:p>
        </w:tc>
        <w:tc>
          <w:tcPr>
            <w:tcW w:w="1829" w:type="dxa"/>
          </w:tcPr>
          <w:p w14:paraId="4B7A64F1" w14:textId="686D5852" w:rsidR="00C536D3" w:rsidRPr="00C536D3" w:rsidRDefault="00C536D3" w:rsidP="00C536D3">
            <w:pPr>
              <w:pStyle w:val="BodyText"/>
              <w:rPr>
                <w:rFonts w:ascii="Arial" w:hAnsi="Arial"/>
                <w:lang w:val="en-CA"/>
              </w:rPr>
            </w:pPr>
          </w:p>
        </w:tc>
        <w:tc>
          <w:tcPr>
            <w:tcW w:w="2394" w:type="dxa"/>
          </w:tcPr>
          <w:p w14:paraId="317F3D3B" w14:textId="45E232B5" w:rsidR="00C536D3" w:rsidRPr="00C536D3" w:rsidRDefault="00C536D3" w:rsidP="00C536D3">
            <w:pPr>
              <w:pStyle w:val="BodyText"/>
              <w:rPr>
                <w:rFonts w:ascii="Arial" w:hAnsi="Arial"/>
                <w:lang w:val="en-CA"/>
              </w:rPr>
            </w:pPr>
          </w:p>
        </w:tc>
      </w:tr>
      <w:tr w:rsidR="00D7398F" w14:paraId="596B31B5" w14:textId="77777777" w:rsidTr="00C15C51">
        <w:tc>
          <w:tcPr>
            <w:tcW w:w="3652" w:type="dxa"/>
          </w:tcPr>
          <w:p w14:paraId="770F650D" w14:textId="77777777" w:rsidR="00C536D3" w:rsidRPr="00C536D3" w:rsidRDefault="00BF6A2D" w:rsidP="00C536D3">
            <w:pPr>
              <w:pStyle w:val="BodyText"/>
              <w:rPr>
                <w:rFonts w:ascii="Arial" w:hAnsi="Arial"/>
                <w:lang w:val="en-CA"/>
              </w:rPr>
            </w:pPr>
            <w:r w:rsidRPr="00C536D3">
              <w:rPr>
                <w:rFonts w:ascii="Arial" w:hAnsi="Arial"/>
                <w:lang w:val="en-CA"/>
              </w:rPr>
              <w:t>Total number of purchasers:</w:t>
            </w:r>
          </w:p>
        </w:tc>
        <w:tc>
          <w:tcPr>
            <w:tcW w:w="1701" w:type="dxa"/>
          </w:tcPr>
          <w:p w14:paraId="24A49E3B" w14:textId="28ACD2BC" w:rsidR="00C536D3" w:rsidRPr="00C536D3" w:rsidRDefault="00C536D3" w:rsidP="00C536D3">
            <w:pPr>
              <w:pStyle w:val="BodyText"/>
              <w:rPr>
                <w:rFonts w:ascii="Arial" w:hAnsi="Arial"/>
                <w:lang w:val="en-CA"/>
              </w:rPr>
            </w:pPr>
          </w:p>
        </w:tc>
        <w:tc>
          <w:tcPr>
            <w:tcW w:w="1829" w:type="dxa"/>
          </w:tcPr>
          <w:p w14:paraId="5A5716AC" w14:textId="77777777" w:rsidR="00C536D3" w:rsidRPr="00C536D3" w:rsidRDefault="00C536D3" w:rsidP="00C536D3">
            <w:pPr>
              <w:pStyle w:val="BodyText"/>
              <w:rPr>
                <w:rFonts w:ascii="Arial" w:hAnsi="Arial"/>
                <w:lang w:val="en-CA"/>
              </w:rPr>
            </w:pPr>
          </w:p>
        </w:tc>
        <w:tc>
          <w:tcPr>
            <w:tcW w:w="2394" w:type="dxa"/>
          </w:tcPr>
          <w:p w14:paraId="5A0DAB23" w14:textId="77777777" w:rsidR="00C536D3" w:rsidRPr="00C536D3" w:rsidRDefault="00C536D3" w:rsidP="00C536D3">
            <w:pPr>
              <w:pStyle w:val="BodyText"/>
              <w:rPr>
                <w:rFonts w:ascii="Arial" w:hAnsi="Arial"/>
                <w:lang w:val="en-CA"/>
              </w:rPr>
            </w:pPr>
          </w:p>
        </w:tc>
      </w:tr>
      <w:tr w:rsidR="00D7398F" w14:paraId="4975D18F" w14:textId="77777777" w:rsidTr="00C15C51">
        <w:tc>
          <w:tcPr>
            <w:tcW w:w="7182" w:type="dxa"/>
            <w:gridSpan w:val="3"/>
          </w:tcPr>
          <w:p w14:paraId="005EDE59" w14:textId="77777777" w:rsidR="00C536D3" w:rsidRPr="00C536D3" w:rsidRDefault="00BF6A2D" w:rsidP="00C536D3">
            <w:pPr>
              <w:pStyle w:val="BodyText"/>
              <w:rPr>
                <w:rFonts w:ascii="Arial" w:hAnsi="Arial"/>
                <w:lang w:val="en-CA"/>
              </w:rPr>
            </w:pPr>
            <w:r w:rsidRPr="00C536D3">
              <w:rPr>
                <w:rFonts w:ascii="Arial" w:hAnsi="Arial"/>
                <w:lang w:val="en-CA"/>
              </w:rPr>
              <w:t>Total dollar value of distribution in all jurisdictions:</w:t>
            </w:r>
          </w:p>
        </w:tc>
        <w:tc>
          <w:tcPr>
            <w:tcW w:w="2394" w:type="dxa"/>
          </w:tcPr>
          <w:p w14:paraId="5284BDE5" w14:textId="1198819D" w:rsidR="00C536D3" w:rsidRPr="00C536D3" w:rsidRDefault="00C536D3" w:rsidP="00C536D3">
            <w:pPr>
              <w:pStyle w:val="BodyText"/>
              <w:rPr>
                <w:rFonts w:ascii="Arial" w:hAnsi="Arial"/>
                <w:lang w:val="en-CA"/>
              </w:rPr>
            </w:pPr>
          </w:p>
        </w:tc>
      </w:tr>
    </w:tbl>
    <w:p w14:paraId="25EE2FEF" w14:textId="77777777" w:rsidR="00C536D3" w:rsidRPr="00C536D3" w:rsidRDefault="00BF6A2D" w:rsidP="00C536D3">
      <w:pPr>
        <w:pStyle w:val="BodyText"/>
        <w:rPr>
          <w:rFonts w:ascii="Arial" w:hAnsi="Arial"/>
          <w:b/>
          <w:u w:val="single"/>
          <w:lang w:val="en-CA"/>
        </w:rPr>
      </w:pPr>
      <w:r w:rsidRPr="00C536D3">
        <w:rPr>
          <w:rFonts w:ascii="Arial" w:hAnsi="Arial"/>
          <w:b/>
          <w:u w:val="single"/>
          <w:lang w:val="en-CA"/>
        </w:rPr>
        <w:t>Table 1B – Related Persons</w:t>
      </w:r>
    </w:p>
    <w:p w14:paraId="3DB1B413" w14:textId="77777777" w:rsidR="00544BCF" w:rsidRDefault="00544BCF">
      <w:pPr>
        <w:pStyle w:val="BodyText"/>
        <w:spacing w:before="0" w:after="240"/>
        <w:rPr>
          <w:rFonts w:ascii="Arial" w:hAnsi="Arial"/>
          <w:b/>
          <w:lang w:val="en-CA"/>
        </w:rPr>
      </w:pPr>
    </w:p>
    <w:tbl>
      <w:tblPr>
        <w:tblW w:w="1065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394"/>
        <w:gridCol w:w="1376"/>
        <w:gridCol w:w="1192"/>
        <w:gridCol w:w="1376"/>
        <w:gridCol w:w="1376"/>
        <w:gridCol w:w="1551"/>
        <w:gridCol w:w="1170"/>
        <w:gridCol w:w="1221"/>
      </w:tblGrid>
      <w:tr w:rsidR="00D7398F" w14:paraId="133159F1" w14:textId="77777777" w:rsidTr="003D5B33">
        <w:trPr>
          <w:trHeight w:val="1965"/>
        </w:trPr>
        <w:tc>
          <w:tcPr>
            <w:tcW w:w="1394" w:type="dxa"/>
          </w:tcPr>
          <w:p w14:paraId="655604FB" w14:textId="77777777" w:rsidR="00EA4133" w:rsidRDefault="00EA4133">
            <w:pPr>
              <w:pStyle w:val="BodyText"/>
              <w:spacing w:before="0" w:line="280" w:lineRule="exact"/>
              <w:jc w:val="center"/>
              <w:rPr>
                <w:rFonts w:ascii="Arial" w:hAnsi="Arial"/>
                <w:b/>
                <w:sz w:val="20"/>
                <w:lang w:val="en-CA"/>
              </w:rPr>
            </w:pPr>
          </w:p>
          <w:p w14:paraId="300A0759" w14:textId="77777777" w:rsidR="00EA4133" w:rsidRDefault="00BF6A2D" w:rsidP="00C536D3">
            <w:pPr>
              <w:pStyle w:val="BodyText"/>
              <w:spacing w:before="0" w:line="280" w:lineRule="exact"/>
              <w:jc w:val="center"/>
              <w:rPr>
                <w:rFonts w:ascii="Arial" w:hAnsi="Arial"/>
                <w:b/>
                <w:sz w:val="20"/>
                <w:lang w:val="en-CA"/>
              </w:rPr>
            </w:pPr>
            <w:r>
              <w:rPr>
                <w:rFonts w:ascii="Arial" w:hAnsi="Arial"/>
                <w:b/>
                <w:sz w:val="20"/>
                <w:lang w:val="en-CA"/>
              </w:rPr>
              <w:t>Full Name &amp;</w:t>
            </w:r>
            <w:r w:rsidR="00C536D3">
              <w:rPr>
                <w:rFonts w:ascii="Arial" w:hAnsi="Arial"/>
                <w:b/>
                <w:sz w:val="20"/>
                <w:lang w:val="en-CA"/>
              </w:rPr>
              <w:t>Municipality of Residence</w:t>
            </w:r>
            <w:r>
              <w:rPr>
                <w:rFonts w:ascii="Arial" w:hAnsi="Arial"/>
                <w:b/>
                <w:sz w:val="20"/>
                <w:lang w:val="en-CA"/>
              </w:rPr>
              <w:t xml:space="preserve"> of Placee</w:t>
            </w:r>
          </w:p>
        </w:tc>
        <w:tc>
          <w:tcPr>
            <w:tcW w:w="1376" w:type="dxa"/>
          </w:tcPr>
          <w:p w14:paraId="0BC8A5F8" w14:textId="77777777" w:rsidR="00EA4133" w:rsidRDefault="00EA4133">
            <w:pPr>
              <w:pStyle w:val="BodyText"/>
              <w:spacing w:before="0" w:line="280" w:lineRule="exact"/>
              <w:jc w:val="center"/>
              <w:rPr>
                <w:rFonts w:ascii="Arial" w:hAnsi="Arial"/>
                <w:b/>
                <w:sz w:val="20"/>
                <w:lang w:val="en-CA"/>
              </w:rPr>
            </w:pPr>
          </w:p>
          <w:p w14:paraId="2B93DD42" w14:textId="77777777" w:rsidR="00EA4133" w:rsidRDefault="00BF6A2D">
            <w:pPr>
              <w:pStyle w:val="BodyText"/>
              <w:spacing w:before="0" w:line="280" w:lineRule="exact"/>
              <w:jc w:val="center"/>
              <w:rPr>
                <w:rFonts w:ascii="Arial" w:hAnsi="Arial"/>
                <w:b/>
                <w:sz w:val="20"/>
                <w:lang w:val="en-CA"/>
              </w:rPr>
            </w:pPr>
            <w:r>
              <w:rPr>
                <w:rFonts w:ascii="Arial" w:hAnsi="Arial"/>
                <w:b/>
                <w:sz w:val="20"/>
                <w:lang w:val="en-CA"/>
              </w:rPr>
              <w:t>Number of Securities Purchased or to be Purchased</w:t>
            </w:r>
          </w:p>
        </w:tc>
        <w:tc>
          <w:tcPr>
            <w:tcW w:w="1192" w:type="dxa"/>
          </w:tcPr>
          <w:p w14:paraId="629BEF5C" w14:textId="77777777" w:rsidR="00EA4133" w:rsidRDefault="00EA4133">
            <w:pPr>
              <w:pStyle w:val="BodyText"/>
              <w:spacing w:before="0" w:line="280" w:lineRule="exact"/>
              <w:jc w:val="center"/>
              <w:rPr>
                <w:rFonts w:ascii="Arial" w:hAnsi="Arial"/>
                <w:b/>
                <w:sz w:val="20"/>
                <w:lang w:val="en-CA"/>
              </w:rPr>
            </w:pPr>
          </w:p>
          <w:p w14:paraId="133A9A14" w14:textId="77777777" w:rsidR="00EA4133" w:rsidRDefault="00BF6A2D">
            <w:pPr>
              <w:pStyle w:val="BodyText"/>
              <w:spacing w:before="0" w:line="280" w:lineRule="exact"/>
              <w:jc w:val="center"/>
              <w:rPr>
                <w:rFonts w:ascii="Arial" w:hAnsi="Arial"/>
                <w:b/>
                <w:sz w:val="20"/>
                <w:lang w:val="en-CA"/>
              </w:rPr>
            </w:pPr>
            <w:r>
              <w:rPr>
                <w:rFonts w:ascii="Arial" w:hAnsi="Arial"/>
                <w:b/>
                <w:sz w:val="20"/>
                <w:lang w:val="en-CA"/>
              </w:rPr>
              <w:t>Purchase price per Security (CDN$)</w:t>
            </w:r>
          </w:p>
        </w:tc>
        <w:tc>
          <w:tcPr>
            <w:tcW w:w="1376" w:type="dxa"/>
          </w:tcPr>
          <w:p w14:paraId="4A35BC32" w14:textId="77777777" w:rsidR="00EA4133" w:rsidRDefault="00EA4133">
            <w:pPr>
              <w:pStyle w:val="BodyText"/>
              <w:spacing w:before="0" w:line="280" w:lineRule="exact"/>
              <w:jc w:val="center"/>
              <w:rPr>
                <w:rFonts w:ascii="Arial" w:hAnsi="Arial"/>
                <w:b/>
                <w:sz w:val="20"/>
                <w:lang w:val="en-CA"/>
              </w:rPr>
            </w:pPr>
          </w:p>
          <w:p w14:paraId="0A819638" w14:textId="77777777" w:rsidR="00EA4133" w:rsidRDefault="00BF6A2D">
            <w:pPr>
              <w:pStyle w:val="BodyText"/>
              <w:spacing w:before="0" w:line="280" w:lineRule="exact"/>
              <w:jc w:val="center"/>
              <w:rPr>
                <w:rFonts w:ascii="Arial" w:hAnsi="Arial"/>
                <w:b/>
                <w:sz w:val="20"/>
                <w:lang w:val="en-CA"/>
              </w:rPr>
            </w:pPr>
            <w:r>
              <w:rPr>
                <w:rFonts w:ascii="Arial" w:hAnsi="Arial"/>
                <w:b/>
                <w:sz w:val="20"/>
                <w:lang w:val="en-CA"/>
              </w:rPr>
              <w:t>Conversion</w:t>
            </w:r>
          </w:p>
          <w:p w14:paraId="286CA3D5" w14:textId="77777777" w:rsidR="00EA4133" w:rsidRDefault="00BF6A2D">
            <w:pPr>
              <w:pStyle w:val="BodyText"/>
              <w:spacing w:before="0" w:line="280" w:lineRule="exact"/>
              <w:jc w:val="center"/>
              <w:rPr>
                <w:rFonts w:ascii="Arial" w:hAnsi="Arial"/>
                <w:b/>
                <w:sz w:val="20"/>
                <w:lang w:val="en-CA"/>
              </w:rPr>
            </w:pPr>
            <w:r>
              <w:rPr>
                <w:rFonts w:ascii="Arial" w:hAnsi="Arial"/>
                <w:b/>
                <w:sz w:val="20"/>
                <w:lang w:val="en-CA"/>
              </w:rPr>
              <w:t>Price (if</w:t>
            </w:r>
          </w:p>
          <w:p w14:paraId="6AD5F2C6" w14:textId="77777777" w:rsidR="00EA4133" w:rsidRDefault="00BF6A2D">
            <w:pPr>
              <w:pStyle w:val="BodyText"/>
              <w:spacing w:before="0" w:line="280" w:lineRule="exact"/>
              <w:jc w:val="center"/>
              <w:rPr>
                <w:rFonts w:ascii="Arial" w:hAnsi="Arial"/>
                <w:b/>
                <w:sz w:val="20"/>
                <w:lang w:val="en-CA"/>
              </w:rPr>
            </w:pPr>
            <w:r>
              <w:rPr>
                <w:rFonts w:ascii="Arial" w:hAnsi="Arial"/>
                <w:b/>
                <w:sz w:val="20"/>
                <w:lang w:val="en-CA"/>
              </w:rPr>
              <w:t>Applicable)</w:t>
            </w:r>
          </w:p>
          <w:p w14:paraId="2CCF9250" w14:textId="77777777" w:rsidR="00C536D3" w:rsidRDefault="00BF6A2D">
            <w:pPr>
              <w:pStyle w:val="BodyText"/>
              <w:spacing w:before="0" w:line="280" w:lineRule="exact"/>
              <w:jc w:val="center"/>
              <w:rPr>
                <w:rFonts w:ascii="Arial" w:hAnsi="Arial"/>
                <w:b/>
                <w:sz w:val="20"/>
                <w:lang w:val="en-CA"/>
              </w:rPr>
            </w:pPr>
            <w:r>
              <w:rPr>
                <w:rFonts w:ascii="Arial" w:hAnsi="Arial"/>
                <w:b/>
                <w:sz w:val="20"/>
                <w:lang w:val="en-CA"/>
              </w:rPr>
              <w:t>(CDN$)</w:t>
            </w:r>
          </w:p>
        </w:tc>
        <w:tc>
          <w:tcPr>
            <w:tcW w:w="1376" w:type="dxa"/>
          </w:tcPr>
          <w:p w14:paraId="322CCE9F" w14:textId="77777777" w:rsidR="00EA4133" w:rsidRDefault="00EA4133">
            <w:pPr>
              <w:pStyle w:val="BodyText"/>
              <w:spacing w:before="0" w:line="280" w:lineRule="exact"/>
              <w:jc w:val="center"/>
              <w:rPr>
                <w:rFonts w:ascii="Arial" w:hAnsi="Arial"/>
                <w:b/>
                <w:sz w:val="20"/>
                <w:lang w:val="en-CA"/>
              </w:rPr>
            </w:pPr>
          </w:p>
          <w:p w14:paraId="7BFF6F24" w14:textId="77777777" w:rsidR="00EA4133" w:rsidRDefault="00BF6A2D">
            <w:pPr>
              <w:pStyle w:val="BodyText"/>
              <w:spacing w:before="0" w:line="280" w:lineRule="exact"/>
              <w:jc w:val="center"/>
              <w:rPr>
                <w:rFonts w:ascii="Arial" w:hAnsi="Arial"/>
                <w:b/>
                <w:sz w:val="20"/>
                <w:lang w:val="en-CA"/>
              </w:rPr>
            </w:pPr>
            <w:r>
              <w:rPr>
                <w:rFonts w:ascii="Arial" w:hAnsi="Arial"/>
                <w:b/>
                <w:sz w:val="20"/>
                <w:lang w:val="en-CA"/>
              </w:rPr>
              <w:t>Prospectus Exemption</w:t>
            </w:r>
          </w:p>
        </w:tc>
        <w:tc>
          <w:tcPr>
            <w:tcW w:w="1551" w:type="dxa"/>
          </w:tcPr>
          <w:p w14:paraId="1157BFED" w14:textId="77777777" w:rsidR="00C536D3" w:rsidRDefault="00C536D3" w:rsidP="00C536D3">
            <w:pPr>
              <w:pStyle w:val="BodyText"/>
              <w:spacing w:before="0" w:line="280" w:lineRule="exact"/>
              <w:jc w:val="center"/>
              <w:rPr>
                <w:rFonts w:ascii="Arial" w:hAnsi="Arial"/>
                <w:b/>
                <w:sz w:val="20"/>
              </w:rPr>
            </w:pPr>
          </w:p>
          <w:p w14:paraId="6E6AA6B6" w14:textId="6A2208C2" w:rsidR="00EA4133" w:rsidRDefault="00BF6A2D" w:rsidP="00C536D3">
            <w:pPr>
              <w:pStyle w:val="BodyText"/>
              <w:spacing w:before="0" w:line="280" w:lineRule="exact"/>
              <w:jc w:val="center"/>
              <w:rPr>
                <w:rFonts w:ascii="Arial" w:hAnsi="Arial"/>
                <w:b/>
                <w:sz w:val="20"/>
                <w:lang w:val="en-CA"/>
              </w:rPr>
            </w:pPr>
            <w:r>
              <w:rPr>
                <w:rFonts w:ascii="Arial" w:hAnsi="Arial"/>
                <w:b/>
                <w:sz w:val="20"/>
              </w:rPr>
              <w:t>Total</w:t>
            </w:r>
            <w:r w:rsidR="003D5B33">
              <w:rPr>
                <w:rFonts w:ascii="Arial" w:hAnsi="Arial"/>
                <w:b/>
                <w:sz w:val="20"/>
              </w:rPr>
              <w:t xml:space="preserve"> </w:t>
            </w:r>
            <w:r>
              <w:rPr>
                <w:rFonts w:ascii="Arial" w:hAnsi="Arial"/>
                <w:b/>
                <w:sz w:val="20"/>
              </w:rPr>
              <w:t>Securities</w:t>
            </w:r>
            <w:r w:rsidR="003D5B33">
              <w:rPr>
                <w:rFonts w:ascii="Arial" w:hAnsi="Arial"/>
                <w:b/>
                <w:sz w:val="20"/>
              </w:rPr>
              <w:t xml:space="preserve"> </w:t>
            </w:r>
            <w:r>
              <w:rPr>
                <w:rFonts w:ascii="Arial" w:hAnsi="Arial"/>
                <w:b/>
                <w:sz w:val="20"/>
              </w:rPr>
              <w:t>Previously Owned, Controlled or Directed</w:t>
            </w:r>
          </w:p>
        </w:tc>
        <w:tc>
          <w:tcPr>
            <w:tcW w:w="1170" w:type="dxa"/>
          </w:tcPr>
          <w:p w14:paraId="0C8A7620" w14:textId="77777777" w:rsidR="00EA4133" w:rsidRDefault="00EA4133">
            <w:pPr>
              <w:pStyle w:val="BodyText"/>
              <w:spacing w:before="0" w:line="280" w:lineRule="exact"/>
              <w:jc w:val="center"/>
              <w:rPr>
                <w:rFonts w:ascii="Arial" w:hAnsi="Arial"/>
                <w:b/>
                <w:sz w:val="20"/>
                <w:lang w:val="en-CA"/>
              </w:rPr>
            </w:pPr>
          </w:p>
          <w:p w14:paraId="36E27395" w14:textId="77777777" w:rsidR="00EA4133" w:rsidRDefault="00BF6A2D">
            <w:pPr>
              <w:pStyle w:val="BodyText"/>
              <w:spacing w:before="0" w:line="280" w:lineRule="exact"/>
              <w:jc w:val="center"/>
              <w:rPr>
                <w:rFonts w:ascii="Arial" w:hAnsi="Arial"/>
                <w:b/>
                <w:sz w:val="20"/>
                <w:lang w:val="en-CA"/>
              </w:rPr>
            </w:pPr>
            <w:r>
              <w:rPr>
                <w:rFonts w:ascii="Arial" w:hAnsi="Arial"/>
                <w:b/>
                <w:sz w:val="20"/>
                <w:lang w:val="en-CA"/>
              </w:rPr>
              <w:t>Payment Date</w:t>
            </w:r>
            <w:r>
              <w:rPr>
                <w:rFonts w:ascii="Arial" w:hAnsi="Arial"/>
                <w:b/>
                <w:sz w:val="16"/>
                <w:lang w:val="en-CA"/>
              </w:rPr>
              <w:t>(1)</w:t>
            </w:r>
          </w:p>
        </w:tc>
        <w:tc>
          <w:tcPr>
            <w:tcW w:w="1221" w:type="dxa"/>
          </w:tcPr>
          <w:p w14:paraId="2878D952" w14:textId="77777777" w:rsidR="00EA4133" w:rsidRDefault="00EA4133">
            <w:pPr>
              <w:pStyle w:val="BodyText"/>
              <w:spacing w:before="0" w:line="280" w:lineRule="exact"/>
              <w:jc w:val="center"/>
              <w:rPr>
                <w:rFonts w:ascii="Arial" w:hAnsi="Arial"/>
                <w:b/>
                <w:color w:val="000000"/>
                <w:sz w:val="20"/>
                <w:lang w:val="en-CA"/>
              </w:rPr>
            </w:pPr>
          </w:p>
          <w:p w14:paraId="3F35EF7D" w14:textId="77777777" w:rsidR="00EA4133" w:rsidRDefault="00BF6A2D">
            <w:pPr>
              <w:pStyle w:val="BodyText"/>
              <w:spacing w:before="0" w:line="280" w:lineRule="exact"/>
              <w:jc w:val="center"/>
              <w:rPr>
                <w:rFonts w:ascii="Arial" w:hAnsi="Arial"/>
                <w:b/>
                <w:color w:val="000000"/>
                <w:sz w:val="20"/>
                <w:lang w:val="en-CA"/>
              </w:rPr>
            </w:pPr>
            <w:r>
              <w:rPr>
                <w:rFonts w:ascii="Arial" w:hAnsi="Arial"/>
                <w:b/>
                <w:color w:val="000000"/>
                <w:sz w:val="20"/>
                <w:lang w:val="en-CA"/>
              </w:rPr>
              <w:t>Describe relations</w:t>
            </w:r>
            <w:r w:rsidR="004A1403">
              <w:rPr>
                <w:rFonts w:ascii="Arial" w:hAnsi="Arial"/>
                <w:b/>
                <w:color w:val="000000"/>
                <w:sz w:val="20"/>
                <w:lang w:val="en-CA"/>
              </w:rPr>
              <w:t>-</w:t>
            </w:r>
            <w:r>
              <w:rPr>
                <w:rFonts w:ascii="Arial" w:hAnsi="Arial"/>
                <w:b/>
                <w:color w:val="000000"/>
                <w:sz w:val="20"/>
                <w:lang w:val="en-CA"/>
              </w:rPr>
              <w:t xml:space="preserve">hip to Issuer </w:t>
            </w:r>
            <w:r>
              <w:rPr>
                <w:rFonts w:ascii="Arial" w:hAnsi="Arial"/>
                <w:b/>
                <w:color w:val="000000"/>
                <w:sz w:val="16"/>
                <w:lang w:val="en-CA"/>
              </w:rPr>
              <w:t>(2)</w:t>
            </w:r>
          </w:p>
        </w:tc>
      </w:tr>
      <w:tr w:rsidR="007D60EB" w:rsidRPr="002B1035" w14:paraId="6E59FBF3" w14:textId="77777777" w:rsidTr="008E041A">
        <w:trPr>
          <w:trHeight w:val="269"/>
        </w:trPr>
        <w:tc>
          <w:tcPr>
            <w:tcW w:w="1394" w:type="dxa"/>
          </w:tcPr>
          <w:p w14:paraId="5559DF1C" w14:textId="60E412A9" w:rsidR="002B1035" w:rsidRPr="002B1035" w:rsidRDefault="002B1035">
            <w:pPr>
              <w:pStyle w:val="BodyText"/>
              <w:spacing w:before="0" w:line="280" w:lineRule="exact"/>
              <w:jc w:val="center"/>
              <w:rPr>
                <w:rFonts w:ascii="Arial" w:hAnsi="Arial"/>
                <w:bCs/>
                <w:sz w:val="20"/>
                <w:lang w:val="en-CA"/>
              </w:rPr>
            </w:pPr>
          </w:p>
        </w:tc>
        <w:tc>
          <w:tcPr>
            <w:tcW w:w="1376" w:type="dxa"/>
          </w:tcPr>
          <w:p w14:paraId="73D11E98" w14:textId="30A9BABF" w:rsidR="007D60EB" w:rsidRPr="002B1035" w:rsidRDefault="007D60EB">
            <w:pPr>
              <w:pStyle w:val="BodyText"/>
              <w:spacing w:before="0" w:line="280" w:lineRule="exact"/>
              <w:jc w:val="center"/>
              <w:rPr>
                <w:rFonts w:ascii="Arial" w:hAnsi="Arial"/>
                <w:bCs/>
                <w:sz w:val="20"/>
                <w:lang w:val="en-CA"/>
              </w:rPr>
            </w:pPr>
          </w:p>
        </w:tc>
        <w:tc>
          <w:tcPr>
            <w:tcW w:w="1192" w:type="dxa"/>
          </w:tcPr>
          <w:p w14:paraId="388F9CDD" w14:textId="7A6DFD5C" w:rsidR="007D60EB" w:rsidRPr="002B1035" w:rsidRDefault="007D60EB">
            <w:pPr>
              <w:pStyle w:val="BodyText"/>
              <w:spacing w:before="0" w:line="280" w:lineRule="exact"/>
              <w:jc w:val="center"/>
              <w:rPr>
                <w:rFonts w:ascii="Arial" w:hAnsi="Arial"/>
                <w:bCs/>
                <w:sz w:val="20"/>
                <w:lang w:val="en-CA"/>
              </w:rPr>
            </w:pPr>
          </w:p>
        </w:tc>
        <w:tc>
          <w:tcPr>
            <w:tcW w:w="1376" w:type="dxa"/>
          </w:tcPr>
          <w:p w14:paraId="788196A2" w14:textId="689DB9AA" w:rsidR="007D60EB" w:rsidRPr="002B1035" w:rsidRDefault="007D60EB">
            <w:pPr>
              <w:pStyle w:val="BodyText"/>
              <w:spacing w:before="0" w:line="280" w:lineRule="exact"/>
              <w:jc w:val="center"/>
              <w:rPr>
                <w:rFonts w:ascii="Arial" w:hAnsi="Arial"/>
                <w:bCs/>
                <w:sz w:val="20"/>
                <w:lang w:val="en-CA"/>
              </w:rPr>
            </w:pPr>
          </w:p>
        </w:tc>
        <w:tc>
          <w:tcPr>
            <w:tcW w:w="1376" w:type="dxa"/>
          </w:tcPr>
          <w:p w14:paraId="1E7CC894" w14:textId="05E8A9B8" w:rsidR="007D60EB" w:rsidRPr="002B1035" w:rsidRDefault="007D60EB">
            <w:pPr>
              <w:pStyle w:val="BodyText"/>
              <w:spacing w:before="0" w:line="280" w:lineRule="exact"/>
              <w:jc w:val="center"/>
              <w:rPr>
                <w:rFonts w:ascii="Arial" w:hAnsi="Arial"/>
                <w:bCs/>
                <w:sz w:val="20"/>
                <w:lang w:val="en-CA"/>
              </w:rPr>
            </w:pPr>
          </w:p>
        </w:tc>
        <w:tc>
          <w:tcPr>
            <w:tcW w:w="1551" w:type="dxa"/>
          </w:tcPr>
          <w:p w14:paraId="342795D5" w14:textId="49C3AE17" w:rsidR="007D60EB" w:rsidRPr="002B1035" w:rsidRDefault="007D60EB" w:rsidP="00C536D3">
            <w:pPr>
              <w:pStyle w:val="BodyText"/>
              <w:spacing w:before="0" w:line="280" w:lineRule="exact"/>
              <w:jc w:val="center"/>
              <w:rPr>
                <w:rFonts w:ascii="Arial" w:hAnsi="Arial"/>
                <w:bCs/>
                <w:sz w:val="20"/>
              </w:rPr>
            </w:pPr>
          </w:p>
        </w:tc>
        <w:tc>
          <w:tcPr>
            <w:tcW w:w="1170" w:type="dxa"/>
          </w:tcPr>
          <w:p w14:paraId="6DABCB77" w14:textId="72FA95AC" w:rsidR="007D60EB" w:rsidRPr="002B1035" w:rsidRDefault="007D60EB">
            <w:pPr>
              <w:pStyle w:val="BodyText"/>
              <w:spacing w:before="0" w:line="280" w:lineRule="exact"/>
              <w:jc w:val="center"/>
              <w:rPr>
                <w:rFonts w:ascii="Arial" w:hAnsi="Arial"/>
                <w:bCs/>
                <w:sz w:val="20"/>
                <w:lang w:val="en-CA"/>
              </w:rPr>
            </w:pPr>
          </w:p>
        </w:tc>
        <w:tc>
          <w:tcPr>
            <w:tcW w:w="1221" w:type="dxa"/>
          </w:tcPr>
          <w:p w14:paraId="72A9922F" w14:textId="124CE837" w:rsidR="007D60EB" w:rsidRPr="002B1035" w:rsidRDefault="007D60EB">
            <w:pPr>
              <w:pStyle w:val="BodyText"/>
              <w:spacing w:before="0" w:line="280" w:lineRule="exact"/>
              <w:jc w:val="center"/>
              <w:rPr>
                <w:rFonts w:ascii="Arial" w:hAnsi="Arial"/>
                <w:bCs/>
                <w:color w:val="000000"/>
                <w:sz w:val="20"/>
                <w:lang w:val="en-CA"/>
              </w:rPr>
            </w:pPr>
          </w:p>
        </w:tc>
      </w:tr>
      <w:tr w:rsidR="00147684" w:rsidRPr="002B1035" w14:paraId="4C61250E" w14:textId="77777777" w:rsidTr="008E041A">
        <w:trPr>
          <w:trHeight w:val="161"/>
        </w:trPr>
        <w:tc>
          <w:tcPr>
            <w:tcW w:w="1394" w:type="dxa"/>
          </w:tcPr>
          <w:p w14:paraId="14BA701D" w14:textId="7062473C" w:rsidR="00147684" w:rsidRPr="002B1035" w:rsidRDefault="00147684">
            <w:pPr>
              <w:pStyle w:val="BodyText"/>
              <w:spacing w:before="0" w:line="280" w:lineRule="exact"/>
              <w:jc w:val="center"/>
              <w:rPr>
                <w:rFonts w:ascii="Arial" w:hAnsi="Arial"/>
                <w:bCs/>
                <w:sz w:val="20"/>
                <w:lang w:val="en-CA"/>
              </w:rPr>
            </w:pPr>
          </w:p>
        </w:tc>
        <w:tc>
          <w:tcPr>
            <w:tcW w:w="1376" w:type="dxa"/>
          </w:tcPr>
          <w:p w14:paraId="4F6BC66D" w14:textId="0553C961" w:rsidR="00147684" w:rsidRDefault="00147684">
            <w:pPr>
              <w:pStyle w:val="BodyText"/>
              <w:spacing w:before="0" w:line="280" w:lineRule="exact"/>
              <w:jc w:val="center"/>
              <w:rPr>
                <w:rFonts w:ascii="Arial" w:hAnsi="Arial"/>
                <w:bCs/>
                <w:sz w:val="20"/>
                <w:lang w:val="en-CA"/>
              </w:rPr>
            </w:pPr>
          </w:p>
        </w:tc>
        <w:tc>
          <w:tcPr>
            <w:tcW w:w="1192" w:type="dxa"/>
          </w:tcPr>
          <w:p w14:paraId="74A81EC8" w14:textId="7A613606" w:rsidR="00147684" w:rsidRDefault="00147684">
            <w:pPr>
              <w:pStyle w:val="BodyText"/>
              <w:spacing w:before="0" w:line="280" w:lineRule="exact"/>
              <w:jc w:val="center"/>
              <w:rPr>
                <w:rFonts w:ascii="Arial" w:hAnsi="Arial"/>
                <w:bCs/>
                <w:sz w:val="20"/>
                <w:lang w:val="en-CA"/>
              </w:rPr>
            </w:pPr>
          </w:p>
        </w:tc>
        <w:tc>
          <w:tcPr>
            <w:tcW w:w="1376" w:type="dxa"/>
          </w:tcPr>
          <w:p w14:paraId="70B1E107" w14:textId="7E626F53" w:rsidR="00147684" w:rsidRDefault="00147684">
            <w:pPr>
              <w:pStyle w:val="BodyText"/>
              <w:spacing w:before="0" w:line="280" w:lineRule="exact"/>
              <w:jc w:val="center"/>
              <w:rPr>
                <w:rFonts w:ascii="Arial" w:hAnsi="Arial"/>
                <w:bCs/>
                <w:sz w:val="20"/>
                <w:lang w:val="en-CA"/>
              </w:rPr>
            </w:pPr>
          </w:p>
        </w:tc>
        <w:tc>
          <w:tcPr>
            <w:tcW w:w="1376" w:type="dxa"/>
          </w:tcPr>
          <w:p w14:paraId="7312CBD7" w14:textId="2155B9C4" w:rsidR="00147684" w:rsidRPr="00167F90" w:rsidRDefault="00147684">
            <w:pPr>
              <w:pStyle w:val="BodyText"/>
              <w:spacing w:before="0" w:line="280" w:lineRule="exact"/>
              <w:jc w:val="center"/>
              <w:rPr>
                <w:rFonts w:ascii="Arial" w:hAnsi="Arial"/>
                <w:bCs/>
                <w:sz w:val="20"/>
                <w:lang w:val="en-CA"/>
              </w:rPr>
            </w:pPr>
          </w:p>
        </w:tc>
        <w:tc>
          <w:tcPr>
            <w:tcW w:w="1551" w:type="dxa"/>
          </w:tcPr>
          <w:p w14:paraId="3322F283" w14:textId="70C45C5B" w:rsidR="00147684" w:rsidRDefault="00147684" w:rsidP="00C536D3">
            <w:pPr>
              <w:pStyle w:val="BodyText"/>
              <w:spacing w:before="0" w:line="280" w:lineRule="exact"/>
              <w:jc w:val="center"/>
              <w:rPr>
                <w:rFonts w:ascii="Arial" w:hAnsi="Arial"/>
                <w:bCs/>
                <w:sz w:val="20"/>
              </w:rPr>
            </w:pPr>
          </w:p>
        </w:tc>
        <w:tc>
          <w:tcPr>
            <w:tcW w:w="1170" w:type="dxa"/>
          </w:tcPr>
          <w:p w14:paraId="5EBE6BB9" w14:textId="38180C31" w:rsidR="00147684" w:rsidRDefault="00147684">
            <w:pPr>
              <w:pStyle w:val="BodyText"/>
              <w:spacing w:before="0" w:line="280" w:lineRule="exact"/>
              <w:jc w:val="center"/>
              <w:rPr>
                <w:rFonts w:ascii="Arial" w:hAnsi="Arial"/>
                <w:bCs/>
                <w:sz w:val="20"/>
                <w:lang w:val="en-CA"/>
              </w:rPr>
            </w:pPr>
          </w:p>
        </w:tc>
        <w:tc>
          <w:tcPr>
            <w:tcW w:w="1221" w:type="dxa"/>
          </w:tcPr>
          <w:p w14:paraId="4A3773C5" w14:textId="0D987478" w:rsidR="00147684" w:rsidRDefault="00147684">
            <w:pPr>
              <w:pStyle w:val="BodyText"/>
              <w:spacing w:before="0" w:line="280" w:lineRule="exact"/>
              <w:jc w:val="center"/>
              <w:rPr>
                <w:rFonts w:ascii="Arial" w:hAnsi="Arial"/>
                <w:bCs/>
                <w:color w:val="000000"/>
                <w:sz w:val="20"/>
                <w:lang w:val="en-CA"/>
              </w:rPr>
            </w:pPr>
          </w:p>
        </w:tc>
      </w:tr>
    </w:tbl>
    <w:p w14:paraId="3605331A" w14:textId="77777777" w:rsidR="00EA4133" w:rsidRPr="008003B9" w:rsidRDefault="00EA4133">
      <w:pPr>
        <w:pStyle w:val="BodyText"/>
        <w:rPr>
          <w:rFonts w:ascii="Arial" w:hAnsi="Arial" w:cs="Arial"/>
          <w:sz w:val="20"/>
        </w:rPr>
      </w:pPr>
    </w:p>
    <w:p w14:paraId="00863129" w14:textId="77777777" w:rsidR="00EA4133" w:rsidRPr="008003B9" w:rsidRDefault="00BF6A2D">
      <w:pPr>
        <w:pStyle w:val="FootnoteText"/>
        <w:rPr>
          <w:rFonts w:ascii="Arial" w:hAnsi="Arial" w:cs="Arial"/>
          <w:sz w:val="24"/>
          <w:szCs w:val="24"/>
        </w:rPr>
      </w:pPr>
      <w:r w:rsidRPr="008003B9">
        <w:rPr>
          <w:rFonts w:ascii="Arial" w:hAnsi="Arial" w:cs="Arial"/>
          <w:vertAlign w:val="superscript"/>
        </w:rPr>
        <w:t>1</w:t>
      </w:r>
      <w:r w:rsidRPr="008003B9">
        <w:rPr>
          <w:rFonts w:ascii="Arial" w:hAnsi="Arial" w:cs="Arial"/>
        </w:rPr>
        <w:t>An issuance of non-convertible debt does not have to be reported unless it is a significant transaction as defined in Policy 7, in which case it is to be reported on Form 10</w:t>
      </w:r>
      <w:r w:rsidRPr="008003B9">
        <w:rPr>
          <w:rFonts w:ascii="Arial" w:hAnsi="Arial" w:cs="Arial"/>
          <w:sz w:val="24"/>
          <w:szCs w:val="24"/>
        </w:rPr>
        <w:t>.</w:t>
      </w:r>
    </w:p>
    <w:p w14:paraId="371894AA" w14:textId="0C30BDEC" w:rsidR="00EA4133" w:rsidRDefault="00BF6A2D">
      <w:pPr>
        <w:pStyle w:val="List"/>
        <w:tabs>
          <w:tab w:val="left" w:pos="9162"/>
        </w:tabs>
        <w:rPr>
          <w:rFonts w:ascii="Arial" w:hAnsi="Arial"/>
        </w:rPr>
      </w:pPr>
      <w:r>
        <w:rPr>
          <w:rFonts w:ascii="Arial" w:hAnsi="Arial"/>
        </w:rPr>
        <w:t>1.</w:t>
      </w:r>
      <w:r>
        <w:rPr>
          <w:rFonts w:ascii="Arial" w:hAnsi="Arial"/>
        </w:rPr>
        <w:tab/>
        <w:t>Total amount of funds to be raised:</w:t>
      </w:r>
      <w:r w:rsidR="00BB6159">
        <w:rPr>
          <w:rFonts w:ascii="Arial" w:hAnsi="Arial"/>
        </w:rPr>
        <w:t xml:space="preserve"> </w:t>
      </w:r>
      <w:r w:rsidR="00BB6159" w:rsidRPr="00BB6159">
        <w:rPr>
          <w:rFonts w:ascii="Arial" w:hAnsi="Arial"/>
          <w:u w:val="single"/>
        </w:rPr>
        <w:t>N/A</w:t>
      </w:r>
      <w:r>
        <w:rPr>
          <w:rFonts w:ascii="Arial" w:hAnsi="Arial"/>
          <w:u w:val="single"/>
        </w:rPr>
        <w:tab/>
      </w:r>
      <w:r>
        <w:rPr>
          <w:rFonts w:ascii="Arial" w:hAnsi="Arial"/>
        </w:rPr>
        <w:t xml:space="preserve"> .</w:t>
      </w:r>
    </w:p>
    <w:p w14:paraId="450BFC06" w14:textId="50A4DE1D" w:rsidR="00EA4133" w:rsidRDefault="00BF6A2D">
      <w:pPr>
        <w:pStyle w:val="BodyText"/>
        <w:tabs>
          <w:tab w:val="left" w:pos="1080"/>
          <w:tab w:val="left" w:pos="9180"/>
        </w:tabs>
        <w:ind w:left="1080" w:hanging="1080"/>
        <w:rPr>
          <w:rFonts w:ascii="Arial" w:hAnsi="Arial"/>
        </w:rPr>
      </w:pPr>
      <w:r>
        <w:rPr>
          <w:rFonts w:ascii="Arial" w:hAnsi="Arial"/>
        </w:rPr>
        <w:t>2.</w:t>
      </w:r>
      <w:r>
        <w:rPr>
          <w:rFonts w:ascii="Arial" w:hAnsi="Arial"/>
        </w:rPr>
        <w:tab/>
        <w:t xml:space="preserve">Provide full details of the use of the proceeds.  The disclosure should be sufficiently complete to enable a reader to appreciate the significance of the transaction without reference to any other material.  </w:t>
      </w:r>
      <w:r w:rsidR="00367EF4">
        <w:rPr>
          <w:rFonts w:ascii="Arial" w:hAnsi="Arial"/>
          <w:u w:val="single"/>
        </w:rPr>
        <w:t>N/A</w:t>
      </w:r>
      <w:r w:rsidRPr="00FE265D">
        <w:rPr>
          <w:rFonts w:ascii="Arial" w:hAnsi="Arial"/>
          <w:u w:val="single"/>
        </w:rPr>
        <w:tab/>
      </w:r>
      <w:r>
        <w:rPr>
          <w:rFonts w:ascii="Arial" w:hAnsi="Arial"/>
        </w:rPr>
        <w:t xml:space="preserve"> .</w:t>
      </w:r>
    </w:p>
    <w:p w14:paraId="77D0554F" w14:textId="6648A87A" w:rsidR="00EA4133" w:rsidRDefault="00BF6A2D">
      <w:pPr>
        <w:pStyle w:val="BodyText"/>
        <w:numPr>
          <w:ilvl w:val="0"/>
          <w:numId w:val="10"/>
        </w:numPr>
        <w:tabs>
          <w:tab w:val="left" w:pos="9180"/>
        </w:tabs>
        <w:rPr>
          <w:rFonts w:ascii="Arial" w:hAnsi="Arial"/>
        </w:rPr>
      </w:pPr>
      <w:r>
        <w:rPr>
          <w:rFonts w:ascii="Arial" w:hAnsi="Arial"/>
        </w:rPr>
        <w:t xml:space="preserve">Provide particulars of any proceeds which are to be paid to Related Persons of the Issuer: </w:t>
      </w:r>
      <w:r w:rsidR="00367EF4">
        <w:rPr>
          <w:rFonts w:ascii="Arial" w:hAnsi="Arial"/>
          <w:u w:val="single"/>
        </w:rPr>
        <w:t>N/A</w:t>
      </w:r>
      <w:r w:rsidR="00FD5A28">
        <w:rPr>
          <w:rFonts w:ascii="Arial" w:hAnsi="Arial"/>
          <w:u w:val="single"/>
        </w:rPr>
        <w:t xml:space="preserve"> </w:t>
      </w:r>
      <w:r>
        <w:rPr>
          <w:rFonts w:ascii="Arial" w:hAnsi="Arial"/>
          <w:u w:val="single"/>
        </w:rPr>
        <w:tab/>
      </w:r>
      <w:r>
        <w:rPr>
          <w:rFonts w:ascii="Arial" w:hAnsi="Arial"/>
        </w:rPr>
        <w:tab/>
      </w:r>
      <w:r>
        <w:rPr>
          <w:rFonts w:ascii="Arial" w:hAnsi="Arial"/>
          <w:u w:val="single"/>
        </w:rPr>
        <w:tab/>
      </w:r>
      <w:r>
        <w:rPr>
          <w:rFonts w:ascii="Arial" w:hAnsi="Arial"/>
        </w:rPr>
        <w:t xml:space="preserve"> .</w:t>
      </w:r>
    </w:p>
    <w:p w14:paraId="0E659D75" w14:textId="7D26E961" w:rsidR="00EA4133" w:rsidRDefault="00BF6A2D">
      <w:pPr>
        <w:pStyle w:val="BodyText"/>
        <w:numPr>
          <w:ilvl w:val="0"/>
          <w:numId w:val="10"/>
        </w:numPr>
        <w:tabs>
          <w:tab w:val="left" w:pos="9180"/>
        </w:tabs>
        <w:rPr>
          <w:rFonts w:ascii="Arial" w:hAnsi="Arial"/>
        </w:rPr>
      </w:pPr>
      <w:r>
        <w:rPr>
          <w:rFonts w:ascii="Arial" w:hAnsi="Arial"/>
        </w:rPr>
        <w:t xml:space="preserve">If securities are issued in forgiveness of indebtedness, provide details </w:t>
      </w:r>
      <w:r w:rsidR="00CC2519">
        <w:rPr>
          <w:rFonts w:ascii="Arial" w:hAnsi="Arial"/>
        </w:rPr>
        <w:t xml:space="preserve">of the </w:t>
      </w:r>
      <w:r>
        <w:rPr>
          <w:rFonts w:ascii="Arial" w:hAnsi="Arial"/>
        </w:rPr>
        <w:t>debt agreement(s) or and the agreement to exchange the debt for securities.</w:t>
      </w:r>
      <w:r w:rsidR="00FD5A28">
        <w:rPr>
          <w:rFonts w:ascii="Arial" w:hAnsi="Arial"/>
        </w:rPr>
        <w:t xml:space="preserve"> </w:t>
      </w:r>
      <w:r w:rsidR="00BB6159">
        <w:rPr>
          <w:rFonts w:ascii="Arial" w:hAnsi="Arial"/>
          <w:u w:val="single"/>
          <w:lang w:val="en-CA"/>
        </w:rPr>
        <w:t>N/A</w:t>
      </w:r>
      <w:r w:rsidR="00B8217A">
        <w:rPr>
          <w:rFonts w:ascii="Arial" w:hAnsi="Arial"/>
          <w:u w:val="single"/>
        </w:rPr>
        <w:t>.</w:t>
      </w:r>
    </w:p>
    <w:p w14:paraId="6B563864" w14:textId="77777777" w:rsidR="00EA4133" w:rsidRDefault="00BF6A2D">
      <w:pPr>
        <w:pStyle w:val="BodyText"/>
        <w:numPr>
          <w:ilvl w:val="0"/>
          <w:numId w:val="10"/>
        </w:numPr>
        <w:tabs>
          <w:tab w:val="left" w:pos="9180"/>
        </w:tabs>
        <w:rPr>
          <w:rFonts w:ascii="Arial" w:hAnsi="Arial"/>
        </w:rPr>
      </w:pPr>
      <w:r>
        <w:rPr>
          <w:rFonts w:ascii="Arial" w:hAnsi="Arial"/>
        </w:rPr>
        <w:t>Description of securities to be issued:</w:t>
      </w:r>
    </w:p>
    <w:p w14:paraId="65BE3895" w14:textId="75B41894" w:rsidR="00EA4133" w:rsidRDefault="00BF6A2D">
      <w:pPr>
        <w:pStyle w:val="BodyText"/>
        <w:keepNext/>
        <w:keepLines/>
        <w:tabs>
          <w:tab w:val="left" w:pos="1080"/>
          <w:tab w:val="left" w:pos="1440"/>
          <w:tab w:val="left" w:pos="2160"/>
          <w:tab w:val="left" w:pos="9180"/>
        </w:tabs>
        <w:rPr>
          <w:rFonts w:ascii="Arial" w:hAnsi="Arial"/>
        </w:rPr>
      </w:pPr>
      <w:r>
        <w:rPr>
          <w:rFonts w:ascii="Arial" w:hAnsi="Arial"/>
        </w:rPr>
        <w:lastRenderedPageBreak/>
        <w:tab/>
        <w:t>(a)</w:t>
      </w:r>
      <w:r>
        <w:rPr>
          <w:rFonts w:ascii="Arial" w:hAnsi="Arial"/>
        </w:rPr>
        <w:tab/>
      </w:r>
      <w:r>
        <w:rPr>
          <w:rFonts w:ascii="Arial" w:hAnsi="Arial"/>
        </w:rPr>
        <w:tab/>
        <w:t xml:space="preserve">Class  </w:t>
      </w:r>
      <w:r w:rsidR="00BB6159">
        <w:rPr>
          <w:rFonts w:ascii="Arial" w:hAnsi="Arial"/>
          <w:u w:val="single"/>
        </w:rPr>
        <w:t>N/A</w:t>
      </w:r>
      <w:r w:rsidR="00BB6159">
        <w:rPr>
          <w:rFonts w:ascii="Arial" w:hAnsi="Arial"/>
          <w:u w:val="single"/>
        </w:rPr>
        <w:tab/>
      </w:r>
      <w:r>
        <w:rPr>
          <w:rFonts w:ascii="Arial" w:hAnsi="Arial"/>
        </w:rPr>
        <w:t xml:space="preserve"> .</w:t>
      </w:r>
    </w:p>
    <w:p w14:paraId="4D8D8777" w14:textId="04A52E08" w:rsidR="00EA4133" w:rsidRDefault="00BF6A2D">
      <w:pPr>
        <w:pStyle w:val="BodyText"/>
        <w:tabs>
          <w:tab w:val="left" w:pos="1080"/>
          <w:tab w:val="left" w:pos="1440"/>
          <w:tab w:val="left" w:pos="2160"/>
          <w:tab w:val="left" w:pos="9180"/>
        </w:tabs>
        <w:rPr>
          <w:rFonts w:ascii="Arial" w:hAnsi="Arial"/>
        </w:rPr>
      </w:pPr>
      <w:r>
        <w:rPr>
          <w:rFonts w:ascii="Arial" w:hAnsi="Arial"/>
        </w:rPr>
        <w:tab/>
        <w:t>(b)</w:t>
      </w:r>
      <w:r>
        <w:rPr>
          <w:rFonts w:ascii="Arial" w:hAnsi="Arial"/>
        </w:rPr>
        <w:tab/>
      </w:r>
      <w:r>
        <w:rPr>
          <w:rFonts w:ascii="Arial" w:hAnsi="Arial"/>
        </w:rPr>
        <w:tab/>
        <w:t xml:space="preserve">Number </w:t>
      </w:r>
      <w:r w:rsidR="00BB6159">
        <w:rPr>
          <w:rFonts w:ascii="Arial" w:hAnsi="Arial"/>
          <w:u w:val="single"/>
          <w:lang w:val="en-CA"/>
        </w:rPr>
        <w:t>N/A</w:t>
      </w:r>
      <w:r>
        <w:rPr>
          <w:rFonts w:ascii="Arial" w:hAnsi="Arial"/>
          <w:u w:val="single"/>
        </w:rPr>
        <w:tab/>
      </w:r>
      <w:r>
        <w:rPr>
          <w:rFonts w:ascii="Arial" w:hAnsi="Arial"/>
        </w:rPr>
        <w:t xml:space="preserve"> .</w:t>
      </w:r>
    </w:p>
    <w:p w14:paraId="4992CA2E" w14:textId="405771EC" w:rsidR="00EA4133" w:rsidRDefault="00BF6A2D" w:rsidP="00EC0A4A">
      <w:pPr>
        <w:pStyle w:val="BodyText"/>
        <w:tabs>
          <w:tab w:val="left" w:pos="1080"/>
          <w:tab w:val="left" w:pos="1440"/>
          <w:tab w:val="left" w:pos="2160"/>
          <w:tab w:val="left" w:pos="9180"/>
        </w:tabs>
        <w:ind w:left="2160" w:hanging="2160"/>
        <w:rPr>
          <w:rFonts w:ascii="Arial" w:hAnsi="Arial"/>
        </w:rPr>
      </w:pPr>
      <w:r>
        <w:rPr>
          <w:rFonts w:ascii="Arial" w:hAnsi="Arial"/>
        </w:rPr>
        <w:tab/>
        <w:t>(c)</w:t>
      </w:r>
      <w:r>
        <w:rPr>
          <w:rFonts w:ascii="Arial" w:hAnsi="Arial"/>
        </w:rPr>
        <w:tab/>
      </w:r>
      <w:r>
        <w:rPr>
          <w:rFonts w:ascii="Arial" w:hAnsi="Arial"/>
        </w:rPr>
        <w:tab/>
        <w:t xml:space="preserve">Price per security </w:t>
      </w:r>
      <w:r w:rsidR="00BB6159">
        <w:rPr>
          <w:rFonts w:ascii="Arial" w:hAnsi="Arial"/>
          <w:u w:val="single"/>
        </w:rPr>
        <w:t>N/A</w:t>
      </w:r>
      <w:r>
        <w:rPr>
          <w:rFonts w:ascii="Arial" w:hAnsi="Arial"/>
          <w:u w:val="single"/>
        </w:rPr>
        <w:tab/>
      </w:r>
      <w:r>
        <w:rPr>
          <w:rFonts w:ascii="Arial" w:hAnsi="Arial"/>
        </w:rPr>
        <w:t xml:space="preserve"> .</w:t>
      </w:r>
    </w:p>
    <w:p w14:paraId="1F631A68" w14:textId="3DDB0575" w:rsidR="00EA4133" w:rsidRDefault="00BF6A2D">
      <w:pPr>
        <w:pStyle w:val="BodyText"/>
        <w:tabs>
          <w:tab w:val="left" w:pos="1080"/>
          <w:tab w:val="left" w:pos="1440"/>
          <w:tab w:val="left" w:pos="2160"/>
          <w:tab w:val="left" w:pos="9180"/>
        </w:tabs>
        <w:rPr>
          <w:rFonts w:ascii="Arial" w:hAnsi="Arial"/>
        </w:rPr>
      </w:pPr>
      <w:r>
        <w:rPr>
          <w:rFonts w:ascii="Arial" w:hAnsi="Arial"/>
        </w:rPr>
        <w:tab/>
        <w:t>(d)</w:t>
      </w:r>
      <w:r>
        <w:rPr>
          <w:rFonts w:ascii="Arial" w:hAnsi="Arial"/>
        </w:rPr>
        <w:tab/>
      </w:r>
      <w:r>
        <w:rPr>
          <w:rFonts w:ascii="Arial" w:hAnsi="Arial"/>
        </w:rPr>
        <w:tab/>
        <w:t xml:space="preserve">Voting rights </w:t>
      </w:r>
      <w:r w:rsidR="00BB6159">
        <w:rPr>
          <w:rFonts w:ascii="Arial" w:hAnsi="Arial"/>
          <w:u w:val="single"/>
        </w:rPr>
        <w:t>N/A</w:t>
      </w:r>
      <w:r>
        <w:rPr>
          <w:rFonts w:ascii="Arial" w:hAnsi="Arial"/>
          <w:u w:val="single"/>
        </w:rPr>
        <w:tab/>
      </w:r>
    </w:p>
    <w:p w14:paraId="37F8DD80" w14:textId="77777777" w:rsidR="00EA4133" w:rsidRDefault="00BF6A2D">
      <w:pPr>
        <w:pStyle w:val="BodyText"/>
        <w:numPr>
          <w:ilvl w:val="0"/>
          <w:numId w:val="10"/>
        </w:numPr>
        <w:tabs>
          <w:tab w:val="left" w:pos="1440"/>
          <w:tab w:val="left" w:pos="2160"/>
          <w:tab w:val="left" w:pos="9180"/>
        </w:tabs>
        <w:rPr>
          <w:rFonts w:ascii="Arial" w:hAnsi="Arial"/>
        </w:rPr>
      </w:pPr>
      <w:r>
        <w:rPr>
          <w:rFonts w:ascii="Arial" w:hAnsi="Arial"/>
        </w:rPr>
        <w:t xml:space="preserve">Provide the following information if </w:t>
      </w:r>
      <w:r w:rsidR="00C536D3">
        <w:rPr>
          <w:rFonts w:ascii="Arial" w:hAnsi="Arial"/>
        </w:rPr>
        <w:t>w</w:t>
      </w:r>
      <w:r>
        <w:rPr>
          <w:rFonts w:ascii="Arial" w:hAnsi="Arial"/>
        </w:rPr>
        <w:t>arrants, (options) or other convertible securities are to be issued:</w:t>
      </w:r>
    </w:p>
    <w:p w14:paraId="6156498B" w14:textId="19956A4D" w:rsidR="00EA4133" w:rsidRDefault="00BF6A2D">
      <w:pPr>
        <w:pStyle w:val="List"/>
        <w:tabs>
          <w:tab w:val="left" w:pos="1440"/>
          <w:tab w:val="left" w:pos="2160"/>
          <w:tab w:val="left" w:pos="9180"/>
        </w:tabs>
        <w:rPr>
          <w:rFonts w:ascii="Arial" w:hAnsi="Arial"/>
        </w:rPr>
      </w:pPr>
      <w:r>
        <w:rPr>
          <w:rFonts w:ascii="Arial" w:hAnsi="Arial"/>
        </w:rPr>
        <w:tab/>
        <w:t>(a)</w:t>
      </w:r>
      <w:r>
        <w:rPr>
          <w:rFonts w:ascii="Arial" w:hAnsi="Arial"/>
        </w:rPr>
        <w:tab/>
      </w:r>
      <w:r>
        <w:rPr>
          <w:rFonts w:ascii="Arial" w:hAnsi="Arial"/>
        </w:rPr>
        <w:tab/>
        <w:t xml:space="preserve">Number </w:t>
      </w:r>
      <w:r w:rsidR="00524C0F">
        <w:rPr>
          <w:rFonts w:ascii="Arial" w:hAnsi="Arial"/>
          <w:u w:val="single"/>
        </w:rPr>
        <w:t>N/A</w:t>
      </w:r>
      <w:r>
        <w:rPr>
          <w:rFonts w:ascii="Arial" w:hAnsi="Arial"/>
          <w:u w:val="single"/>
        </w:rPr>
        <w:tab/>
      </w:r>
      <w:r>
        <w:rPr>
          <w:rFonts w:ascii="Arial" w:hAnsi="Arial"/>
        </w:rPr>
        <w:t xml:space="preserve"> .</w:t>
      </w:r>
    </w:p>
    <w:p w14:paraId="465055BA" w14:textId="381749A4" w:rsidR="00EA4133" w:rsidRDefault="00BF6A2D">
      <w:pPr>
        <w:pStyle w:val="List"/>
        <w:numPr>
          <w:ilvl w:val="0"/>
          <w:numId w:val="11"/>
        </w:numPr>
        <w:tabs>
          <w:tab w:val="left" w:pos="1080"/>
          <w:tab w:val="left" w:pos="1440"/>
          <w:tab w:val="left" w:pos="9180"/>
        </w:tabs>
        <w:rPr>
          <w:rFonts w:ascii="Arial" w:hAnsi="Arial"/>
          <w:u w:val="single"/>
        </w:rPr>
      </w:pPr>
      <w:r>
        <w:rPr>
          <w:rFonts w:ascii="Arial" w:hAnsi="Arial"/>
        </w:rPr>
        <w:tab/>
        <w:t xml:space="preserve">Number of securities eligible to be purchased on exercise of </w:t>
      </w:r>
      <w:r w:rsidR="00C536D3">
        <w:rPr>
          <w:rFonts w:ascii="Arial" w:hAnsi="Arial"/>
        </w:rPr>
        <w:t>w</w:t>
      </w:r>
      <w:r>
        <w:rPr>
          <w:rFonts w:ascii="Arial" w:hAnsi="Arial"/>
        </w:rPr>
        <w:t xml:space="preserve">arrants (or options)  </w:t>
      </w:r>
      <w:r w:rsidR="00524C0F">
        <w:rPr>
          <w:rFonts w:ascii="Arial" w:hAnsi="Arial"/>
          <w:u w:val="single"/>
        </w:rPr>
        <w:t>N/A</w:t>
      </w:r>
      <w:r>
        <w:rPr>
          <w:rFonts w:ascii="Arial" w:hAnsi="Arial"/>
          <w:u w:val="single"/>
        </w:rPr>
        <w:tab/>
      </w:r>
    </w:p>
    <w:p w14:paraId="12F5A08E" w14:textId="77777777" w:rsidR="00EA4133" w:rsidRDefault="00BF6A2D">
      <w:pPr>
        <w:pStyle w:val="List"/>
        <w:tabs>
          <w:tab w:val="left" w:pos="1080"/>
          <w:tab w:val="left" w:pos="1440"/>
          <w:tab w:val="left" w:pos="2160"/>
          <w:tab w:val="left" w:pos="9180"/>
        </w:tabs>
        <w:ind w:left="0" w:firstLine="0"/>
        <w:rPr>
          <w:rFonts w:ascii="Arial" w:hAnsi="Arial"/>
        </w:rPr>
      </w:pPr>
      <w:r>
        <w:rPr>
          <w:rFonts w:ascii="Arial" w:hAnsi="Arial"/>
        </w:rPr>
        <w:tab/>
      </w:r>
      <w:r>
        <w:rPr>
          <w:rFonts w:ascii="Arial" w:hAnsi="Arial"/>
        </w:rPr>
        <w:tab/>
      </w:r>
      <w:r>
        <w:rPr>
          <w:rFonts w:ascii="Arial" w:hAnsi="Arial"/>
        </w:rPr>
        <w:tab/>
      </w:r>
      <w:r>
        <w:rPr>
          <w:rFonts w:ascii="Arial" w:hAnsi="Arial"/>
          <w:u w:val="single"/>
        </w:rPr>
        <w:tab/>
      </w:r>
      <w:r>
        <w:rPr>
          <w:rFonts w:ascii="Arial" w:hAnsi="Arial"/>
        </w:rPr>
        <w:t xml:space="preserve"> .</w:t>
      </w:r>
    </w:p>
    <w:p w14:paraId="741D3535" w14:textId="77C9BE1A" w:rsidR="00EA4133" w:rsidRDefault="00BF6A2D">
      <w:pPr>
        <w:pStyle w:val="List"/>
        <w:tabs>
          <w:tab w:val="left" w:pos="1440"/>
          <w:tab w:val="left" w:pos="2160"/>
          <w:tab w:val="left" w:pos="9180"/>
        </w:tabs>
        <w:rPr>
          <w:rFonts w:ascii="Arial" w:hAnsi="Arial"/>
        </w:rPr>
      </w:pPr>
      <w:r>
        <w:rPr>
          <w:rFonts w:ascii="Arial" w:hAnsi="Arial"/>
        </w:rPr>
        <w:tab/>
        <w:t>(c)</w:t>
      </w:r>
      <w:r>
        <w:rPr>
          <w:rFonts w:ascii="Arial" w:hAnsi="Arial"/>
        </w:rPr>
        <w:tab/>
      </w:r>
      <w:r>
        <w:rPr>
          <w:rFonts w:ascii="Arial" w:hAnsi="Arial"/>
        </w:rPr>
        <w:tab/>
        <w:t>Exercise price</w:t>
      </w:r>
      <w:r w:rsidR="0091679F">
        <w:rPr>
          <w:rFonts w:ascii="Arial" w:hAnsi="Arial"/>
        </w:rPr>
        <w:t xml:space="preserve"> </w:t>
      </w:r>
      <w:r w:rsidR="00524C0F">
        <w:rPr>
          <w:rFonts w:ascii="Arial" w:hAnsi="Arial"/>
          <w:u w:val="single"/>
        </w:rPr>
        <w:t>N/A</w:t>
      </w:r>
      <w:r>
        <w:rPr>
          <w:rFonts w:ascii="Arial" w:hAnsi="Arial"/>
          <w:u w:val="single"/>
        </w:rPr>
        <w:tab/>
      </w:r>
      <w:r>
        <w:rPr>
          <w:rFonts w:ascii="Arial" w:hAnsi="Arial"/>
        </w:rPr>
        <w:t xml:space="preserve"> .</w:t>
      </w:r>
    </w:p>
    <w:p w14:paraId="1F8F395A" w14:textId="1C154DAC" w:rsidR="00EA4133" w:rsidRDefault="00BF6A2D">
      <w:pPr>
        <w:pStyle w:val="List"/>
        <w:tabs>
          <w:tab w:val="left" w:pos="1440"/>
          <w:tab w:val="left" w:pos="2160"/>
          <w:tab w:val="left" w:pos="3600"/>
          <w:tab w:val="left" w:pos="5040"/>
          <w:tab w:val="left" w:pos="7560"/>
          <w:tab w:val="left" w:pos="9180"/>
        </w:tabs>
        <w:rPr>
          <w:rFonts w:ascii="Arial" w:hAnsi="Arial"/>
        </w:rPr>
      </w:pPr>
      <w:r>
        <w:rPr>
          <w:rFonts w:ascii="Arial" w:hAnsi="Arial"/>
        </w:rPr>
        <w:tab/>
        <w:t xml:space="preserve">(d) </w:t>
      </w:r>
      <w:r>
        <w:rPr>
          <w:rFonts w:ascii="Arial" w:hAnsi="Arial"/>
        </w:rPr>
        <w:tab/>
        <w:t xml:space="preserve">Expiry date </w:t>
      </w:r>
      <w:r>
        <w:rPr>
          <w:rFonts w:ascii="Arial" w:hAnsi="Arial"/>
          <w:u w:val="single"/>
        </w:rPr>
        <w:tab/>
      </w:r>
      <w:r w:rsidR="00524C0F">
        <w:rPr>
          <w:rFonts w:ascii="Arial" w:hAnsi="Arial"/>
          <w:u w:val="single"/>
        </w:rPr>
        <w:t>N/A</w:t>
      </w:r>
      <w:r>
        <w:rPr>
          <w:rFonts w:ascii="Arial" w:hAnsi="Arial"/>
          <w:u w:val="single"/>
        </w:rPr>
        <w:tab/>
      </w:r>
      <w:r>
        <w:rPr>
          <w:rFonts w:ascii="Arial" w:hAnsi="Arial"/>
          <w:u w:val="single"/>
        </w:rPr>
        <w:tab/>
      </w:r>
      <w:r>
        <w:rPr>
          <w:rFonts w:ascii="Arial" w:hAnsi="Arial"/>
          <w:u w:val="single"/>
        </w:rPr>
        <w:tab/>
      </w:r>
      <w:r>
        <w:rPr>
          <w:rFonts w:ascii="Arial" w:hAnsi="Arial"/>
        </w:rPr>
        <w:t xml:space="preserve"> .</w:t>
      </w:r>
    </w:p>
    <w:p w14:paraId="5497F85A" w14:textId="77777777" w:rsidR="00EA4133" w:rsidRDefault="00BF6A2D">
      <w:pPr>
        <w:pStyle w:val="Heading2"/>
        <w:numPr>
          <w:ilvl w:val="0"/>
          <w:numId w:val="10"/>
        </w:numPr>
        <w:tabs>
          <w:tab w:val="left" w:pos="1440"/>
          <w:tab w:val="left" w:pos="2160"/>
        </w:tabs>
        <w:rPr>
          <w:b w:val="0"/>
          <w:sz w:val="24"/>
        </w:rPr>
      </w:pPr>
      <w:bookmarkStart w:id="0" w:name="_Toc370788682"/>
      <w:bookmarkStart w:id="1" w:name="_Toc398005538"/>
      <w:bookmarkStart w:id="2" w:name="_Toc412279955"/>
      <w:bookmarkStart w:id="3" w:name="_Toc419096451"/>
      <w:r>
        <w:rPr>
          <w:b w:val="0"/>
          <w:sz w:val="24"/>
        </w:rPr>
        <w:t>Provide the following information if debt securities are to be issued:</w:t>
      </w:r>
      <w:bookmarkEnd w:id="0"/>
      <w:bookmarkEnd w:id="1"/>
      <w:bookmarkEnd w:id="2"/>
      <w:bookmarkEnd w:id="3"/>
    </w:p>
    <w:p w14:paraId="651F798C" w14:textId="33391ADF" w:rsidR="00EA4133" w:rsidRDefault="00BF6A2D" w:rsidP="00EC0A4A">
      <w:pPr>
        <w:pStyle w:val="List"/>
        <w:rPr>
          <w:rFonts w:ascii="Arial" w:hAnsi="Arial"/>
        </w:rPr>
      </w:pPr>
      <w:r>
        <w:rPr>
          <w:rFonts w:ascii="Arial" w:hAnsi="Arial"/>
        </w:rPr>
        <w:tab/>
        <w:t>(a)</w:t>
      </w:r>
      <w:r>
        <w:rPr>
          <w:rFonts w:ascii="Arial" w:hAnsi="Arial"/>
        </w:rPr>
        <w:tab/>
      </w:r>
      <w:r>
        <w:rPr>
          <w:rFonts w:ascii="Arial" w:hAnsi="Arial"/>
        </w:rPr>
        <w:tab/>
        <w:t xml:space="preserve">Aggregate principal amount </w:t>
      </w:r>
      <w:r w:rsidR="00EE3681">
        <w:rPr>
          <w:rFonts w:ascii="Arial" w:hAnsi="Arial"/>
          <w:u w:val="single"/>
        </w:rPr>
        <w:t>N/A</w:t>
      </w:r>
      <w:r>
        <w:rPr>
          <w:rFonts w:ascii="Arial" w:hAnsi="Arial"/>
        </w:rPr>
        <w:t>.</w:t>
      </w:r>
    </w:p>
    <w:p w14:paraId="0386DC6F" w14:textId="1512CE7D" w:rsidR="00EA4133" w:rsidRDefault="00BF6A2D">
      <w:pPr>
        <w:pStyle w:val="List"/>
        <w:tabs>
          <w:tab w:val="left" w:pos="1440"/>
          <w:tab w:val="left" w:pos="2160"/>
          <w:tab w:val="left" w:pos="9180"/>
        </w:tabs>
        <w:rPr>
          <w:rFonts w:ascii="Arial" w:hAnsi="Arial"/>
        </w:rPr>
      </w:pPr>
      <w:r>
        <w:rPr>
          <w:rFonts w:ascii="Arial" w:hAnsi="Arial"/>
        </w:rPr>
        <w:tab/>
        <w:t xml:space="preserve">(b) </w:t>
      </w:r>
      <w:r>
        <w:rPr>
          <w:rFonts w:ascii="Arial" w:hAnsi="Arial"/>
        </w:rPr>
        <w:tab/>
        <w:t xml:space="preserve">Maturity date </w:t>
      </w:r>
      <w:r w:rsidR="00EE3681">
        <w:rPr>
          <w:rFonts w:ascii="Arial" w:hAnsi="Arial"/>
          <w:u w:val="single"/>
        </w:rPr>
        <w:t>N/A</w:t>
      </w:r>
      <w:r w:rsidR="003C71D9">
        <w:rPr>
          <w:rFonts w:ascii="Arial" w:hAnsi="Arial"/>
          <w:u w:val="single"/>
        </w:rPr>
        <w:t>.</w:t>
      </w:r>
      <w:r>
        <w:rPr>
          <w:rFonts w:ascii="Arial" w:hAnsi="Arial"/>
          <w:u w:val="single"/>
        </w:rPr>
        <w:tab/>
      </w:r>
      <w:r>
        <w:rPr>
          <w:rFonts w:ascii="Arial" w:hAnsi="Arial"/>
        </w:rPr>
        <w:t xml:space="preserve"> .</w:t>
      </w:r>
    </w:p>
    <w:p w14:paraId="67C3495E" w14:textId="624443AF" w:rsidR="00EA4133" w:rsidRDefault="00BF6A2D" w:rsidP="00EC0A4A">
      <w:pPr>
        <w:pStyle w:val="BodyText"/>
        <w:tabs>
          <w:tab w:val="left" w:pos="1080"/>
          <w:tab w:val="left" w:pos="1440"/>
          <w:tab w:val="left" w:pos="2160"/>
          <w:tab w:val="left" w:pos="9180"/>
        </w:tabs>
        <w:ind w:left="2160" w:hanging="2160"/>
        <w:rPr>
          <w:rFonts w:ascii="Arial" w:hAnsi="Arial"/>
        </w:rPr>
      </w:pPr>
      <w:r>
        <w:rPr>
          <w:rFonts w:ascii="Arial" w:hAnsi="Arial"/>
        </w:rPr>
        <w:tab/>
        <w:t xml:space="preserve">(c) </w:t>
      </w:r>
      <w:r>
        <w:rPr>
          <w:rFonts w:ascii="Arial" w:hAnsi="Arial"/>
        </w:rPr>
        <w:tab/>
      </w:r>
      <w:r>
        <w:rPr>
          <w:rFonts w:ascii="Arial" w:hAnsi="Arial"/>
        </w:rPr>
        <w:tab/>
        <w:t xml:space="preserve">Interest rate </w:t>
      </w:r>
      <w:r w:rsidR="00E06C58">
        <w:rPr>
          <w:rFonts w:ascii="Arial" w:hAnsi="Arial"/>
          <w:u w:val="single"/>
        </w:rPr>
        <w:t>N/A</w:t>
      </w:r>
      <w:r w:rsidR="003C71D9" w:rsidRPr="003C71D9">
        <w:rPr>
          <w:rFonts w:ascii="Arial" w:hAnsi="Arial"/>
          <w:u w:val="single"/>
        </w:rPr>
        <w:t>.</w:t>
      </w:r>
    </w:p>
    <w:p w14:paraId="49E27A15" w14:textId="5E986D04" w:rsidR="00EA4133" w:rsidRDefault="00BF6A2D" w:rsidP="00EC0A4A">
      <w:pPr>
        <w:pStyle w:val="BodyText"/>
        <w:tabs>
          <w:tab w:val="left" w:pos="1080"/>
          <w:tab w:val="left" w:pos="1440"/>
          <w:tab w:val="left" w:pos="2160"/>
          <w:tab w:val="left" w:pos="9180"/>
        </w:tabs>
        <w:ind w:left="2160" w:hanging="2160"/>
        <w:rPr>
          <w:rFonts w:ascii="Arial" w:hAnsi="Arial"/>
        </w:rPr>
      </w:pPr>
      <w:r>
        <w:rPr>
          <w:rFonts w:ascii="Arial" w:hAnsi="Arial"/>
        </w:rPr>
        <w:tab/>
        <w:t xml:space="preserve">(d) </w:t>
      </w:r>
      <w:r>
        <w:rPr>
          <w:rFonts w:ascii="Arial" w:hAnsi="Arial"/>
        </w:rPr>
        <w:tab/>
        <w:t xml:space="preserve">Conversion terms </w:t>
      </w:r>
      <w:r w:rsidR="00E06C58">
        <w:rPr>
          <w:rFonts w:ascii="Arial" w:hAnsi="Arial"/>
          <w:u w:val="single"/>
        </w:rPr>
        <w:t>N/A</w:t>
      </w:r>
      <w:r w:rsidR="00D704DD" w:rsidRPr="00E13C33">
        <w:rPr>
          <w:rFonts w:ascii="Arial" w:hAnsi="Arial"/>
        </w:rPr>
        <w:t>.</w:t>
      </w:r>
    </w:p>
    <w:p w14:paraId="0D785116" w14:textId="7639468E" w:rsidR="00EA4133" w:rsidRPr="00E13C33" w:rsidRDefault="00BF6A2D">
      <w:pPr>
        <w:pStyle w:val="BodyText"/>
        <w:tabs>
          <w:tab w:val="left" w:pos="1080"/>
          <w:tab w:val="left" w:pos="1440"/>
          <w:tab w:val="left" w:pos="2160"/>
          <w:tab w:val="left" w:pos="9180"/>
        </w:tabs>
        <w:rPr>
          <w:rFonts w:ascii="Arial" w:hAnsi="Arial"/>
        </w:rPr>
      </w:pPr>
      <w:r>
        <w:rPr>
          <w:rFonts w:ascii="Arial" w:hAnsi="Arial"/>
        </w:rPr>
        <w:tab/>
        <w:t>(</w:t>
      </w:r>
      <w:r w:rsidRPr="00E13C33">
        <w:rPr>
          <w:rFonts w:ascii="Arial" w:hAnsi="Arial"/>
        </w:rPr>
        <w:t xml:space="preserve">e) </w:t>
      </w:r>
      <w:r w:rsidRPr="00E13C33">
        <w:rPr>
          <w:rFonts w:ascii="Arial" w:hAnsi="Arial"/>
        </w:rPr>
        <w:tab/>
        <w:t xml:space="preserve">Default provisions </w:t>
      </w:r>
      <w:r w:rsidR="00E06C58">
        <w:rPr>
          <w:rFonts w:ascii="Arial" w:hAnsi="Arial"/>
          <w:u w:val="single"/>
        </w:rPr>
        <w:t>N/A</w:t>
      </w:r>
      <w:r w:rsidR="00E13C33" w:rsidRPr="00E13C33">
        <w:rPr>
          <w:rFonts w:ascii="Arial" w:hAnsi="Arial"/>
          <w:u w:val="single"/>
        </w:rPr>
        <w:t>.</w:t>
      </w:r>
      <w:r w:rsidRPr="00E13C33">
        <w:rPr>
          <w:rFonts w:ascii="Arial" w:hAnsi="Arial"/>
          <w:u w:val="single"/>
        </w:rPr>
        <w:tab/>
      </w:r>
      <w:r w:rsidRPr="00E13C33">
        <w:rPr>
          <w:rFonts w:ascii="Arial" w:hAnsi="Arial"/>
        </w:rPr>
        <w:t xml:space="preserve"> .</w:t>
      </w:r>
    </w:p>
    <w:p w14:paraId="5BCB7A54" w14:textId="77777777" w:rsidR="00EA4133" w:rsidRDefault="00BF6A2D">
      <w:pPr>
        <w:pStyle w:val="List"/>
        <w:numPr>
          <w:ilvl w:val="0"/>
          <w:numId w:val="10"/>
        </w:numPr>
        <w:jc w:val="both"/>
        <w:rPr>
          <w:rFonts w:ascii="Arial" w:hAnsi="Arial"/>
        </w:rPr>
      </w:pPr>
      <w:r w:rsidRPr="00E13C33">
        <w:rPr>
          <w:rFonts w:ascii="Arial" w:hAnsi="Arial"/>
        </w:rPr>
        <w:t>Provide the following information</w:t>
      </w:r>
      <w:r>
        <w:rPr>
          <w:rFonts w:ascii="Arial" w:hAnsi="Arial"/>
        </w:rPr>
        <w:t xml:space="preserve"> for any agent’s fee, commission, bonus or finder’s fee, or other compensation paid or to be paid in connection with the placement (including warrants, options, etc.):</w:t>
      </w:r>
    </w:p>
    <w:p w14:paraId="2820D158" w14:textId="072FE0F8" w:rsidR="00EA4133" w:rsidRDefault="00BF6A2D">
      <w:pPr>
        <w:pStyle w:val="List"/>
        <w:tabs>
          <w:tab w:val="left" w:pos="2160"/>
          <w:tab w:val="left" w:pos="9180"/>
        </w:tabs>
        <w:ind w:left="2160"/>
        <w:jc w:val="both"/>
        <w:rPr>
          <w:rFonts w:ascii="Arial" w:hAnsi="Arial"/>
          <w:u w:val="single"/>
        </w:rPr>
      </w:pPr>
      <w:r>
        <w:rPr>
          <w:rFonts w:ascii="Arial" w:hAnsi="Arial"/>
        </w:rPr>
        <w:t>(a)</w:t>
      </w:r>
      <w:r>
        <w:rPr>
          <w:rFonts w:ascii="Arial" w:hAnsi="Arial"/>
        </w:rPr>
        <w:tab/>
        <w:t>Details of any dealer, agent, broker or other person receiving compensation in connection with the placement (name</w:t>
      </w:r>
      <w:r w:rsidR="00C536D3">
        <w:rPr>
          <w:rFonts w:ascii="Arial" w:hAnsi="Arial"/>
        </w:rPr>
        <w:t>, and i</w:t>
      </w:r>
      <w:r>
        <w:rPr>
          <w:rFonts w:ascii="Arial" w:hAnsi="Arial"/>
        </w:rPr>
        <w:t xml:space="preserve">f a corporation, identify persons owning or exercising voting control over 20% or more of the voting shares if known to the Issuer): </w:t>
      </w:r>
      <w:r w:rsidR="00524C0F">
        <w:rPr>
          <w:rFonts w:ascii="Arial" w:hAnsi="Arial"/>
          <w:u w:val="single"/>
        </w:rPr>
        <w:t>N/A</w:t>
      </w:r>
      <w:r>
        <w:rPr>
          <w:rFonts w:ascii="Arial" w:hAnsi="Arial"/>
          <w:u w:val="single"/>
        </w:rPr>
        <w:tab/>
      </w:r>
      <w:r>
        <w:rPr>
          <w:rFonts w:ascii="Arial" w:hAnsi="Arial"/>
        </w:rPr>
        <w:t xml:space="preserve"> .</w:t>
      </w:r>
    </w:p>
    <w:p w14:paraId="0E0BD4DE" w14:textId="318412F5" w:rsidR="00EA4133" w:rsidRDefault="00BF6A2D">
      <w:pPr>
        <w:pStyle w:val="List"/>
        <w:tabs>
          <w:tab w:val="left" w:pos="2160"/>
          <w:tab w:val="left" w:pos="9180"/>
        </w:tabs>
        <w:ind w:left="2160"/>
        <w:rPr>
          <w:rFonts w:ascii="Arial" w:hAnsi="Arial"/>
        </w:rPr>
      </w:pPr>
      <w:r>
        <w:rPr>
          <w:rFonts w:ascii="Arial" w:hAnsi="Arial"/>
        </w:rPr>
        <w:t>(b)</w:t>
      </w:r>
      <w:r>
        <w:rPr>
          <w:rFonts w:ascii="Arial" w:hAnsi="Arial"/>
        </w:rPr>
        <w:tab/>
        <w:t xml:space="preserve">Cash </w:t>
      </w:r>
      <w:r w:rsidR="00524C0F">
        <w:rPr>
          <w:rFonts w:ascii="Arial" w:hAnsi="Arial"/>
          <w:u w:val="single"/>
        </w:rPr>
        <w:t>N/A</w:t>
      </w:r>
      <w:r>
        <w:rPr>
          <w:rFonts w:ascii="Arial" w:hAnsi="Arial"/>
          <w:u w:val="single"/>
        </w:rPr>
        <w:tab/>
      </w:r>
      <w:r>
        <w:rPr>
          <w:rFonts w:ascii="Arial" w:hAnsi="Arial"/>
        </w:rPr>
        <w:t xml:space="preserve"> .</w:t>
      </w:r>
    </w:p>
    <w:p w14:paraId="76F20F74" w14:textId="5B950919" w:rsidR="00EA4133" w:rsidRDefault="00BF6A2D">
      <w:pPr>
        <w:pStyle w:val="List"/>
        <w:tabs>
          <w:tab w:val="left" w:pos="2160"/>
          <w:tab w:val="left" w:pos="9180"/>
        </w:tabs>
        <w:ind w:left="2160"/>
        <w:rPr>
          <w:rFonts w:ascii="Arial" w:hAnsi="Arial"/>
        </w:rPr>
      </w:pPr>
      <w:r>
        <w:rPr>
          <w:rFonts w:ascii="Arial" w:hAnsi="Arial"/>
        </w:rPr>
        <w:t>(c)</w:t>
      </w:r>
      <w:r>
        <w:rPr>
          <w:rFonts w:ascii="Arial" w:hAnsi="Arial"/>
        </w:rPr>
        <w:tab/>
        <w:t xml:space="preserve">Securities </w:t>
      </w:r>
      <w:r w:rsidR="00524C0F">
        <w:rPr>
          <w:rFonts w:ascii="Arial" w:hAnsi="Arial"/>
          <w:u w:val="single"/>
        </w:rPr>
        <w:t>N/A</w:t>
      </w:r>
      <w:r>
        <w:rPr>
          <w:rFonts w:ascii="Arial" w:hAnsi="Arial"/>
          <w:u w:val="single"/>
        </w:rPr>
        <w:tab/>
      </w:r>
      <w:r>
        <w:rPr>
          <w:rFonts w:ascii="Arial" w:hAnsi="Arial"/>
        </w:rPr>
        <w:t xml:space="preserve"> .</w:t>
      </w:r>
    </w:p>
    <w:p w14:paraId="3F47C7EE" w14:textId="1495D826" w:rsidR="00EA4133" w:rsidRDefault="00BF6A2D">
      <w:pPr>
        <w:pStyle w:val="List"/>
        <w:tabs>
          <w:tab w:val="left" w:pos="2160"/>
          <w:tab w:val="left" w:pos="9180"/>
        </w:tabs>
        <w:ind w:left="2160"/>
        <w:rPr>
          <w:rFonts w:ascii="Arial" w:hAnsi="Arial"/>
        </w:rPr>
      </w:pPr>
      <w:r>
        <w:rPr>
          <w:rFonts w:ascii="Arial" w:hAnsi="Arial"/>
        </w:rPr>
        <w:t>(d)</w:t>
      </w:r>
      <w:r>
        <w:rPr>
          <w:rFonts w:ascii="Arial" w:hAnsi="Arial"/>
        </w:rPr>
        <w:tab/>
        <w:t xml:space="preserve">Other </w:t>
      </w:r>
      <w:r w:rsidR="009E5514">
        <w:rPr>
          <w:rFonts w:ascii="Arial" w:hAnsi="Arial"/>
          <w:u w:val="single"/>
        </w:rPr>
        <w:t>N/A</w:t>
      </w:r>
      <w:r>
        <w:rPr>
          <w:rFonts w:ascii="Arial" w:hAnsi="Arial"/>
          <w:u w:val="single"/>
        </w:rPr>
        <w:tab/>
      </w:r>
      <w:r>
        <w:rPr>
          <w:rFonts w:ascii="Arial" w:hAnsi="Arial"/>
        </w:rPr>
        <w:t xml:space="preserve"> .</w:t>
      </w:r>
    </w:p>
    <w:p w14:paraId="3FCDD9CA" w14:textId="1E53DD4E" w:rsidR="00EA4133" w:rsidRDefault="00BF6A2D">
      <w:pPr>
        <w:pStyle w:val="List"/>
        <w:tabs>
          <w:tab w:val="left" w:pos="2160"/>
          <w:tab w:val="left" w:pos="9180"/>
        </w:tabs>
        <w:ind w:left="2160"/>
        <w:rPr>
          <w:rFonts w:ascii="Arial" w:hAnsi="Arial"/>
        </w:rPr>
      </w:pPr>
      <w:r>
        <w:rPr>
          <w:rFonts w:ascii="Arial" w:hAnsi="Arial"/>
        </w:rPr>
        <w:lastRenderedPageBreak/>
        <w:t>(e)</w:t>
      </w:r>
      <w:r>
        <w:rPr>
          <w:rFonts w:ascii="Arial" w:hAnsi="Arial"/>
        </w:rPr>
        <w:tab/>
        <w:t xml:space="preserve">Expiry date of any options, warrants etc. </w:t>
      </w:r>
      <w:r w:rsidR="00524C0F">
        <w:rPr>
          <w:rFonts w:ascii="Arial" w:hAnsi="Arial"/>
          <w:u w:val="single"/>
        </w:rPr>
        <w:t>N/A</w:t>
      </w:r>
      <w:r>
        <w:rPr>
          <w:rFonts w:ascii="Arial" w:hAnsi="Arial"/>
          <w:u w:val="single"/>
        </w:rPr>
        <w:tab/>
      </w:r>
      <w:r>
        <w:rPr>
          <w:rFonts w:ascii="Arial" w:hAnsi="Arial"/>
        </w:rPr>
        <w:t xml:space="preserve"> .</w:t>
      </w:r>
    </w:p>
    <w:p w14:paraId="5728FC8A" w14:textId="4A6616D5" w:rsidR="00EA4133" w:rsidRDefault="00BF6A2D">
      <w:pPr>
        <w:pStyle w:val="List"/>
        <w:tabs>
          <w:tab w:val="num" w:pos="1080"/>
          <w:tab w:val="left" w:pos="2160"/>
          <w:tab w:val="left" w:pos="9180"/>
        </w:tabs>
        <w:ind w:left="2160"/>
        <w:rPr>
          <w:rFonts w:ascii="Arial" w:hAnsi="Arial"/>
        </w:rPr>
      </w:pPr>
      <w:r>
        <w:rPr>
          <w:rFonts w:ascii="Arial" w:hAnsi="Arial"/>
        </w:rPr>
        <w:t>(f)</w:t>
      </w:r>
      <w:r>
        <w:rPr>
          <w:rFonts w:ascii="Arial" w:hAnsi="Arial"/>
        </w:rPr>
        <w:tab/>
        <w:t xml:space="preserve">Exercise price of any options, warrants etc. </w:t>
      </w:r>
      <w:r w:rsidR="00524C0F">
        <w:rPr>
          <w:rFonts w:ascii="Arial" w:hAnsi="Arial"/>
          <w:u w:val="single"/>
        </w:rPr>
        <w:t>N/A</w:t>
      </w:r>
      <w:r>
        <w:rPr>
          <w:rFonts w:ascii="Arial" w:hAnsi="Arial"/>
          <w:u w:val="single"/>
        </w:rPr>
        <w:tab/>
      </w:r>
      <w:r>
        <w:rPr>
          <w:rFonts w:ascii="Arial" w:hAnsi="Arial"/>
        </w:rPr>
        <w:t xml:space="preserve"> .</w:t>
      </w:r>
    </w:p>
    <w:p w14:paraId="5A6D1206" w14:textId="633FC628" w:rsidR="00EA4133" w:rsidRDefault="00BF6A2D">
      <w:pPr>
        <w:pStyle w:val="List"/>
        <w:numPr>
          <w:ilvl w:val="0"/>
          <w:numId w:val="10"/>
        </w:numPr>
        <w:tabs>
          <w:tab w:val="left" w:pos="9180"/>
        </w:tabs>
        <w:jc w:val="both"/>
        <w:rPr>
          <w:rFonts w:ascii="Arial" w:hAnsi="Arial"/>
        </w:rPr>
      </w:pPr>
      <w:r>
        <w:rPr>
          <w:rFonts w:ascii="Arial" w:hAnsi="Arial"/>
        </w:rPr>
        <w:t xml:space="preserve">State whether the sales agent, broker, dealer or other person receiving compensation in connection with the placement is Related Person or has any other relationship with the Issuer and provide details of the relationship </w:t>
      </w:r>
      <w:r w:rsidR="009E5514">
        <w:rPr>
          <w:rFonts w:ascii="Arial" w:hAnsi="Arial"/>
          <w:u w:val="single"/>
        </w:rPr>
        <w:t>N/A</w:t>
      </w:r>
      <w:r>
        <w:rPr>
          <w:rFonts w:ascii="Arial" w:hAnsi="Arial"/>
          <w:u w:val="single"/>
        </w:rPr>
        <w:tab/>
      </w:r>
    </w:p>
    <w:p w14:paraId="25594C7E" w14:textId="77777777" w:rsidR="00EA4133" w:rsidRDefault="00BF6A2D">
      <w:pPr>
        <w:pStyle w:val="List"/>
        <w:tabs>
          <w:tab w:val="left" w:pos="1080"/>
          <w:tab w:val="left" w:pos="9180"/>
        </w:tabs>
        <w:ind w:left="0" w:firstLine="0"/>
        <w:jc w:val="both"/>
        <w:rPr>
          <w:rFonts w:ascii="Arial" w:hAnsi="Arial"/>
        </w:rPr>
      </w:pPr>
      <w:r>
        <w:rPr>
          <w:rFonts w:ascii="Arial" w:hAnsi="Arial"/>
        </w:rPr>
        <w:tab/>
      </w:r>
      <w:r>
        <w:rPr>
          <w:rFonts w:ascii="Arial" w:hAnsi="Arial"/>
          <w:u w:val="single"/>
        </w:rPr>
        <w:tab/>
      </w:r>
      <w:r>
        <w:rPr>
          <w:rFonts w:ascii="Arial" w:hAnsi="Arial"/>
        </w:rPr>
        <w:t xml:space="preserve"> .</w:t>
      </w:r>
    </w:p>
    <w:p w14:paraId="1E640232" w14:textId="77777777" w:rsidR="00EA4133" w:rsidRDefault="00BF6A2D">
      <w:pPr>
        <w:pStyle w:val="List"/>
        <w:numPr>
          <w:ilvl w:val="0"/>
          <w:numId w:val="10"/>
        </w:numPr>
        <w:rPr>
          <w:rFonts w:ascii="Arial" w:hAnsi="Arial"/>
        </w:rPr>
      </w:pPr>
      <w:r>
        <w:rPr>
          <w:rFonts w:ascii="Arial" w:hAnsi="Arial"/>
        </w:rPr>
        <w:t>Describe any unusual particulars of the transaction (i.e. tax “flow through” shares, etc.).</w:t>
      </w:r>
    </w:p>
    <w:p w14:paraId="7DB4EC89" w14:textId="2311977D" w:rsidR="00EA4133" w:rsidRDefault="00727A1B" w:rsidP="001A4A42">
      <w:pPr>
        <w:pStyle w:val="List"/>
        <w:tabs>
          <w:tab w:val="left" w:pos="1080"/>
          <w:tab w:val="left" w:pos="9180"/>
        </w:tabs>
        <w:ind w:firstLine="0"/>
        <w:jc w:val="both"/>
        <w:rPr>
          <w:rFonts w:ascii="Arial" w:hAnsi="Arial"/>
        </w:rPr>
      </w:pPr>
      <w:r>
        <w:rPr>
          <w:rFonts w:ascii="Arial" w:hAnsi="Arial"/>
          <w:u w:val="single"/>
        </w:rPr>
        <w:t>N/A</w:t>
      </w:r>
      <w:r w:rsidR="00A3741C">
        <w:rPr>
          <w:rFonts w:ascii="Arial" w:hAnsi="Arial"/>
          <w:u w:val="single"/>
        </w:rPr>
        <w:t xml:space="preserve"> </w:t>
      </w:r>
      <w:r w:rsidR="00BF6A2D">
        <w:rPr>
          <w:rFonts w:ascii="Arial" w:hAnsi="Arial"/>
          <w:u w:val="single"/>
        </w:rPr>
        <w:tab/>
      </w:r>
      <w:r w:rsidR="00BF6A2D">
        <w:rPr>
          <w:rFonts w:ascii="Arial" w:hAnsi="Arial"/>
        </w:rPr>
        <w:t xml:space="preserve"> .</w:t>
      </w:r>
    </w:p>
    <w:p w14:paraId="20E342B3" w14:textId="2092C782" w:rsidR="00EA4133" w:rsidRDefault="00BF6A2D">
      <w:pPr>
        <w:pStyle w:val="List"/>
        <w:numPr>
          <w:ilvl w:val="0"/>
          <w:numId w:val="10"/>
        </w:numPr>
        <w:rPr>
          <w:rFonts w:ascii="Arial" w:hAnsi="Arial"/>
        </w:rPr>
      </w:pPr>
      <w:r>
        <w:rPr>
          <w:rFonts w:ascii="Arial" w:hAnsi="Arial"/>
        </w:rPr>
        <w:t>State whether the private placement will result in a change of control</w:t>
      </w:r>
      <w:r w:rsidR="00B90847">
        <w:rPr>
          <w:rFonts w:ascii="Arial" w:hAnsi="Arial"/>
        </w:rPr>
        <w:t xml:space="preserve"> or </w:t>
      </w:r>
      <w:r w:rsidR="002B1174">
        <w:rPr>
          <w:rFonts w:ascii="Arial" w:hAnsi="Arial"/>
        </w:rPr>
        <w:t xml:space="preserve">if </w:t>
      </w:r>
      <w:r w:rsidR="00B90847">
        <w:rPr>
          <w:rFonts w:ascii="Arial" w:hAnsi="Arial"/>
        </w:rPr>
        <w:t>the issuance will materially affect control of the Issuer</w:t>
      </w:r>
      <w:r>
        <w:rPr>
          <w:rFonts w:ascii="Arial" w:hAnsi="Arial"/>
        </w:rPr>
        <w:t>.</w:t>
      </w:r>
    </w:p>
    <w:p w14:paraId="49829B7A" w14:textId="4E8BB9E4" w:rsidR="00EA4133" w:rsidRDefault="00727A1B" w:rsidP="00A30F2B">
      <w:pPr>
        <w:pStyle w:val="List"/>
        <w:tabs>
          <w:tab w:val="left" w:pos="1080"/>
          <w:tab w:val="left" w:pos="9180"/>
        </w:tabs>
        <w:ind w:firstLine="0"/>
        <w:jc w:val="both"/>
        <w:rPr>
          <w:rFonts w:ascii="Arial" w:hAnsi="Arial"/>
        </w:rPr>
      </w:pPr>
      <w:r>
        <w:rPr>
          <w:rFonts w:ascii="Arial" w:hAnsi="Arial"/>
          <w:u w:val="single"/>
        </w:rPr>
        <w:t>N/A</w:t>
      </w:r>
      <w:r w:rsidR="00BF6A2D">
        <w:rPr>
          <w:rFonts w:ascii="Arial" w:hAnsi="Arial"/>
          <w:u w:val="single"/>
        </w:rPr>
        <w:tab/>
      </w:r>
      <w:r w:rsidR="00BF6A2D">
        <w:rPr>
          <w:rFonts w:ascii="Arial" w:hAnsi="Arial"/>
        </w:rPr>
        <w:t xml:space="preserve"> .</w:t>
      </w:r>
    </w:p>
    <w:p w14:paraId="329377FB" w14:textId="77777777" w:rsidR="00EA4133" w:rsidRDefault="00EA4133">
      <w:pPr>
        <w:pStyle w:val="List"/>
        <w:tabs>
          <w:tab w:val="left" w:pos="9180"/>
        </w:tabs>
        <w:spacing w:before="0"/>
        <w:jc w:val="both"/>
        <w:rPr>
          <w:rFonts w:ascii="Arial" w:hAnsi="Arial"/>
        </w:rPr>
      </w:pPr>
    </w:p>
    <w:p w14:paraId="5E6E97CC" w14:textId="01B643BB" w:rsidR="00EA4133" w:rsidRDefault="00BF6A2D">
      <w:pPr>
        <w:pStyle w:val="List"/>
        <w:numPr>
          <w:ilvl w:val="0"/>
          <w:numId w:val="10"/>
        </w:numPr>
        <w:tabs>
          <w:tab w:val="left" w:pos="9180"/>
        </w:tabs>
        <w:spacing w:before="0"/>
        <w:jc w:val="both"/>
        <w:rPr>
          <w:rFonts w:ascii="Arial" w:hAnsi="Arial"/>
          <w:u w:val="single"/>
        </w:rPr>
      </w:pPr>
      <w:r>
        <w:rPr>
          <w:rFonts w:ascii="Arial" w:hAnsi="Arial"/>
        </w:rPr>
        <w:t xml:space="preserve">Where there is a change in the control of the Issuer resulting from the issuance of the private placement shares, indicate the names of the new controlling shareholders.  </w:t>
      </w:r>
      <w:r w:rsidR="00A30F2B">
        <w:rPr>
          <w:rFonts w:ascii="Arial" w:hAnsi="Arial"/>
          <w:u w:val="single"/>
        </w:rPr>
        <w:t>N/A</w:t>
      </w:r>
      <w:r>
        <w:rPr>
          <w:rFonts w:ascii="Arial" w:hAnsi="Arial"/>
          <w:u w:val="single"/>
        </w:rPr>
        <w:tab/>
      </w:r>
    </w:p>
    <w:p w14:paraId="53C24F1D" w14:textId="77777777" w:rsidR="00EA4133" w:rsidRDefault="00BF6A2D">
      <w:pPr>
        <w:pStyle w:val="List"/>
        <w:tabs>
          <w:tab w:val="left" w:pos="1080"/>
          <w:tab w:val="left" w:pos="9180"/>
        </w:tabs>
        <w:spacing w:before="0"/>
        <w:ind w:left="0" w:firstLine="0"/>
        <w:jc w:val="both"/>
        <w:rPr>
          <w:rFonts w:ascii="Arial" w:hAnsi="Arial"/>
        </w:rPr>
      </w:pPr>
      <w:r>
        <w:rPr>
          <w:rFonts w:ascii="Arial" w:hAnsi="Arial"/>
        </w:rPr>
        <w:tab/>
      </w:r>
      <w:r>
        <w:rPr>
          <w:rFonts w:ascii="Arial" w:hAnsi="Arial"/>
          <w:u w:val="single"/>
        </w:rPr>
        <w:tab/>
      </w:r>
    </w:p>
    <w:p w14:paraId="6061FBDA" w14:textId="77777777" w:rsidR="00EA4133" w:rsidRDefault="00BF6A2D">
      <w:pPr>
        <w:pStyle w:val="List"/>
        <w:tabs>
          <w:tab w:val="left" w:pos="1080"/>
          <w:tab w:val="left" w:pos="9180"/>
        </w:tabs>
        <w:spacing w:before="0"/>
        <w:ind w:left="0" w:firstLine="0"/>
        <w:jc w:val="both"/>
        <w:rPr>
          <w:rFonts w:ascii="Arial" w:hAnsi="Arial"/>
        </w:rPr>
      </w:pPr>
      <w:r>
        <w:rPr>
          <w:rFonts w:ascii="Arial" w:hAnsi="Arial"/>
        </w:rPr>
        <w:tab/>
      </w:r>
      <w:r>
        <w:rPr>
          <w:rFonts w:ascii="Arial" w:hAnsi="Arial"/>
          <w:u w:val="single"/>
        </w:rPr>
        <w:tab/>
      </w:r>
      <w:r>
        <w:rPr>
          <w:rFonts w:ascii="Arial" w:hAnsi="Arial"/>
        </w:rPr>
        <w:t xml:space="preserve"> .</w:t>
      </w:r>
    </w:p>
    <w:p w14:paraId="2A07BEC0" w14:textId="77777777" w:rsidR="00EA4133" w:rsidRDefault="00BF6A2D">
      <w:pPr>
        <w:pStyle w:val="List"/>
        <w:tabs>
          <w:tab w:val="left" w:pos="1080"/>
          <w:tab w:val="left" w:pos="9180"/>
        </w:tabs>
        <w:spacing w:before="0"/>
        <w:ind w:left="0" w:firstLine="0"/>
        <w:jc w:val="both"/>
        <w:rPr>
          <w:rFonts w:ascii="Arial" w:hAnsi="Arial"/>
        </w:rPr>
      </w:pPr>
      <w:r>
        <w:rPr>
          <w:rFonts w:ascii="Arial" w:hAnsi="Arial"/>
        </w:rPr>
        <w:tab/>
      </w:r>
    </w:p>
    <w:p w14:paraId="062D9C74" w14:textId="77777777" w:rsidR="00EA4133" w:rsidRDefault="00BF6A2D">
      <w:pPr>
        <w:pStyle w:val="List"/>
        <w:numPr>
          <w:ilvl w:val="0"/>
          <w:numId w:val="10"/>
        </w:numPr>
        <w:jc w:val="both"/>
        <w:rPr>
          <w:rFonts w:ascii="Arial" w:hAnsi="Arial"/>
        </w:rPr>
      </w:pPr>
      <w:r>
        <w:rPr>
          <w:rFonts w:ascii="Arial" w:hAnsi="Arial"/>
        </w:rPr>
        <w:t xml:space="preserve">Each purchaser has been advised of the applicable securities legislation restricted or seasoning period.  All certificates for securities issued which are subject to a hold period bear the appropriate legend restricting their transfer until the expiry of the applicable hold period required by </w:t>
      </w:r>
      <w:r w:rsidR="0097763E">
        <w:rPr>
          <w:rFonts w:ascii="Arial" w:hAnsi="Arial"/>
        </w:rPr>
        <w:t xml:space="preserve">National </w:t>
      </w:r>
      <w:r w:rsidR="00C536D3">
        <w:rPr>
          <w:rFonts w:ascii="Arial" w:hAnsi="Arial"/>
        </w:rPr>
        <w:t>Instrument 45-102 Resale of Securities</w:t>
      </w:r>
      <w:r>
        <w:rPr>
          <w:rFonts w:ascii="Arial" w:hAnsi="Arial"/>
        </w:rPr>
        <w:t>.</w:t>
      </w:r>
    </w:p>
    <w:p w14:paraId="1ED7B34F" w14:textId="77777777" w:rsidR="003C6D7E" w:rsidRDefault="00BF6A2D">
      <w:pPr>
        <w:rPr>
          <w:rFonts w:ascii="Arial" w:hAnsi="Arial"/>
          <w:b/>
          <w:color w:val="000000"/>
          <w:sz w:val="24"/>
          <w:lang w:val="en-GB"/>
        </w:rPr>
      </w:pPr>
      <w:r>
        <w:rPr>
          <w:rFonts w:ascii="Arial" w:hAnsi="Arial"/>
          <w:b/>
          <w:color w:val="000000"/>
        </w:rPr>
        <w:br w:type="page"/>
      </w:r>
    </w:p>
    <w:p w14:paraId="540694C5" w14:textId="77777777" w:rsidR="00EA4133" w:rsidRDefault="00BF6A2D">
      <w:pPr>
        <w:pStyle w:val="BodyText"/>
        <w:tabs>
          <w:tab w:val="left" w:pos="1080"/>
          <w:tab w:val="left" w:pos="4230"/>
        </w:tabs>
        <w:rPr>
          <w:rFonts w:ascii="Arial" w:hAnsi="Arial"/>
          <w:color w:val="000000"/>
        </w:rPr>
      </w:pPr>
      <w:r>
        <w:rPr>
          <w:rFonts w:ascii="Arial" w:hAnsi="Arial"/>
          <w:b/>
          <w:color w:val="000000"/>
        </w:rPr>
        <w:lastRenderedPageBreak/>
        <w:t>Part 2.</w:t>
      </w:r>
      <w:r>
        <w:rPr>
          <w:rFonts w:ascii="Arial" w:hAnsi="Arial"/>
          <w:b/>
          <w:color w:val="000000"/>
        </w:rPr>
        <w:tab/>
        <w:t>Acquisition</w:t>
      </w:r>
    </w:p>
    <w:p w14:paraId="1B8636D0" w14:textId="77777777" w:rsidR="00EA4133" w:rsidRDefault="00EA4133">
      <w:pPr>
        <w:pStyle w:val="List"/>
        <w:tabs>
          <w:tab w:val="left" w:pos="9180"/>
        </w:tabs>
        <w:spacing w:before="0"/>
        <w:ind w:left="0" w:firstLine="0"/>
        <w:jc w:val="both"/>
        <w:rPr>
          <w:rFonts w:ascii="Arial" w:hAnsi="Arial"/>
          <w:color w:val="000000"/>
        </w:rPr>
      </w:pPr>
    </w:p>
    <w:p w14:paraId="38D82356" w14:textId="77777777" w:rsidR="00743BA9" w:rsidRPr="00743BA9" w:rsidRDefault="00BF6A2D">
      <w:pPr>
        <w:pStyle w:val="List"/>
        <w:numPr>
          <w:ilvl w:val="0"/>
          <w:numId w:val="14"/>
        </w:numPr>
        <w:tabs>
          <w:tab w:val="clear" w:pos="360"/>
          <w:tab w:val="num" w:pos="1080"/>
          <w:tab w:val="left" w:pos="9180"/>
        </w:tabs>
        <w:spacing w:before="0"/>
        <w:ind w:left="1080" w:hanging="1080"/>
        <w:jc w:val="both"/>
        <w:rPr>
          <w:rFonts w:ascii="Arial" w:hAnsi="Arial"/>
          <w:color w:val="000000"/>
        </w:rPr>
      </w:pPr>
      <w:r>
        <w:rPr>
          <w:rFonts w:ascii="Arial" w:hAnsi="Arial"/>
          <w:color w:val="000000"/>
        </w:rPr>
        <w:t xml:space="preserve">Provide details of the assets to be acquired by the Issuer (including the location of the assets, if applicable).  The disclosure should be sufficiently complete to enable a reader to appreciate the significance of the transaction without reference to any other material:  </w:t>
      </w:r>
      <w:r w:rsidR="00376C91">
        <w:rPr>
          <w:rFonts w:ascii="Arial" w:hAnsi="Arial"/>
          <w:u w:val="single"/>
        </w:rPr>
        <w:t xml:space="preserve">The Issuer entered into </w:t>
      </w:r>
      <w:r w:rsidR="00404C75">
        <w:rPr>
          <w:rFonts w:ascii="Arial" w:hAnsi="Arial"/>
          <w:u w:val="single"/>
        </w:rPr>
        <w:t>a Brand Ambassador</w:t>
      </w:r>
      <w:r w:rsidR="00376C91">
        <w:rPr>
          <w:rFonts w:ascii="Arial" w:hAnsi="Arial"/>
          <w:u w:val="single"/>
        </w:rPr>
        <w:t xml:space="preserve"> Agreement dated effective</w:t>
      </w:r>
      <w:r w:rsidR="009A10B4">
        <w:rPr>
          <w:rFonts w:ascii="Arial" w:hAnsi="Arial"/>
          <w:u w:val="single"/>
        </w:rPr>
        <w:t xml:space="preserve"> May 15, 2026</w:t>
      </w:r>
      <w:r w:rsidR="002F5E07">
        <w:rPr>
          <w:rFonts w:ascii="Arial" w:hAnsi="Arial"/>
          <w:u w:val="single"/>
        </w:rPr>
        <w:t xml:space="preserve"> </w:t>
      </w:r>
      <w:r w:rsidR="00D9617A">
        <w:rPr>
          <w:rFonts w:ascii="Arial" w:hAnsi="Arial"/>
          <w:u w:val="single"/>
        </w:rPr>
        <w:t>(the “</w:t>
      </w:r>
      <w:r w:rsidR="009A10B4">
        <w:rPr>
          <w:rFonts w:ascii="Arial" w:hAnsi="Arial"/>
          <w:u w:val="single"/>
        </w:rPr>
        <w:t>JoeyBats</w:t>
      </w:r>
      <w:r w:rsidR="00D9617A">
        <w:rPr>
          <w:rFonts w:ascii="Arial" w:hAnsi="Arial"/>
          <w:u w:val="single"/>
        </w:rPr>
        <w:t xml:space="preserve"> Agreement”) </w:t>
      </w:r>
      <w:r w:rsidR="002F5E07">
        <w:rPr>
          <w:rFonts w:ascii="Arial" w:hAnsi="Arial"/>
          <w:u w:val="single"/>
        </w:rPr>
        <w:t xml:space="preserve">with </w:t>
      </w:r>
      <w:r w:rsidR="009A10B4">
        <w:rPr>
          <w:rFonts w:ascii="Arial" w:hAnsi="Arial"/>
          <w:u w:val="single"/>
        </w:rPr>
        <w:t>JoeyBats LLC</w:t>
      </w:r>
      <w:r w:rsidR="002F5E07">
        <w:rPr>
          <w:rFonts w:ascii="Arial" w:hAnsi="Arial"/>
          <w:u w:val="single"/>
        </w:rPr>
        <w:t xml:space="preserve"> (“</w:t>
      </w:r>
      <w:r w:rsidR="009A10B4">
        <w:rPr>
          <w:rFonts w:ascii="Arial" w:hAnsi="Arial"/>
          <w:u w:val="single"/>
        </w:rPr>
        <w:t>JoeyBats</w:t>
      </w:r>
      <w:r w:rsidR="002F5E07">
        <w:rPr>
          <w:rFonts w:ascii="Arial" w:hAnsi="Arial"/>
          <w:u w:val="single"/>
        </w:rPr>
        <w:t>”)</w:t>
      </w:r>
      <w:r w:rsidR="00D9617A">
        <w:rPr>
          <w:rFonts w:ascii="Arial" w:hAnsi="Arial"/>
          <w:u w:val="single"/>
        </w:rPr>
        <w:t xml:space="preserve">. Pursuant to the </w:t>
      </w:r>
      <w:r w:rsidR="009A10B4">
        <w:rPr>
          <w:rFonts w:ascii="Arial" w:hAnsi="Arial"/>
          <w:u w:val="single"/>
        </w:rPr>
        <w:t>JoeyBats</w:t>
      </w:r>
      <w:r w:rsidR="00D9617A">
        <w:rPr>
          <w:rFonts w:ascii="Arial" w:hAnsi="Arial"/>
          <w:u w:val="single"/>
        </w:rPr>
        <w:t xml:space="preserve"> Agreement, </w:t>
      </w:r>
      <w:r w:rsidR="009A10B4">
        <w:rPr>
          <w:rFonts w:ascii="Arial" w:hAnsi="Arial"/>
          <w:u w:val="single"/>
        </w:rPr>
        <w:t>JoeyBats will provide</w:t>
      </w:r>
      <w:r w:rsidR="00D9617A">
        <w:rPr>
          <w:rFonts w:ascii="Arial" w:hAnsi="Arial"/>
          <w:u w:val="single"/>
        </w:rPr>
        <w:t xml:space="preserve"> </w:t>
      </w:r>
      <w:r w:rsidR="009A10B4">
        <w:rPr>
          <w:rFonts w:ascii="Arial" w:hAnsi="Arial"/>
          <w:u w:val="single"/>
        </w:rPr>
        <w:t>brand ambassador</w:t>
      </w:r>
      <w:r w:rsidR="00F8387B">
        <w:rPr>
          <w:rFonts w:ascii="Arial" w:hAnsi="Arial"/>
          <w:u w:val="single"/>
        </w:rPr>
        <w:t xml:space="preserve"> services to the Issuer </w:t>
      </w:r>
      <w:r w:rsidR="007716EA">
        <w:rPr>
          <w:rFonts w:ascii="Arial" w:hAnsi="Arial"/>
          <w:u w:val="single"/>
        </w:rPr>
        <w:t xml:space="preserve">for a term of </w:t>
      </w:r>
      <w:r w:rsidR="009A10B4">
        <w:rPr>
          <w:rFonts w:ascii="Arial" w:hAnsi="Arial"/>
          <w:u w:val="single"/>
        </w:rPr>
        <w:t>two</w:t>
      </w:r>
      <w:r w:rsidR="007716EA">
        <w:rPr>
          <w:rFonts w:ascii="Arial" w:hAnsi="Arial"/>
          <w:u w:val="single"/>
        </w:rPr>
        <w:t xml:space="preserve"> (</w:t>
      </w:r>
      <w:r w:rsidR="009A10B4">
        <w:rPr>
          <w:rFonts w:ascii="Arial" w:hAnsi="Arial"/>
          <w:u w:val="single"/>
        </w:rPr>
        <w:t>2</w:t>
      </w:r>
      <w:r w:rsidR="007716EA">
        <w:rPr>
          <w:rFonts w:ascii="Arial" w:hAnsi="Arial"/>
          <w:u w:val="single"/>
        </w:rPr>
        <w:t>) year</w:t>
      </w:r>
      <w:r w:rsidR="009A10B4">
        <w:rPr>
          <w:rFonts w:ascii="Arial" w:hAnsi="Arial"/>
          <w:u w:val="single"/>
        </w:rPr>
        <w:t>s</w:t>
      </w:r>
      <w:r w:rsidR="007716EA">
        <w:rPr>
          <w:rFonts w:ascii="Arial" w:hAnsi="Arial"/>
          <w:u w:val="single"/>
        </w:rPr>
        <w:t xml:space="preserve">. In consideration for the services </w:t>
      </w:r>
      <w:r w:rsidR="009A10B4">
        <w:rPr>
          <w:rFonts w:ascii="Arial" w:hAnsi="Arial"/>
          <w:u w:val="single"/>
        </w:rPr>
        <w:t>to be provided</w:t>
      </w:r>
      <w:r w:rsidR="007716EA">
        <w:rPr>
          <w:rFonts w:ascii="Arial" w:hAnsi="Arial"/>
          <w:u w:val="single"/>
        </w:rPr>
        <w:t xml:space="preserve">, the Issuer will issue an aggregate of </w:t>
      </w:r>
      <w:r w:rsidR="009A10B4">
        <w:rPr>
          <w:rFonts w:ascii="Arial" w:hAnsi="Arial"/>
          <w:u w:val="single"/>
        </w:rPr>
        <w:t>1,5</w:t>
      </w:r>
      <w:r w:rsidR="007716EA">
        <w:rPr>
          <w:rFonts w:ascii="Arial" w:hAnsi="Arial"/>
          <w:u w:val="single"/>
        </w:rPr>
        <w:t xml:space="preserve">00,000 common shares to </w:t>
      </w:r>
      <w:r w:rsidR="009A10B4">
        <w:rPr>
          <w:rFonts w:ascii="Arial" w:hAnsi="Arial"/>
          <w:u w:val="single"/>
        </w:rPr>
        <w:t>JoeyBats</w:t>
      </w:r>
      <w:r w:rsidR="007716EA">
        <w:rPr>
          <w:rFonts w:ascii="Arial" w:hAnsi="Arial"/>
          <w:u w:val="single"/>
        </w:rPr>
        <w:t xml:space="preserve"> in accordance with the </w:t>
      </w:r>
      <w:r w:rsidR="00856E7F">
        <w:rPr>
          <w:rFonts w:ascii="Arial" w:hAnsi="Arial"/>
          <w:u w:val="single"/>
        </w:rPr>
        <w:t xml:space="preserve">following </w:t>
      </w:r>
      <w:r w:rsidR="007716EA">
        <w:rPr>
          <w:rFonts w:ascii="Arial" w:hAnsi="Arial"/>
          <w:u w:val="single"/>
        </w:rPr>
        <w:t xml:space="preserve">terms of the </w:t>
      </w:r>
      <w:r w:rsidR="00856E7F">
        <w:rPr>
          <w:rFonts w:ascii="Arial" w:hAnsi="Arial"/>
          <w:u w:val="single"/>
        </w:rPr>
        <w:t>JoeyBats</w:t>
      </w:r>
      <w:r w:rsidR="007716EA">
        <w:rPr>
          <w:rFonts w:ascii="Arial" w:hAnsi="Arial"/>
          <w:u w:val="single"/>
        </w:rPr>
        <w:t xml:space="preserve"> Agreement</w:t>
      </w:r>
      <w:r w:rsidR="00856E7F">
        <w:rPr>
          <w:rFonts w:ascii="Arial" w:hAnsi="Arial"/>
          <w:u w:val="single"/>
        </w:rPr>
        <w:t xml:space="preserve">: 500,000 common shares to be issued on signing of agreement and 250,000 common shares </w:t>
      </w:r>
      <w:r w:rsidR="009C0DEF">
        <w:rPr>
          <w:rFonts w:ascii="Arial" w:hAnsi="Arial"/>
          <w:u w:val="single"/>
        </w:rPr>
        <w:t>on the third, six, nine and twelve month anniversaries of the JoeyBats Agreement</w:t>
      </w:r>
      <w:r w:rsidR="00D82C70">
        <w:rPr>
          <w:rFonts w:ascii="Arial" w:hAnsi="Arial"/>
          <w:u w:val="single"/>
        </w:rPr>
        <w:t>.</w:t>
      </w:r>
    </w:p>
    <w:p w14:paraId="13FCB295" w14:textId="77777777" w:rsidR="00743BA9" w:rsidRDefault="00743BA9" w:rsidP="00743BA9">
      <w:pPr>
        <w:pStyle w:val="List"/>
        <w:tabs>
          <w:tab w:val="num" w:pos="1080"/>
          <w:tab w:val="left" w:pos="9180"/>
        </w:tabs>
        <w:spacing w:before="0"/>
        <w:ind w:firstLine="0"/>
        <w:jc w:val="both"/>
        <w:rPr>
          <w:rFonts w:ascii="Arial" w:hAnsi="Arial"/>
          <w:u w:val="single"/>
        </w:rPr>
      </w:pPr>
    </w:p>
    <w:p w14:paraId="06F19CF6" w14:textId="66DE589E" w:rsidR="00EA4133" w:rsidRDefault="00743BA9" w:rsidP="00743BA9">
      <w:pPr>
        <w:pStyle w:val="List"/>
        <w:tabs>
          <w:tab w:val="num" w:pos="1080"/>
          <w:tab w:val="left" w:pos="9180"/>
        </w:tabs>
        <w:spacing w:before="0"/>
        <w:ind w:firstLine="0"/>
        <w:jc w:val="both"/>
        <w:rPr>
          <w:rFonts w:ascii="Arial" w:hAnsi="Arial"/>
          <w:color w:val="000000"/>
        </w:rPr>
      </w:pPr>
      <w:r>
        <w:rPr>
          <w:rFonts w:ascii="Arial" w:hAnsi="Arial"/>
          <w:u w:val="single"/>
        </w:rPr>
        <w:t xml:space="preserve">The Issuer also entered into an Advisory Agreement dated June 1, 2026 (“McLeish Agreement”) with Bailey McLeish (“McLeish”). Pursuant to the McLeish Agreement, McLeish will provide event marketing services to the Issuer for a term of one (1) year.  In consideration for the services to be provided, the Issuer will issue an aggregate of 2,500,000 common shares to McLeish </w:t>
      </w:r>
      <w:r w:rsidR="003757C6">
        <w:rPr>
          <w:rFonts w:ascii="Arial" w:hAnsi="Arial"/>
          <w:u w:val="single"/>
        </w:rPr>
        <w:t>in accordance with the following terms of the McLeish Agreement:  625,000 common shares to be issued one the 1</w:t>
      </w:r>
      <w:r w:rsidR="003757C6" w:rsidRPr="003757C6">
        <w:rPr>
          <w:rFonts w:ascii="Arial" w:hAnsi="Arial"/>
          <w:u w:val="single"/>
          <w:vertAlign w:val="superscript"/>
        </w:rPr>
        <w:t>st</w:t>
      </w:r>
      <w:r w:rsidR="003757C6">
        <w:rPr>
          <w:rFonts w:ascii="Arial" w:hAnsi="Arial"/>
          <w:u w:val="single"/>
        </w:rPr>
        <w:t xml:space="preserve"> day of each quarterly period in which services will be provided.</w:t>
      </w:r>
      <w:r w:rsidR="00D82C70">
        <w:rPr>
          <w:rFonts w:ascii="Arial" w:hAnsi="Arial"/>
          <w:u w:val="single"/>
        </w:rPr>
        <w:t xml:space="preserve">  </w:t>
      </w:r>
      <w:r w:rsidR="00BF6A2D">
        <w:rPr>
          <w:rFonts w:ascii="Arial" w:hAnsi="Arial"/>
          <w:color w:val="000000"/>
          <w:u w:val="single"/>
        </w:rPr>
        <w:tab/>
      </w:r>
    </w:p>
    <w:p w14:paraId="7E1F4335" w14:textId="77777777" w:rsidR="00EA4133" w:rsidRDefault="00BF6A2D">
      <w:pPr>
        <w:pStyle w:val="List"/>
        <w:tabs>
          <w:tab w:val="left" w:pos="1080"/>
          <w:tab w:val="left" w:pos="9180"/>
        </w:tabs>
        <w:spacing w:before="0"/>
        <w:ind w:left="0" w:firstLine="0"/>
        <w:jc w:val="both"/>
        <w:rPr>
          <w:rFonts w:ascii="Arial" w:hAnsi="Arial"/>
          <w:color w:val="000000"/>
        </w:rPr>
      </w:pPr>
      <w:r>
        <w:rPr>
          <w:rFonts w:ascii="Arial" w:hAnsi="Arial"/>
          <w:color w:val="000000"/>
        </w:rPr>
        <w:tab/>
      </w:r>
      <w:r>
        <w:rPr>
          <w:rFonts w:ascii="Arial" w:hAnsi="Arial"/>
          <w:color w:val="000000"/>
          <w:u w:val="single"/>
        </w:rPr>
        <w:tab/>
      </w:r>
      <w:r>
        <w:rPr>
          <w:rFonts w:ascii="Arial" w:hAnsi="Arial"/>
          <w:color w:val="000000"/>
        </w:rPr>
        <w:t xml:space="preserve"> .</w:t>
      </w:r>
    </w:p>
    <w:p w14:paraId="10625127" w14:textId="78CE3C0E" w:rsidR="00EA4133" w:rsidRDefault="00BF6A2D">
      <w:pPr>
        <w:pStyle w:val="List"/>
        <w:numPr>
          <w:ilvl w:val="0"/>
          <w:numId w:val="14"/>
        </w:numPr>
        <w:tabs>
          <w:tab w:val="clear" w:pos="360"/>
          <w:tab w:val="num" w:pos="1080"/>
          <w:tab w:val="left" w:pos="9180"/>
        </w:tabs>
        <w:ind w:left="1080" w:hanging="1080"/>
        <w:jc w:val="both"/>
        <w:rPr>
          <w:rFonts w:ascii="Arial" w:hAnsi="Arial"/>
          <w:color w:val="000000"/>
          <w:u w:val="single"/>
        </w:rPr>
      </w:pPr>
      <w:r>
        <w:rPr>
          <w:rFonts w:ascii="Arial" w:hAnsi="Arial"/>
          <w:color w:val="000000"/>
        </w:rPr>
        <w:t xml:space="preserve">Provide details of the acquisition including the date, parties to and type of agreement (eg: sale, option, license etc.) and relationship to the Issuer.The disclosure should be sufficiently complete to enable a reader to appreciate the significance of the acquisition without reference to any other material: </w:t>
      </w:r>
      <w:r w:rsidR="00842C27">
        <w:rPr>
          <w:rFonts w:ascii="Arial" w:hAnsi="Arial"/>
          <w:u w:val="single"/>
        </w:rPr>
        <w:t>Both JoeyBats and McLeish are</w:t>
      </w:r>
      <w:r w:rsidR="00622C50">
        <w:rPr>
          <w:rFonts w:ascii="Arial" w:hAnsi="Arial"/>
          <w:u w:val="single"/>
        </w:rPr>
        <w:t xml:space="preserve"> arm’s length to the Issuer.</w:t>
      </w:r>
      <w:r>
        <w:rPr>
          <w:rFonts w:ascii="Arial" w:hAnsi="Arial"/>
          <w:color w:val="000000"/>
          <w:u w:val="single"/>
        </w:rPr>
        <w:tab/>
      </w:r>
    </w:p>
    <w:p w14:paraId="26CFF340" w14:textId="77777777" w:rsidR="00EA4133" w:rsidRDefault="00BF6A2D">
      <w:pPr>
        <w:pStyle w:val="List"/>
        <w:tabs>
          <w:tab w:val="left" w:pos="1080"/>
          <w:tab w:val="left" w:pos="9180"/>
        </w:tabs>
        <w:spacing w:before="0"/>
        <w:ind w:left="0" w:firstLine="0"/>
        <w:jc w:val="both"/>
        <w:rPr>
          <w:rFonts w:ascii="Arial" w:hAnsi="Arial"/>
          <w:color w:val="000000"/>
        </w:rPr>
      </w:pPr>
      <w:r>
        <w:rPr>
          <w:rFonts w:ascii="Arial" w:hAnsi="Arial"/>
          <w:color w:val="000000"/>
        </w:rPr>
        <w:tab/>
      </w:r>
      <w:r>
        <w:rPr>
          <w:rFonts w:ascii="Arial" w:hAnsi="Arial"/>
          <w:color w:val="000000"/>
          <w:u w:val="single"/>
        </w:rPr>
        <w:tab/>
      </w:r>
    </w:p>
    <w:p w14:paraId="12B3ACEE" w14:textId="77777777" w:rsidR="00EA4133" w:rsidRDefault="00BF6A2D">
      <w:pPr>
        <w:pStyle w:val="List"/>
        <w:numPr>
          <w:ilvl w:val="0"/>
          <w:numId w:val="16"/>
        </w:numPr>
        <w:jc w:val="both"/>
        <w:rPr>
          <w:rFonts w:ascii="Arial" w:hAnsi="Arial"/>
          <w:color w:val="000000"/>
        </w:rPr>
      </w:pPr>
      <w:r>
        <w:rPr>
          <w:rFonts w:ascii="Arial" w:hAnsi="Arial"/>
          <w:color w:val="000000"/>
        </w:rPr>
        <w:t>Provide the following information in relation to the total consideration for the acquisition (including details of all cash, securities or other consideration) and any required work commitments:</w:t>
      </w:r>
    </w:p>
    <w:p w14:paraId="11FDCF4D" w14:textId="49252BEB" w:rsidR="00EA4133" w:rsidRDefault="00BF6A2D">
      <w:pPr>
        <w:pStyle w:val="List"/>
        <w:numPr>
          <w:ilvl w:val="0"/>
          <w:numId w:val="13"/>
        </w:numPr>
        <w:tabs>
          <w:tab w:val="left" w:pos="9180"/>
        </w:tabs>
        <w:rPr>
          <w:rFonts w:ascii="Arial" w:hAnsi="Arial"/>
          <w:color w:val="000000"/>
        </w:rPr>
      </w:pPr>
      <w:r>
        <w:rPr>
          <w:rFonts w:ascii="Arial" w:hAnsi="Arial"/>
          <w:color w:val="000000"/>
        </w:rPr>
        <w:t xml:space="preserve">Total aggregate consideration in Canadian dollars: </w:t>
      </w:r>
      <w:r w:rsidR="00842C27">
        <w:rPr>
          <w:rFonts w:ascii="Arial" w:hAnsi="Arial"/>
          <w:u w:val="single"/>
        </w:rPr>
        <w:t>4,0</w:t>
      </w:r>
      <w:r w:rsidR="00622C50">
        <w:rPr>
          <w:rFonts w:ascii="Arial" w:hAnsi="Arial"/>
          <w:u w:val="single"/>
        </w:rPr>
        <w:t>00,000 common shares</w:t>
      </w:r>
      <w:r>
        <w:rPr>
          <w:rFonts w:ascii="Arial" w:hAnsi="Arial"/>
          <w:color w:val="000000"/>
          <w:u w:val="single"/>
        </w:rPr>
        <w:tab/>
      </w:r>
      <w:r>
        <w:rPr>
          <w:rFonts w:ascii="Arial" w:hAnsi="Arial"/>
          <w:color w:val="000000"/>
        </w:rPr>
        <w:t xml:space="preserve"> .</w:t>
      </w:r>
    </w:p>
    <w:p w14:paraId="51067039" w14:textId="461AEA43" w:rsidR="00EA4133" w:rsidRDefault="00BF6A2D">
      <w:pPr>
        <w:pStyle w:val="List"/>
        <w:numPr>
          <w:ilvl w:val="0"/>
          <w:numId w:val="13"/>
        </w:numPr>
        <w:tabs>
          <w:tab w:val="left" w:pos="2160"/>
          <w:tab w:val="left" w:pos="9180"/>
        </w:tabs>
        <w:rPr>
          <w:rFonts w:ascii="Arial" w:hAnsi="Arial"/>
          <w:color w:val="000000"/>
        </w:rPr>
      </w:pPr>
      <w:r>
        <w:rPr>
          <w:rFonts w:ascii="Arial" w:hAnsi="Arial"/>
          <w:color w:val="000000"/>
        </w:rPr>
        <w:t xml:space="preserve">Cash: </w:t>
      </w:r>
      <w:r w:rsidR="00A30F2B">
        <w:rPr>
          <w:rFonts w:ascii="Arial" w:hAnsi="Arial"/>
          <w:u w:val="single"/>
        </w:rPr>
        <w:t>N/A</w:t>
      </w:r>
      <w:r>
        <w:rPr>
          <w:rFonts w:ascii="Arial" w:hAnsi="Arial"/>
          <w:color w:val="000000"/>
          <w:u w:val="single"/>
        </w:rPr>
        <w:tab/>
      </w:r>
      <w:r>
        <w:rPr>
          <w:rFonts w:ascii="Arial" w:hAnsi="Arial"/>
          <w:color w:val="000000"/>
        </w:rPr>
        <w:t xml:space="preserve"> .</w:t>
      </w:r>
    </w:p>
    <w:p w14:paraId="7F0C1DD5" w14:textId="1199DEFD" w:rsidR="00EA4133" w:rsidRDefault="00BF6A2D">
      <w:pPr>
        <w:pStyle w:val="List"/>
        <w:numPr>
          <w:ilvl w:val="0"/>
          <w:numId w:val="13"/>
        </w:numPr>
        <w:tabs>
          <w:tab w:val="left" w:pos="2160"/>
          <w:tab w:val="left" w:pos="9180"/>
        </w:tabs>
        <w:rPr>
          <w:rFonts w:ascii="Arial" w:hAnsi="Arial"/>
          <w:color w:val="000000"/>
        </w:rPr>
      </w:pPr>
      <w:r>
        <w:rPr>
          <w:rFonts w:ascii="Arial" w:hAnsi="Arial"/>
          <w:color w:val="000000"/>
        </w:rPr>
        <w:t xml:space="preserve">Securities (including options, warrants etc.) and dollar value: </w:t>
      </w:r>
      <w:r w:rsidR="00A30F2B">
        <w:rPr>
          <w:rFonts w:ascii="Arial" w:hAnsi="Arial"/>
          <w:u w:val="single"/>
        </w:rPr>
        <w:t>N/A</w:t>
      </w:r>
      <w:r>
        <w:rPr>
          <w:rFonts w:ascii="Arial" w:hAnsi="Arial"/>
          <w:color w:val="000000"/>
          <w:u w:val="single"/>
        </w:rPr>
        <w:tab/>
      </w:r>
    </w:p>
    <w:p w14:paraId="0EE18080" w14:textId="77777777" w:rsidR="00EA4133" w:rsidRDefault="00BF6A2D">
      <w:pPr>
        <w:pStyle w:val="List"/>
        <w:tabs>
          <w:tab w:val="left" w:pos="1080"/>
          <w:tab w:val="left" w:pos="2160"/>
          <w:tab w:val="left" w:pos="9180"/>
        </w:tabs>
        <w:spacing w:before="0"/>
        <w:ind w:left="0" w:firstLine="0"/>
        <w:rPr>
          <w:rFonts w:ascii="Arial" w:hAnsi="Arial"/>
          <w:color w:val="000000"/>
        </w:rPr>
      </w:pPr>
      <w:r>
        <w:rPr>
          <w:rFonts w:ascii="Arial" w:hAnsi="Arial"/>
          <w:color w:val="000000"/>
        </w:rPr>
        <w:tab/>
      </w:r>
      <w:r>
        <w:rPr>
          <w:rFonts w:ascii="Arial" w:hAnsi="Arial"/>
          <w:color w:val="000000"/>
        </w:rPr>
        <w:tab/>
      </w:r>
      <w:r>
        <w:rPr>
          <w:rFonts w:ascii="Arial" w:hAnsi="Arial"/>
          <w:color w:val="000000"/>
          <w:u w:val="single"/>
        </w:rPr>
        <w:tab/>
      </w:r>
      <w:r>
        <w:rPr>
          <w:rFonts w:ascii="Arial" w:hAnsi="Arial"/>
          <w:color w:val="000000"/>
        </w:rPr>
        <w:t xml:space="preserve"> .</w:t>
      </w:r>
    </w:p>
    <w:p w14:paraId="7C0B5562" w14:textId="570C50CC" w:rsidR="00EA4133" w:rsidRDefault="00BF6A2D">
      <w:pPr>
        <w:pStyle w:val="List"/>
        <w:numPr>
          <w:ilvl w:val="0"/>
          <w:numId w:val="13"/>
        </w:numPr>
        <w:tabs>
          <w:tab w:val="left" w:pos="2160"/>
          <w:tab w:val="left" w:pos="9180"/>
        </w:tabs>
        <w:rPr>
          <w:rFonts w:ascii="Arial" w:hAnsi="Arial"/>
          <w:color w:val="000000"/>
        </w:rPr>
      </w:pPr>
      <w:r>
        <w:rPr>
          <w:rFonts w:ascii="Arial" w:hAnsi="Arial"/>
          <w:color w:val="000000"/>
        </w:rPr>
        <w:t xml:space="preserve">Other: </w:t>
      </w:r>
      <w:r w:rsidR="00A30F2B">
        <w:rPr>
          <w:rFonts w:ascii="Arial" w:hAnsi="Arial"/>
          <w:u w:val="single"/>
        </w:rPr>
        <w:t>N/A</w:t>
      </w:r>
      <w:r>
        <w:rPr>
          <w:rFonts w:ascii="Arial" w:hAnsi="Arial"/>
          <w:color w:val="000000"/>
          <w:u w:val="single"/>
        </w:rPr>
        <w:tab/>
      </w:r>
      <w:r>
        <w:rPr>
          <w:rFonts w:ascii="Arial" w:hAnsi="Arial"/>
          <w:color w:val="000000"/>
        </w:rPr>
        <w:t xml:space="preserve"> .</w:t>
      </w:r>
    </w:p>
    <w:p w14:paraId="59D79B38" w14:textId="0E84877E" w:rsidR="00EA4133" w:rsidRDefault="00BF6A2D">
      <w:pPr>
        <w:pStyle w:val="List"/>
        <w:numPr>
          <w:ilvl w:val="0"/>
          <w:numId w:val="13"/>
        </w:numPr>
        <w:tabs>
          <w:tab w:val="left" w:pos="2160"/>
          <w:tab w:val="left" w:pos="9180"/>
        </w:tabs>
        <w:rPr>
          <w:rFonts w:ascii="Arial" w:hAnsi="Arial"/>
          <w:color w:val="000000"/>
        </w:rPr>
      </w:pPr>
      <w:r>
        <w:rPr>
          <w:rFonts w:ascii="Arial" w:hAnsi="Arial"/>
          <w:color w:val="000000"/>
        </w:rPr>
        <w:t xml:space="preserve">Expiry date of options, warrants, etc. if any: </w:t>
      </w:r>
      <w:r w:rsidR="00A30F2B">
        <w:rPr>
          <w:rFonts w:ascii="Arial" w:hAnsi="Arial"/>
          <w:u w:val="single"/>
        </w:rPr>
        <w:t>N/A</w:t>
      </w:r>
      <w:r>
        <w:rPr>
          <w:rFonts w:ascii="Arial" w:hAnsi="Arial"/>
          <w:color w:val="000000"/>
          <w:u w:val="single"/>
        </w:rPr>
        <w:tab/>
      </w:r>
      <w:r>
        <w:rPr>
          <w:rFonts w:ascii="Arial" w:hAnsi="Arial"/>
          <w:color w:val="000000"/>
        </w:rPr>
        <w:t xml:space="preserve"> .</w:t>
      </w:r>
    </w:p>
    <w:p w14:paraId="3F6A8EAF" w14:textId="0D4E9709" w:rsidR="00EA4133" w:rsidRDefault="00BF6A2D">
      <w:pPr>
        <w:pStyle w:val="List"/>
        <w:numPr>
          <w:ilvl w:val="0"/>
          <w:numId w:val="13"/>
        </w:numPr>
        <w:tabs>
          <w:tab w:val="left" w:pos="2160"/>
          <w:tab w:val="left" w:pos="9180"/>
        </w:tabs>
        <w:rPr>
          <w:rFonts w:ascii="Arial" w:hAnsi="Arial"/>
          <w:color w:val="000000"/>
        </w:rPr>
      </w:pPr>
      <w:r>
        <w:rPr>
          <w:rFonts w:ascii="Arial" w:hAnsi="Arial"/>
          <w:color w:val="000000"/>
        </w:rPr>
        <w:lastRenderedPageBreak/>
        <w:t xml:space="preserve">Exercise price of options, warrants, etc. if any: </w:t>
      </w:r>
      <w:r w:rsidR="00A30F2B">
        <w:rPr>
          <w:rFonts w:ascii="Arial" w:hAnsi="Arial"/>
          <w:u w:val="single"/>
        </w:rPr>
        <w:t>N/A</w:t>
      </w:r>
      <w:r>
        <w:rPr>
          <w:rFonts w:ascii="Arial" w:hAnsi="Arial"/>
          <w:color w:val="000000"/>
          <w:u w:val="single"/>
        </w:rPr>
        <w:tab/>
      </w:r>
      <w:r>
        <w:rPr>
          <w:rFonts w:ascii="Arial" w:hAnsi="Arial"/>
          <w:color w:val="000000"/>
        </w:rPr>
        <w:t xml:space="preserve"> .</w:t>
      </w:r>
    </w:p>
    <w:p w14:paraId="75F09328" w14:textId="1B04F8D5" w:rsidR="00EA4133" w:rsidRDefault="00BF6A2D">
      <w:pPr>
        <w:pStyle w:val="List"/>
        <w:numPr>
          <w:ilvl w:val="0"/>
          <w:numId w:val="13"/>
        </w:numPr>
        <w:tabs>
          <w:tab w:val="left" w:pos="2160"/>
          <w:tab w:val="left" w:pos="9180"/>
        </w:tabs>
        <w:rPr>
          <w:rFonts w:ascii="Arial" w:hAnsi="Arial"/>
          <w:color w:val="000000"/>
        </w:rPr>
      </w:pPr>
      <w:r>
        <w:rPr>
          <w:rFonts w:ascii="Arial" w:hAnsi="Arial"/>
          <w:color w:val="000000"/>
        </w:rPr>
        <w:t xml:space="preserve">Work commitments: </w:t>
      </w:r>
      <w:r w:rsidR="00A30F2B">
        <w:rPr>
          <w:rFonts w:ascii="Arial" w:hAnsi="Arial"/>
          <w:u w:val="single"/>
        </w:rPr>
        <w:t>N/A</w:t>
      </w:r>
      <w:r>
        <w:rPr>
          <w:rFonts w:ascii="Arial" w:hAnsi="Arial"/>
          <w:color w:val="000000"/>
          <w:u w:val="single"/>
        </w:rPr>
        <w:tab/>
      </w:r>
      <w:r>
        <w:rPr>
          <w:rFonts w:ascii="Arial" w:hAnsi="Arial"/>
          <w:color w:val="000000"/>
        </w:rPr>
        <w:t xml:space="preserve"> .</w:t>
      </w:r>
    </w:p>
    <w:p w14:paraId="294A5F97" w14:textId="3C1A723A" w:rsidR="00EA4133" w:rsidRDefault="00BF6A2D">
      <w:pPr>
        <w:pStyle w:val="List"/>
        <w:numPr>
          <w:ilvl w:val="0"/>
          <w:numId w:val="16"/>
        </w:numPr>
        <w:tabs>
          <w:tab w:val="left" w:pos="9180"/>
        </w:tabs>
        <w:rPr>
          <w:rFonts w:ascii="Arial" w:hAnsi="Arial"/>
          <w:color w:val="000000"/>
        </w:rPr>
      </w:pPr>
      <w:r>
        <w:rPr>
          <w:rFonts w:ascii="Arial" w:hAnsi="Arial"/>
          <w:color w:val="000000"/>
        </w:rPr>
        <w:t>State how the purchase or sale price was determined (e.g. arm’s-length negotiation, independent committee of the Board, third party valuation etc).</w:t>
      </w:r>
      <w:r w:rsidR="00A30F2B">
        <w:rPr>
          <w:rFonts w:ascii="Arial" w:hAnsi="Arial"/>
          <w:color w:val="000000"/>
        </w:rPr>
        <w:t xml:space="preserve"> </w:t>
      </w:r>
      <w:r w:rsidR="00622C50">
        <w:rPr>
          <w:rFonts w:ascii="Arial" w:hAnsi="Arial"/>
          <w:u w:val="single"/>
        </w:rPr>
        <w:t xml:space="preserve">The terms of the </w:t>
      </w:r>
      <w:r w:rsidR="00842C27">
        <w:rPr>
          <w:rFonts w:ascii="Arial" w:hAnsi="Arial"/>
          <w:u w:val="single"/>
        </w:rPr>
        <w:t>JoeyBats</w:t>
      </w:r>
      <w:r w:rsidR="00622C50">
        <w:rPr>
          <w:rFonts w:ascii="Arial" w:hAnsi="Arial"/>
          <w:u w:val="single"/>
        </w:rPr>
        <w:t xml:space="preserve"> Agreement</w:t>
      </w:r>
      <w:r w:rsidR="00842C27">
        <w:rPr>
          <w:rFonts w:ascii="Arial" w:hAnsi="Arial"/>
          <w:u w:val="single"/>
        </w:rPr>
        <w:t xml:space="preserve"> and McLeish Agreement</w:t>
      </w:r>
      <w:r w:rsidR="00622C50">
        <w:rPr>
          <w:rFonts w:ascii="Arial" w:hAnsi="Arial"/>
          <w:u w:val="single"/>
        </w:rPr>
        <w:t xml:space="preserve"> were determined by arm’s length negotiation.</w:t>
      </w:r>
    </w:p>
    <w:p w14:paraId="2541F9A6" w14:textId="4F332AC3" w:rsidR="00EA4133" w:rsidRDefault="00BF6A2D">
      <w:pPr>
        <w:pStyle w:val="List"/>
        <w:numPr>
          <w:ilvl w:val="0"/>
          <w:numId w:val="16"/>
        </w:numPr>
        <w:tabs>
          <w:tab w:val="left" w:pos="9180"/>
        </w:tabs>
        <w:rPr>
          <w:rFonts w:ascii="Arial" w:hAnsi="Arial"/>
          <w:color w:val="000000"/>
        </w:rPr>
      </w:pPr>
      <w:r>
        <w:rPr>
          <w:rFonts w:ascii="Arial" w:hAnsi="Arial"/>
          <w:color w:val="000000"/>
        </w:rPr>
        <w:t>Provide details of any appraisal or valuation of the subject of the acquisition known to management of the Issuer:</w:t>
      </w:r>
      <w:r w:rsidR="00A30F2B" w:rsidRPr="00A30F2B">
        <w:rPr>
          <w:rFonts w:ascii="Arial" w:hAnsi="Arial"/>
          <w:u w:val="single"/>
        </w:rPr>
        <w:t xml:space="preserve"> </w:t>
      </w:r>
      <w:r w:rsidR="00A30F2B">
        <w:rPr>
          <w:rFonts w:ascii="Arial" w:hAnsi="Arial"/>
          <w:u w:val="single"/>
        </w:rPr>
        <w:t>N/A</w:t>
      </w:r>
      <w:r>
        <w:rPr>
          <w:rFonts w:ascii="Arial" w:hAnsi="Arial"/>
          <w:color w:val="000000"/>
          <w:u w:val="single"/>
        </w:rPr>
        <w:tab/>
      </w:r>
    </w:p>
    <w:p w14:paraId="4DE4D189" w14:textId="044EFD1E" w:rsidR="00EA4133" w:rsidRDefault="00BF6A2D">
      <w:pPr>
        <w:pStyle w:val="List"/>
        <w:numPr>
          <w:ilvl w:val="0"/>
          <w:numId w:val="16"/>
        </w:numPr>
        <w:jc w:val="both"/>
        <w:rPr>
          <w:rFonts w:ascii="Arial" w:hAnsi="Arial"/>
          <w:color w:val="000000"/>
        </w:rPr>
      </w:pPr>
      <w:r>
        <w:rPr>
          <w:rFonts w:ascii="Arial" w:hAnsi="Arial"/>
          <w:color w:val="000000"/>
        </w:rPr>
        <w:t>The names of parties receiving securities of the Issuer pursuant to the acquisition and the number of securities to be issued are described as follows:</w:t>
      </w:r>
      <w:r w:rsidR="00A30F2B">
        <w:rPr>
          <w:rFonts w:ascii="Arial" w:hAnsi="Arial"/>
          <w:color w:val="000000"/>
        </w:rPr>
        <w:t xml:space="preserve"> </w:t>
      </w:r>
      <w:r w:rsidR="00A30F2B">
        <w:rPr>
          <w:rFonts w:ascii="Arial" w:hAnsi="Arial"/>
          <w:u w:val="single"/>
        </w:rPr>
        <w:t>N/A</w:t>
      </w:r>
      <w:r>
        <w:rPr>
          <w:rFonts w:ascii="Arial" w:hAnsi="Arial"/>
          <w:color w:val="000000"/>
        </w:rPr>
        <w:br/>
      </w:r>
    </w:p>
    <w:tbl>
      <w:tblPr>
        <w:tblW w:w="9990" w:type="dxa"/>
        <w:tblInd w:w="37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440"/>
        <w:gridCol w:w="1260"/>
        <w:gridCol w:w="1260"/>
        <w:gridCol w:w="1440"/>
        <w:gridCol w:w="1440"/>
        <w:gridCol w:w="1620"/>
        <w:gridCol w:w="1530"/>
      </w:tblGrid>
      <w:tr w:rsidR="00D7398F" w14:paraId="104B9936" w14:textId="77777777">
        <w:tc>
          <w:tcPr>
            <w:tcW w:w="1440" w:type="dxa"/>
          </w:tcPr>
          <w:p w14:paraId="5E475533" w14:textId="77777777" w:rsidR="00EA4133" w:rsidRDefault="00EA4133">
            <w:pPr>
              <w:pStyle w:val="BodyText"/>
              <w:keepNext/>
              <w:keepLines/>
              <w:spacing w:before="0" w:line="280" w:lineRule="exact"/>
              <w:jc w:val="center"/>
              <w:rPr>
                <w:rFonts w:ascii="Arial" w:hAnsi="Arial"/>
                <w:b/>
                <w:sz w:val="20"/>
                <w:lang w:val="en-CA"/>
              </w:rPr>
            </w:pPr>
          </w:p>
          <w:p w14:paraId="719C7CF6" w14:textId="77777777" w:rsidR="00EA4133" w:rsidRDefault="00BF6A2D">
            <w:pPr>
              <w:pStyle w:val="BodyText"/>
              <w:keepNext/>
              <w:keepLines/>
              <w:spacing w:before="0" w:line="280" w:lineRule="exact"/>
              <w:jc w:val="center"/>
              <w:rPr>
                <w:rFonts w:ascii="Arial" w:hAnsi="Arial"/>
                <w:b/>
                <w:sz w:val="20"/>
                <w:lang w:val="en-CA"/>
              </w:rPr>
            </w:pPr>
            <w:r>
              <w:rPr>
                <w:rFonts w:ascii="Arial" w:hAnsi="Arial"/>
                <w:b/>
                <w:sz w:val="20"/>
                <w:lang w:val="en-CA"/>
              </w:rPr>
              <w:t>Name of Party (If not an individual, name all insiders of the Party)</w:t>
            </w:r>
          </w:p>
        </w:tc>
        <w:tc>
          <w:tcPr>
            <w:tcW w:w="1260" w:type="dxa"/>
          </w:tcPr>
          <w:p w14:paraId="1B72D7BD" w14:textId="77777777" w:rsidR="00EA4133" w:rsidRDefault="00EA4133">
            <w:pPr>
              <w:pStyle w:val="BodyText"/>
              <w:keepNext/>
              <w:keepLines/>
              <w:spacing w:before="0" w:line="280" w:lineRule="exact"/>
              <w:jc w:val="center"/>
              <w:rPr>
                <w:rFonts w:ascii="Arial" w:hAnsi="Arial"/>
                <w:b/>
                <w:sz w:val="20"/>
                <w:lang w:val="en-CA"/>
              </w:rPr>
            </w:pPr>
          </w:p>
          <w:p w14:paraId="1FCB3691" w14:textId="77777777" w:rsidR="00EA4133" w:rsidRDefault="00BF6A2D">
            <w:pPr>
              <w:pStyle w:val="BodyText"/>
              <w:keepNext/>
              <w:keepLines/>
              <w:spacing w:before="0" w:line="280" w:lineRule="exact"/>
              <w:jc w:val="center"/>
              <w:rPr>
                <w:rFonts w:ascii="Arial" w:hAnsi="Arial"/>
                <w:b/>
                <w:sz w:val="20"/>
                <w:lang w:val="en-CA"/>
              </w:rPr>
            </w:pPr>
            <w:r>
              <w:rPr>
                <w:rFonts w:ascii="Arial" w:hAnsi="Arial"/>
                <w:b/>
                <w:sz w:val="20"/>
                <w:lang w:val="en-CA"/>
              </w:rPr>
              <w:t>Number and Type of Securities to be Issued</w:t>
            </w:r>
          </w:p>
        </w:tc>
        <w:tc>
          <w:tcPr>
            <w:tcW w:w="1260" w:type="dxa"/>
          </w:tcPr>
          <w:p w14:paraId="51F92866" w14:textId="77777777" w:rsidR="00EA4133" w:rsidRDefault="00EA4133">
            <w:pPr>
              <w:pStyle w:val="BodyText"/>
              <w:keepNext/>
              <w:keepLines/>
              <w:spacing w:before="0" w:line="280" w:lineRule="exact"/>
              <w:jc w:val="center"/>
              <w:rPr>
                <w:rFonts w:ascii="Arial" w:hAnsi="Arial"/>
                <w:b/>
                <w:sz w:val="20"/>
                <w:lang w:val="en-CA"/>
              </w:rPr>
            </w:pPr>
          </w:p>
          <w:p w14:paraId="5E8FB515" w14:textId="77777777" w:rsidR="00EA4133" w:rsidRDefault="00BF6A2D">
            <w:pPr>
              <w:pStyle w:val="BodyText"/>
              <w:keepNext/>
              <w:keepLines/>
              <w:spacing w:before="0" w:line="280" w:lineRule="exact"/>
              <w:jc w:val="center"/>
              <w:rPr>
                <w:rFonts w:ascii="Arial" w:hAnsi="Arial"/>
                <w:b/>
                <w:sz w:val="20"/>
                <w:lang w:val="en-CA"/>
              </w:rPr>
            </w:pPr>
            <w:r>
              <w:rPr>
                <w:rFonts w:ascii="Arial" w:hAnsi="Arial"/>
                <w:b/>
                <w:sz w:val="20"/>
                <w:lang w:val="en-CA"/>
              </w:rPr>
              <w:t>Dollar value per Security (CDN$)</w:t>
            </w:r>
          </w:p>
        </w:tc>
        <w:tc>
          <w:tcPr>
            <w:tcW w:w="1440" w:type="dxa"/>
          </w:tcPr>
          <w:p w14:paraId="4A22D346" w14:textId="77777777" w:rsidR="00EA4133" w:rsidRDefault="00EA4133">
            <w:pPr>
              <w:pStyle w:val="BodyText"/>
              <w:keepNext/>
              <w:keepLines/>
              <w:spacing w:before="0" w:line="280" w:lineRule="exact"/>
              <w:jc w:val="center"/>
              <w:rPr>
                <w:rFonts w:ascii="Arial" w:hAnsi="Arial"/>
                <w:b/>
                <w:sz w:val="20"/>
                <w:lang w:val="en-CA"/>
              </w:rPr>
            </w:pPr>
          </w:p>
          <w:p w14:paraId="35100CCE" w14:textId="77777777" w:rsidR="00EA4133" w:rsidRDefault="00BF6A2D">
            <w:pPr>
              <w:pStyle w:val="BodyText"/>
              <w:keepNext/>
              <w:keepLines/>
              <w:spacing w:before="0" w:line="280" w:lineRule="exact"/>
              <w:jc w:val="center"/>
              <w:rPr>
                <w:rFonts w:ascii="Arial" w:hAnsi="Arial"/>
                <w:b/>
                <w:sz w:val="20"/>
                <w:lang w:val="en-CA"/>
              </w:rPr>
            </w:pPr>
            <w:r>
              <w:rPr>
                <w:rFonts w:ascii="Arial" w:hAnsi="Arial"/>
                <w:b/>
                <w:sz w:val="20"/>
                <w:lang w:val="en-CA"/>
              </w:rPr>
              <w:t>Conversion price (if applicable)</w:t>
            </w:r>
          </w:p>
        </w:tc>
        <w:tc>
          <w:tcPr>
            <w:tcW w:w="1440" w:type="dxa"/>
          </w:tcPr>
          <w:p w14:paraId="43C815A6" w14:textId="77777777" w:rsidR="00EA4133" w:rsidRDefault="00EA4133">
            <w:pPr>
              <w:pStyle w:val="BodyText"/>
              <w:keepNext/>
              <w:keepLines/>
              <w:spacing w:before="0" w:line="280" w:lineRule="exact"/>
              <w:jc w:val="center"/>
              <w:rPr>
                <w:rFonts w:ascii="Arial" w:hAnsi="Arial"/>
                <w:b/>
                <w:sz w:val="20"/>
                <w:lang w:val="en-CA"/>
              </w:rPr>
            </w:pPr>
          </w:p>
          <w:p w14:paraId="6DF360D6" w14:textId="77777777" w:rsidR="00EA4133" w:rsidRDefault="00BF6A2D">
            <w:pPr>
              <w:pStyle w:val="BodyText"/>
              <w:keepNext/>
              <w:keepLines/>
              <w:spacing w:before="0" w:line="280" w:lineRule="exact"/>
              <w:jc w:val="center"/>
              <w:rPr>
                <w:rFonts w:ascii="Arial" w:hAnsi="Arial"/>
                <w:b/>
                <w:sz w:val="20"/>
                <w:lang w:val="en-CA"/>
              </w:rPr>
            </w:pPr>
            <w:r>
              <w:rPr>
                <w:rFonts w:ascii="Arial" w:hAnsi="Arial"/>
                <w:b/>
                <w:sz w:val="20"/>
                <w:lang w:val="en-CA"/>
              </w:rPr>
              <w:t>Prospectus Exemption</w:t>
            </w:r>
          </w:p>
        </w:tc>
        <w:tc>
          <w:tcPr>
            <w:tcW w:w="1620" w:type="dxa"/>
          </w:tcPr>
          <w:p w14:paraId="2CD6E249" w14:textId="77777777" w:rsidR="00EA4133" w:rsidRDefault="00EA4133">
            <w:pPr>
              <w:pStyle w:val="BodyText"/>
              <w:keepNext/>
              <w:keepLines/>
              <w:spacing w:before="0" w:line="280" w:lineRule="exact"/>
              <w:jc w:val="center"/>
              <w:rPr>
                <w:rFonts w:ascii="Arial" w:hAnsi="Arial"/>
                <w:b/>
                <w:sz w:val="20"/>
              </w:rPr>
            </w:pPr>
          </w:p>
          <w:p w14:paraId="4AB3DDC4" w14:textId="77777777" w:rsidR="00EA4133" w:rsidRDefault="00BF6A2D" w:rsidP="00E83A64">
            <w:pPr>
              <w:pStyle w:val="BodyText"/>
              <w:keepNext/>
              <w:keepLines/>
              <w:spacing w:before="0" w:line="280" w:lineRule="exact"/>
              <w:jc w:val="center"/>
              <w:rPr>
                <w:rFonts w:ascii="Arial" w:hAnsi="Arial"/>
                <w:b/>
                <w:sz w:val="20"/>
                <w:lang w:val="en-CA"/>
              </w:rPr>
            </w:pPr>
            <w:r>
              <w:rPr>
                <w:rFonts w:ascii="Arial" w:hAnsi="Arial"/>
                <w:b/>
                <w:sz w:val="20"/>
              </w:rPr>
              <w:t>Total Securities, Previously Owned, Controlled or Directed by Party</w:t>
            </w:r>
          </w:p>
        </w:tc>
        <w:tc>
          <w:tcPr>
            <w:tcW w:w="1530" w:type="dxa"/>
          </w:tcPr>
          <w:p w14:paraId="714F7A79" w14:textId="77777777" w:rsidR="00EA4133" w:rsidRDefault="00EA4133">
            <w:pPr>
              <w:pStyle w:val="BodyText"/>
              <w:keepNext/>
              <w:keepLines/>
              <w:spacing w:before="0" w:line="280" w:lineRule="exact"/>
              <w:jc w:val="center"/>
              <w:rPr>
                <w:rFonts w:ascii="Arial" w:hAnsi="Arial"/>
                <w:b/>
                <w:color w:val="000000"/>
                <w:sz w:val="20"/>
                <w:lang w:val="en-CA"/>
              </w:rPr>
            </w:pPr>
          </w:p>
          <w:p w14:paraId="111A5EBC" w14:textId="77777777" w:rsidR="00EA4133" w:rsidRDefault="00BF6A2D">
            <w:pPr>
              <w:pStyle w:val="BodyText"/>
              <w:keepNext/>
              <w:keepLines/>
              <w:spacing w:before="0" w:line="280" w:lineRule="exact"/>
              <w:jc w:val="center"/>
              <w:rPr>
                <w:rFonts w:ascii="Arial" w:hAnsi="Arial"/>
                <w:b/>
                <w:color w:val="000000"/>
                <w:sz w:val="20"/>
                <w:lang w:val="en-CA"/>
              </w:rPr>
            </w:pPr>
            <w:r>
              <w:rPr>
                <w:rFonts w:ascii="Arial" w:hAnsi="Arial"/>
                <w:b/>
                <w:color w:val="000000"/>
                <w:sz w:val="20"/>
                <w:lang w:val="en-CA"/>
              </w:rPr>
              <w:t xml:space="preserve">Describe relationship </w:t>
            </w:r>
          </w:p>
          <w:p w14:paraId="3BB0FFA1" w14:textId="77777777" w:rsidR="00EA4133" w:rsidRDefault="00BF6A2D">
            <w:pPr>
              <w:pStyle w:val="BodyText"/>
              <w:keepNext/>
              <w:keepLines/>
              <w:spacing w:before="0" w:line="280" w:lineRule="exact"/>
              <w:jc w:val="center"/>
              <w:rPr>
                <w:rFonts w:ascii="Arial" w:hAnsi="Arial"/>
                <w:b/>
                <w:color w:val="000000"/>
                <w:sz w:val="20"/>
                <w:lang w:val="en-CA"/>
              </w:rPr>
            </w:pPr>
            <w:r>
              <w:rPr>
                <w:rFonts w:ascii="Arial" w:hAnsi="Arial"/>
                <w:b/>
                <w:color w:val="000000"/>
                <w:sz w:val="20"/>
                <w:lang w:val="en-CA"/>
              </w:rPr>
              <w:t>to Issuer</w:t>
            </w:r>
            <w:r>
              <w:rPr>
                <w:rFonts w:ascii="Arial" w:hAnsi="Arial"/>
                <w:b/>
                <w:color w:val="000000"/>
                <w:sz w:val="16"/>
                <w:vertAlign w:val="superscript"/>
                <w:lang w:val="en-CA"/>
              </w:rPr>
              <w:t>(1)</w:t>
            </w:r>
          </w:p>
        </w:tc>
      </w:tr>
      <w:tr w:rsidR="00622C50" w14:paraId="50FE9DEC" w14:textId="77777777">
        <w:tc>
          <w:tcPr>
            <w:tcW w:w="1440" w:type="dxa"/>
          </w:tcPr>
          <w:p w14:paraId="582947A2" w14:textId="44481BB3" w:rsidR="00622C50" w:rsidRPr="00622C50" w:rsidRDefault="00D74D93">
            <w:pPr>
              <w:pStyle w:val="BodyText"/>
              <w:keepNext/>
              <w:keepLines/>
              <w:spacing w:before="0" w:line="280" w:lineRule="exact"/>
              <w:jc w:val="center"/>
              <w:rPr>
                <w:rFonts w:ascii="Arial" w:hAnsi="Arial"/>
                <w:bCs/>
                <w:sz w:val="20"/>
                <w:lang w:val="en-CA"/>
              </w:rPr>
            </w:pPr>
            <w:r>
              <w:rPr>
                <w:rFonts w:ascii="Arial" w:hAnsi="Arial"/>
                <w:bCs/>
                <w:sz w:val="20"/>
                <w:lang w:val="en-CA"/>
              </w:rPr>
              <w:t>Jose Bautista (JoeyBats LLC)</w:t>
            </w:r>
          </w:p>
        </w:tc>
        <w:tc>
          <w:tcPr>
            <w:tcW w:w="1260" w:type="dxa"/>
          </w:tcPr>
          <w:p w14:paraId="42ADEC5D" w14:textId="61B616EF" w:rsidR="00622C50" w:rsidRPr="00622C50" w:rsidRDefault="00D74D93">
            <w:pPr>
              <w:pStyle w:val="BodyText"/>
              <w:keepNext/>
              <w:keepLines/>
              <w:spacing w:before="0" w:line="280" w:lineRule="exact"/>
              <w:jc w:val="center"/>
              <w:rPr>
                <w:rFonts w:ascii="Arial" w:hAnsi="Arial"/>
                <w:bCs/>
                <w:sz w:val="20"/>
                <w:lang w:val="en-CA"/>
              </w:rPr>
            </w:pPr>
            <w:r>
              <w:rPr>
                <w:rFonts w:ascii="Arial" w:hAnsi="Arial"/>
                <w:bCs/>
                <w:sz w:val="20"/>
                <w:lang w:val="en-CA"/>
              </w:rPr>
              <w:t>1,5</w:t>
            </w:r>
            <w:r w:rsidR="00622C50" w:rsidRPr="00622C50">
              <w:rPr>
                <w:rFonts w:ascii="Arial" w:hAnsi="Arial"/>
                <w:bCs/>
                <w:sz w:val="20"/>
                <w:lang w:val="en-CA"/>
              </w:rPr>
              <w:t>00,000 common shares</w:t>
            </w:r>
          </w:p>
        </w:tc>
        <w:tc>
          <w:tcPr>
            <w:tcW w:w="1260" w:type="dxa"/>
          </w:tcPr>
          <w:p w14:paraId="373C77A6" w14:textId="62B01990" w:rsidR="00622C50" w:rsidRPr="00AE0C61" w:rsidRDefault="00D74D93">
            <w:pPr>
              <w:pStyle w:val="BodyText"/>
              <w:keepNext/>
              <w:keepLines/>
              <w:spacing w:before="0" w:line="280" w:lineRule="exact"/>
              <w:jc w:val="center"/>
              <w:rPr>
                <w:rFonts w:ascii="Arial" w:hAnsi="Arial"/>
                <w:bCs/>
                <w:sz w:val="20"/>
                <w:lang w:val="en-CA"/>
              </w:rPr>
            </w:pPr>
            <w:r>
              <w:rPr>
                <w:rFonts w:ascii="Arial" w:hAnsi="Arial"/>
                <w:bCs/>
                <w:sz w:val="20"/>
                <w:lang w:val="en-CA"/>
              </w:rPr>
              <w:t>$</w:t>
            </w:r>
            <w:r w:rsidR="00526595">
              <w:rPr>
                <w:rFonts w:ascii="Arial" w:hAnsi="Arial"/>
                <w:bCs/>
                <w:sz w:val="20"/>
                <w:lang w:val="en-CA"/>
              </w:rPr>
              <w:t>0.045</w:t>
            </w:r>
          </w:p>
          <w:p w14:paraId="255195D0" w14:textId="77777777" w:rsidR="00AE0C61" w:rsidRPr="00AE0C61" w:rsidRDefault="00AE0C61" w:rsidP="00AE0C61">
            <w:pPr>
              <w:rPr>
                <w:lang w:val="en-CA"/>
              </w:rPr>
            </w:pPr>
          </w:p>
        </w:tc>
        <w:tc>
          <w:tcPr>
            <w:tcW w:w="1440" w:type="dxa"/>
          </w:tcPr>
          <w:p w14:paraId="45ED00DD" w14:textId="4E34746C" w:rsidR="00622C50" w:rsidRPr="003A10EA" w:rsidRDefault="003A10EA">
            <w:pPr>
              <w:pStyle w:val="BodyText"/>
              <w:keepNext/>
              <w:keepLines/>
              <w:spacing w:before="0" w:line="280" w:lineRule="exact"/>
              <w:jc w:val="center"/>
              <w:rPr>
                <w:rFonts w:ascii="Arial" w:hAnsi="Arial"/>
                <w:bCs/>
                <w:sz w:val="20"/>
                <w:lang w:val="en-CA"/>
              </w:rPr>
            </w:pPr>
            <w:r w:rsidRPr="003A10EA">
              <w:rPr>
                <w:rFonts w:ascii="Arial" w:hAnsi="Arial"/>
                <w:bCs/>
                <w:sz w:val="20"/>
                <w:lang w:val="en-CA"/>
              </w:rPr>
              <w:t>N/A</w:t>
            </w:r>
          </w:p>
        </w:tc>
        <w:tc>
          <w:tcPr>
            <w:tcW w:w="1440" w:type="dxa"/>
          </w:tcPr>
          <w:p w14:paraId="3046EFE2" w14:textId="30A5598C" w:rsidR="00622C50" w:rsidRPr="003A10EA" w:rsidRDefault="003A10EA">
            <w:pPr>
              <w:pStyle w:val="BodyText"/>
              <w:keepNext/>
              <w:keepLines/>
              <w:spacing w:before="0" w:line="280" w:lineRule="exact"/>
              <w:jc w:val="center"/>
              <w:rPr>
                <w:rFonts w:ascii="Arial" w:hAnsi="Arial"/>
                <w:bCs/>
                <w:sz w:val="20"/>
                <w:lang w:val="en-CA"/>
              </w:rPr>
            </w:pPr>
            <w:r w:rsidRPr="003A10EA">
              <w:rPr>
                <w:rFonts w:ascii="Arial" w:hAnsi="Arial"/>
                <w:bCs/>
                <w:sz w:val="20"/>
                <w:lang w:val="en-CA"/>
              </w:rPr>
              <w:t>2.24</w:t>
            </w:r>
          </w:p>
        </w:tc>
        <w:tc>
          <w:tcPr>
            <w:tcW w:w="1620" w:type="dxa"/>
          </w:tcPr>
          <w:p w14:paraId="2C6D8386" w14:textId="56D308A3" w:rsidR="00622C50" w:rsidRPr="003778A9" w:rsidRDefault="003734F4">
            <w:pPr>
              <w:pStyle w:val="BodyText"/>
              <w:keepNext/>
              <w:keepLines/>
              <w:spacing w:before="0" w:line="280" w:lineRule="exact"/>
              <w:jc w:val="center"/>
              <w:rPr>
                <w:rFonts w:ascii="Arial" w:hAnsi="Arial"/>
                <w:bCs/>
                <w:sz w:val="20"/>
              </w:rPr>
            </w:pPr>
            <w:r>
              <w:rPr>
                <w:rFonts w:ascii="Arial" w:hAnsi="Arial"/>
                <w:bCs/>
                <w:sz w:val="20"/>
              </w:rPr>
              <w:t>499,998</w:t>
            </w:r>
            <w:r w:rsidR="003778A9">
              <w:rPr>
                <w:rFonts w:ascii="Arial" w:hAnsi="Arial"/>
                <w:bCs/>
                <w:sz w:val="20"/>
              </w:rPr>
              <w:t xml:space="preserve"> common shares</w:t>
            </w:r>
          </w:p>
        </w:tc>
        <w:tc>
          <w:tcPr>
            <w:tcW w:w="1530" w:type="dxa"/>
          </w:tcPr>
          <w:p w14:paraId="005B7E08" w14:textId="057ECFE1" w:rsidR="00622C50" w:rsidRPr="003A10EA" w:rsidRDefault="003A10EA">
            <w:pPr>
              <w:pStyle w:val="BodyText"/>
              <w:keepNext/>
              <w:keepLines/>
              <w:spacing w:before="0" w:line="280" w:lineRule="exact"/>
              <w:jc w:val="center"/>
              <w:rPr>
                <w:rFonts w:ascii="Arial" w:hAnsi="Arial"/>
                <w:bCs/>
                <w:color w:val="000000"/>
                <w:sz w:val="20"/>
                <w:lang w:val="en-CA"/>
              </w:rPr>
            </w:pPr>
            <w:r w:rsidRPr="003A10EA">
              <w:rPr>
                <w:rFonts w:ascii="Arial" w:hAnsi="Arial"/>
                <w:bCs/>
                <w:color w:val="000000"/>
                <w:sz w:val="20"/>
                <w:lang w:val="en-CA"/>
              </w:rPr>
              <w:t>Arm’s length</w:t>
            </w:r>
          </w:p>
        </w:tc>
      </w:tr>
      <w:tr w:rsidR="003734F4" w14:paraId="5F77CEF1" w14:textId="77777777">
        <w:tc>
          <w:tcPr>
            <w:tcW w:w="1440" w:type="dxa"/>
          </w:tcPr>
          <w:p w14:paraId="63C4D04C" w14:textId="356628FF" w:rsidR="003734F4" w:rsidRDefault="006F32D9">
            <w:pPr>
              <w:pStyle w:val="BodyText"/>
              <w:keepNext/>
              <w:keepLines/>
              <w:spacing w:before="0" w:line="280" w:lineRule="exact"/>
              <w:jc w:val="center"/>
              <w:rPr>
                <w:rFonts w:ascii="Arial" w:hAnsi="Arial"/>
                <w:bCs/>
                <w:sz w:val="20"/>
                <w:lang w:val="en-CA"/>
              </w:rPr>
            </w:pPr>
            <w:r>
              <w:rPr>
                <w:rFonts w:ascii="Arial" w:hAnsi="Arial"/>
                <w:bCs/>
                <w:sz w:val="20"/>
                <w:lang w:val="en-CA"/>
              </w:rPr>
              <w:t>Bailey McLeish</w:t>
            </w:r>
          </w:p>
        </w:tc>
        <w:tc>
          <w:tcPr>
            <w:tcW w:w="1260" w:type="dxa"/>
          </w:tcPr>
          <w:p w14:paraId="1077DB50" w14:textId="7A4374B5" w:rsidR="003734F4" w:rsidRDefault="006F32D9">
            <w:pPr>
              <w:pStyle w:val="BodyText"/>
              <w:keepNext/>
              <w:keepLines/>
              <w:spacing w:before="0" w:line="280" w:lineRule="exact"/>
              <w:jc w:val="center"/>
              <w:rPr>
                <w:rFonts w:ascii="Arial" w:hAnsi="Arial"/>
                <w:bCs/>
                <w:sz w:val="20"/>
                <w:lang w:val="en-CA"/>
              </w:rPr>
            </w:pPr>
            <w:r>
              <w:rPr>
                <w:rFonts w:ascii="Arial" w:hAnsi="Arial"/>
                <w:bCs/>
                <w:sz w:val="20"/>
                <w:lang w:val="en-CA"/>
              </w:rPr>
              <w:t>2,500,000 common shares</w:t>
            </w:r>
          </w:p>
        </w:tc>
        <w:tc>
          <w:tcPr>
            <w:tcW w:w="1260" w:type="dxa"/>
          </w:tcPr>
          <w:p w14:paraId="6E0E79E2" w14:textId="1987CFAE" w:rsidR="003B423D" w:rsidRPr="00AE0C61" w:rsidRDefault="003B423D" w:rsidP="003B423D">
            <w:pPr>
              <w:pStyle w:val="BodyText"/>
              <w:keepNext/>
              <w:keepLines/>
              <w:spacing w:before="0" w:line="280" w:lineRule="exact"/>
              <w:jc w:val="center"/>
              <w:rPr>
                <w:rFonts w:ascii="Arial" w:hAnsi="Arial"/>
                <w:bCs/>
                <w:sz w:val="20"/>
                <w:lang w:val="en-CA"/>
              </w:rPr>
            </w:pPr>
            <w:r>
              <w:rPr>
                <w:rFonts w:ascii="Arial" w:hAnsi="Arial"/>
                <w:bCs/>
                <w:sz w:val="20"/>
                <w:lang w:val="en-CA"/>
              </w:rPr>
              <w:t>$</w:t>
            </w:r>
            <w:r w:rsidR="00526595">
              <w:rPr>
                <w:rFonts w:ascii="Arial" w:hAnsi="Arial"/>
                <w:bCs/>
                <w:sz w:val="20"/>
                <w:lang w:val="en-CA"/>
              </w:rPr>
              <w:t>0.045</w:t>
            </w:r>
          </w:p>
          <w:p w14:paraId="61254E86" w14:textId="77777777" w:rsidR="003734F4" w:rsidRDefault="003734F4">
            <w:pPr>
              <w:pStyle w:val="BodyText"/>
              <w:keepNext/>
              <w:keepLines/>
              <w:spacing w:before="0" w:line="280" w:lineRule="exact"/>
              <w:jc w:val="center"/>
              <w:rPr>
                <w:rFonts w:ascii="Arial" w:hAnsi="Arial"/>
                <w:bCs/>
                <w:sz w:val="20"/>
                <w:lang w:val="en-CA"/>
              </w:rPr>
            </w:pPr>
          </w:p>
        </w:tc>
        <w:tc>
          <w:tcPr>
            <w:tcW w:w="1440" w:type="dxa"/>
          </w:tcPr>
          <w:p w14:paraId="6F4248F0" w14:textId="6A057DAD" w:rsidR="003734F4" w:rsidRPr="003A10EA" w:rsidRDefault="006F32D9">
            <w:pPr>
              <w:pStyle w:val="BodyText"/>
              <w:keepNext/>
              <w:keepLines/>
              <w:spacing w:before="0" w:line="280" w:lineRule="exact"/>
              <w:jc w:val="center"/>
              <w:rPr>
                <w:rFonts w:ascii="Arial" w:hAnsi="Arial"/>
                <w:bCs/>
                <w:sz w:val="20"/>
                <w:lang w:val="en-CA"/>
              </w:rPr>
            </w:pPr>
            <w:r>
              <w:rPr>
                <w:rFonts w:ascii="Arial" w:hAnsi="Arial"/>
                <w:bCs/>
                <w:sz w:val="20"/>
                <w:lang w:val="en-CA"/>
              </w:rPr>
              <w:t>N/A</w:t>
            </w:r>
          </w:p>
        </w:tc>
        <w:tc>
          <w:tcPr>
            <w:tcW w:w="1440" w:type="dxa"/>
          </w:tcPr>
          <w:p w14:paraId="5CF50C5B" w14:textId="28CA4A85" w:rsidR="003734F4" w:rsidRPr="003A10EA" w:rsidRDefault="006F32D9">
            <w:pPr>
              <w:pStyle w:val="BodyText"/>
              <w:keepNext/>
              <w:keepLines/>
              <w:spacing w:before="0" w:line="280" w:lineRule="exact"/>
              <w:jc w:val="center"/>
              <w:rPr>
                <w:rFonts w:ascii="Arial" w:hAnsi="Arial"/>
                <w:bCs/>
                <w:sz w:val="20"/>
                <w:lang w:val="en-CA"/>
              </w:rPr>
            </w:pPr>
            <w:r>
              <w:rPr>
                <w:rFonts w:ascii="Arial" w:hAnsi="Arial"/>
                <w:bCs/>
                <w:sz w:val="20"/>
                <w:lang w:val="en-CA"/>
              </w:rPr>
              <w:t>2.24</w:t>
            </w:r>
          </w:p>
        </w:tc>
        <w:tc>
          <w:tcPr>
            <w:tcW w:w="1620" w:type="dxa"/>
          </w:tcPr>
          <w:p w14:paraId="3FE7F1ED" w14:textId="1548618E" w:rsidR="003734F4" w:rsidRDefault="006F32D9">
            <w:pPr>
              <w:pStyle w:val="BodyText"/>
              <w:keepNext/>
              <w:keepLines/>
              <w:spacing w:before="0" w:line="280" w:lineRule="exact"/>
              <w:jc w:val="center"/>
              <w:rPr>
                <w:rFonts w:ascii="Arial" w:hAnsi="Arial"/>
                <w:bCs/>
                <w:sz w:val="20"/>
              </w:rPr>
            </w:pPr>
            <w:r>
              <w:rPr>
                <w:rFonts w:ascii="Arial" w:hAnsi="Arial"/>
                <w:bCs/>
                <w:sz w:val="20"/>
              </w:rPr>
              <w:t>Nil</w:t>
            </w:r>
          </w:p>
        </w:tc>
        <w:tc>
          <w:tcPr>
            <w:tcW w:w="1530" w:type="dxa"/>
          </w:tcPr>
          <w:p w14:paraId="4038D608" w14:textId="743ADF4B" w:rsidR="003734F4" w:rsidRPr="003A10EA" w:rsidRDefault="006F32D9">
            <w:pPr>
              <w:pStyle w:val="BodyText"/>
              <w:keepNext/>
              <w:keepLines/>
              <w:spacing w:before="0" w:line="280" w:lineRule="exact"/>
              <w:jc w:val="center"/>
              <w:rPr>
                <w:rFonts w:ascii="Arial" w:hAnsi="Arial"/>
                <w:bCs/>
                <w:color w:val="000000"/>
                <w:sz w:val="20"/>
                <w:lang w:val="en-CA"/>
              </w:rPr>
            </w:pPr>
            <w:r>
              <w:rPr>
                <w:rFonts w:ascii="Arial" w:hAnsi="Arial"/>
                <w:bCs/>
                <w:color w:val="000000"/>
                <w:sz w:val="20"/>
                <w:lang w:val="en-CA"/>
              </w:rPr>
              <w:t>Arm’s length</w:t>
            </w:r>
          </w:p>
        </w:tc>
      </w:tr>
    </w:tbl>
    <w:p w14:paraId="6A45CA44" w14:textId="77777777" w:rsidR="00EA4133" w:rsidRDefault="00BF6A2D" w:rsidP="009136E7">
      <w:pPr>
        <w:pStyle w:val="BodyText"/>
        <w:numPr>
          <w:ilvl w:val="0"/>
          <w:numId w:val="17"/>
        </w:numPr>
        <w:tabs>
          <w:tab w:val="clear" w:pos="720"/>
          <w:tab w:val="num" w:pos="450"/>
        </w:tabs>
        <w:ind w:left="360" w:hanging="180"/>
        <w:rPr>
          <w:rFonts w:ascii="Arial" w:hAnsi="Arial"/>
          <w:sz w:val="20"/>
        </w:rPr>
      </w:pPr>
      <w:r>
        <w:rPr>
          <w:rFonts w:ascii="Arial" w:hAnsi="Arial"/>
          <w:sz w:val="20"/>
        </w:rPr>
        <w:t>Indicate if Related Person</w:t>
      </w:r>
    </w:p>
    <w:p w14:paraId="126D789C" w14:textId="5D04A79E" w:rsidR="00EA4133" w:rsidRDefault="00BF6A2D">
      <w:pPr>
        <w:pStyle w:val="List"/>
        <w:numPr>
          <w:ilvl w:val="0"/>
          <w:numId w:val="16"/>
        </w:numPr>
        <w:tabs>
          <w:tab w:val="left" w:pos="9180"/>
        </w:tabs>
        <w:jc w:val="both"/>
        <w:rPr>
          <w:rFonts w:ascii="Arial" w:hAnsi="Arial"/>
          <w:color w:val="000000"/>
          <w:u w:val="single"/>
        </w:rPr>
      </w:pPr>
      <w:r>
        <w:rPr>
          <w:rFonts w:ascii="Arial" w:hAnsi="Arial"/>
          <w:color w:val="000000"/>
        </w:rPr>
        <w:t xml:space="preserve">Details of the steps taken by the Issuer to ensure that the vendor has good title to the assets being acquired: </w:t>
      </w:r>
      <w:r w:rsidR="00A30F2B">
        <w:rPr>
          <w:rFonts w:ascii="Arial" w:hAnsi="Arial"/>
          <w:u w:val="single"/>
        </w:rPr>
        <w:t>N/A</w:t>
      </w:r>
      <w:r>
        <w:rPr>
          <w:rFonts w:ascii="Arial" w:hAnsi="Arial"/>
          <w:color w:val="000000"/>
          <w:u w:val="single"/>
        </w:rPr>
        <w:tab/>
      </w:r>
    </w:p>
    <w:p w14:paraId="0CB8AD5A" w14:textId="77777777" w:rsidR="00EA4133" w:rsidRDefault="00BF6A2D">
      <w:pPr>
        <w:pStyle w:val="List"/>
        <w:tabs>
          <w:tab w:val="left" w:pos="1080"/>
          <w:tab w:val="left" w:pos="9180"/>
        </w:tabs>
        <w:spacing w:before="0"/>
        <w:ind w:left="0" w:firstLine="0"/>
        <w:jc w:val="both"/>
        <w:rPr>
          <w:rFonts w:ascii="Arial" w:hAnsi="Arial"/>
          <w:color w:val="000000"/>
        </w:rPr>
      </w:pPr>
      <w:r>
        <w:rPr>
          <w:rFonts w:ascii="Arial" w:hAnsi="Arial"/>
          <w:color w:val="000000"/>
        </w:rPr>
        <w:tab/>
      </w:r>
      <w:r>
        <w:rPr>
          <w:rFonts w:ascii="Arial" w:hAnsi="Arial"/>
          <w:color w:val="000000"/>
          <w:u w:val="single"/>
        </w:rPr>
        <w:tab/>
      </w:r>
      <w:r>
        <w:rPr>
          <w:rFonts w:ascii="Arial" w:hAnsi="Arial"/>
          <w:color w:val="000000"/>
        </w:rPr>
        <w:t xml:space="preserve"> . </w:t>
      </w:r>
    </w:p>
    <w:p w14:paraId="23DEFD69" w14:textId="77777777" w:rsidR="00EA4133" w:rsidRDefault="00BF6A2D">
      <w:pPr>
        <w:pStyle w:val="List"/>
        <w:numPr>
          <w:ilvl w:val="0"/>
          <w:numId w:val="16"/>
        </w:numPr>
        <w:jc w:val="both"/>
        <w:rPr>
          <w:rFonts w:ascii="Arial" w:hAnsi="Arial"/>
        </w:rPr>
      </w:pPr>
      <w:r>
        <w:rPr>
          <w:rFonts w:ascii="Arial" w:hAnsi="Arial"/>
        </w:rPr>
        <w:t>Provide the following information for any agent’s fee, commission, bonus or finder’s fee, or other compensation paid or to be paid in connection with the acquisition (including warrants, options, etc.):</w:t>
      </w:r>
    </w:p>
    <w:p w14:paraId="3CAC62F6" w14:textId="169F3251" w:rsidR="00EA4133" w:rsidRDefault="00BF6A2D">
      <w:pPr>
        <w:pStyle w:val="List"/>
        <w:tabs>
          <w:tab w:val="left" w:pos="2160"/>
          <w:tab w:val="left" w:pos="9180"/>
        </w:tabs>
        <w:ind w:left="2160"/>
        <w:jc w:val="both"/>
        <w:rPr>
          <w:rFonts w:ascii="Arial" w:hAnsi="Arial"/>
          <w:u w:val="single"/>
        </w:rPr>
      </w:pPr>
      <w:r>
        <w:rPr>
          <w:rFonts w:ascii="Arial" w:hAnsi="Arial"/>
        </w:rPr>
        <w:t>(a)</w:t>
      </w:r>
      <w:r>
        <w:rPr>
          <w:rFonts w:ascii="Arial" w:hAnsi="Arial"/>
        </w:rPr>
        <w:tab/>
        <w:t xml:space="preserve">Details of any dealer, agent, broker or other person receiving compensation in connection with the acquisition (name, </w:t>
      </w:r>
      <w:r w:rsidR="007C4F86">
        <w:rPr>
          <w:rFonts w:ascii="Arial" w:hAnsi="Arial"/>
        </w:rPr>
        <w:t>andi</w:t>
      </w:r>
      <w:r>
        <w:rPr>
          <w:rFonts w:ascii="Arial" w:hAnsi="Arial"/>
        </w:rPr>
        <w:t xml:space="preserve">f a corporation, identify persons owning or exercising voting control over 20% or more of the voting shares if known to the Issuer): </w:t>
      </w:r>
      <w:r w:rsidR="00A30F2B">
        <w:rPr>
          <w:rFonts w:ascii="Arial" w:hAnsi="Arial"/>
          <w:u w:val="single"/>
        </w:rPr>
        <w:t>N/A</w:t>
      </w:r>
      <w:r>
        <w:rPr>
          <w:rFonts w:ascii="Arial" w:hAnsi="Arial"/>
          <w:u w:val="single"/>
        </w:rPr>
        <w:tab/>
      </w:r>
      <w:r>
        <w:rPr>
          <w:rFonts w:ascii="Arial" w:hAnsi="Arial"/>
          <w:u w:val="single"/>
        </w:rPr>
        <w:tab/>
      </w:r>
      <w:r>
        <w:rPr>
          <w:rFonts w:ascii="Arial" w:hAnsi="Arial"/>
          <w:u w:val="single"/>
        </w:rPr>
        <w:tab/>
      </w:r>
      <w:r>
        <w:rPr>
          <w:rFonts w:ascii="Arial" w:hAnsi="Arial"/>
        </w:rPr>
        <w:t>.</w:t>
      </w:r>
    </w:p>
    <w:p w14:paraId="3C5D4B96" w14:textId="7459FFB3" w:rsidR="00EA4133" w:rsidRDefault="00BF6A2D">
      <w:pPr>
        <w:pStyle w:val="List"/>
        <w:tabs>
          <w:tab w:val="left" w:pos="2160"/>
          <w:tab w:val="left" w:pos="9180"/>
        </w:tabs>
        <w:ind w:left="2160"/>
        <w:rPr>
          <w:rFonts w:ascii="Arial" w:hAnsi="Arial"/>
        </w:rPr>
      </w:pPr>
      <w:r>
        <w:rPr>
          <w:rFonts w:ascii="Arial" w:hAnsi="Arial"/>
        </w:rPr>
        <w:lastRenderedPageBreak/>
        <w:t>(b)</w:t>
      </w:r>
      <w:r>
        <w:rPr>
          <w:rFonts w:ascii="Arial" w:hAnsi="Arial"/>
        </w:rPr>
        <w:tab/>
        <w:t xml:space="preserve">Cash </w:t>
      </w:r>
      <w:r w:rsidR="00A30F2B">
        <w:rPr>
          <w:rFonts w:ascii="Arial" w:hAnsi="Arial"/>
          <w:u w:val="single"/>
        </w:rPr>
        <w:t>N/A</w:t>
      </w:r>
      <w:r>
        <w:rPr>
          <w:rFonts w:ascii="Arial" w:hAnsi="Arial"/>
          <w:u w:val="single"/>
        </w:rPr>
        <w:tab/>
      </w:r>
      <w:r>
        <w:rPr>
          <w:rFonts w:ascii="Arial" w:hAnsi="Arial"/>
        </w:rPr>
        <w:t xml:space="preserve"> .</w:t>
      </w:r>
    </w:p>
    <w:p w14:paraId="622999A0" w14:textId="3BB371A9" w:rsidR="00EA4133" w:rsidRDefault="00BF6A2D">
      <w:pPr>
        <w:pStyle w:val="List"/>
        <w:tabs>
          <w:tab w:val="left" w:pos="2160"/>
          <w:tab w:val="left" w:pos="9180"/>
        </w:tabs>
        <w:ind w:left="2160"/>
        <w:rPr>
          <w:rFonts w:ascii="Arial" w:hAnsi="Arial"/>
        </w:rPr>
      </w:pPr>
      <w:r>
        <w:rPr>
          <w:rFonts w:ascii="Arial" w:hAnsi="Arial"/>
        </w:rPr>
        <w:t>(c)</w:t>
      </w:r>
      <w:r>
        <w:rPr>
          <w:rFonts w:ascii="Arial" w:hAnsi="Arial"/>
        </w:rPr>
        <w:tab/>
        <w:t xml:space="preserve">Securities </w:t>
      </w:r>
      <w:r w:rsidR="00A30F2B">
        <w:rPr>
          <w:rFonts w:ascii="Arial" w:hAnsi="Arial"/>
          <w:u w:val="single"/>
        </w:rPr>
        <w:t>N/A</w:t>
      </w:r>
      <w:r>
        <w:rPr>
          <w:rFonts w:ascii="Arial" w:hAnsi="Arial"/>
          <w:u w:val="single"/>
        </w:rPr>
        <w:tab/>
      </w:r>
      <w:r>
        <w:rPr>
          <w:rFonts w:ascii="Arial" w:hAnsi="Arial"/>
        </w:rPr>
        <w:t xml:space="preserve"> .</w:t>
      </w:r>
    </w:p>
    <w:p w14:paraId="70F76AAF" w14:textId="6E1C2F24" w:rsidR="00EA4133" w:rsidRDefault="00BF6A2D">
      <w:pPr>
        <w:pStyle w:val="List"/>
        <w:tabs>
          <w:tab w:val="left" w:pos="2160"/>
          <w:tab w:val="left" w:pos="9180"/>
        </w:tabs>
        <w:ind w:left="2160"/>
        <w:rPr>
          <w:rFonts w:ascii="Arial" w:hAnsi="Arial"/>
        </w:rPr>
      </w:pPr>
      <w:r>
        <w:rPr>
          <w:rFonts w:ascii="Arial" w:hAnsi="Arial"/>
        </w:rPr>
        <w:t>(d)</w:t>
      </w:r>
      <w:r>
        <w:rPr>
          <w:rFonts w:ascii="Arial" w:hAnsi="Arial"/>
        </w:rPr>
        <w:tab/>
        <w:t xml:space="preserve">Other </w:t>
      </w:r>
      <w:r w:rsidR="00A30F2B">
        <w:rPr>
          <w:rFonts w:ascii="Arial" w:hAnsi="Arial"/>
          <w:u w:val="single"/>
        </w:rPr>
        <w:t>N/A</w:t>
      </w:r>
      <w:r>
        <w:rPr>
          <w:rFonts w:ascii="Arial" w:hAnsi="Arial"/>
          <w:u w:val="single"/>
        </w:rPr>
        <w:tab/>
      </w:r>
      <w:r>
        <w:rPr>
          <w:rFonts w:ascii="Arial" w:hAnsi="Arial"/>
        </w:rPr>
        <w:t xml:space="preserve"> .</w:t>
      </w:r>
    </w:p>
    <w:p w14:paraId="5EC4BA6D" w14:textId="4A49749C" w:rsidR="00EA4133" w:rsidRDefault="00BF6A2D">
      <w:pPr>
        <w:pStyle w:val="List"/>
        <w:numPr>
          <w:ilvl w:val="0"/>
          <w:numId w:val="15"/>
        </w:numPr>
        <w:tabs>
          <w:tab w:val="left" w:pos="9180"/>
        </w:tabs>
        <w:rPr>
          <w:rFonts w:ascii="Arial" w:hAnsi="Arial"/>
        </w:rPr>
      </w:pPr>
      <w:r>
        <w:rPr>
          <w:rFonts w:ascii="Arial" w:hAnsi="Arial"/>
        </w:rPr>
        <w:t xml:space="preserve">Expiry date of any options, warrants etc. </w:t>
      </w:r>
      <w:r w:rsidR="00A30F2B">
        <w:rPr>
          <w:rFonts w:ascii="Arial" w:hAnsi="Arial"/>
          <w:u w:val="single"/>
        </w:rPr>
        <w:t>N/A</w:t>
      </w:r>
      <w:r>
        <w:rPr>
          <w:rFonts w:ascii="Arial" w:hAnsi="Arial"/>
          <w:u w:val="single"/>
        </w:rPr>
        <w:tab/>
      </w:r>
    </w:p>
    <w:p w14:paraId="3C30D55E" w14:textId="7F0B5A50" w:rsidR="00EA4133" w:rsidRPr="00771F7F" w:rsidRDefault="00BF6A2D">
      <w:pPr>
        <w:pStyle w:val="List"/>
        <w:numPr>
          <w:ilvl w:val="0"/>
          <w:numId w:val="15"/>
        </w:numPr>
        <w:tabs>
          <w:tab w:val="left" w:pos="2160"/>
          <w:tab w:val="left" w:pos="9180"/>
        </w:tabs>
        <w:rPr>
          <w:rFonts w:ascii="Arial" w:hAnsi="Arial"/>
          <w:color w:val="000000"/>
        </w:rPr>
      </w:pPr>
      <w:r>
        <w:rPr>
          <w:rFonts w:ascii="Arial" w:hAnsi="Arial"/>
        </w:rPr>
        <w:t xml:space="preserve">Exercise price of any options, warrants etc. </w:t>
      </w:r>
      <w:r w:rsidR="00A30F2B">
        <w:rPr>
          <w:rFonts w:ascii="Arial" w:hAnsi="Arial"/>
          <w:u w:val="single"/>
        </w:rPr>
        <w:t>N/A</w:t>
      </w:r>
      <w:r>
        <w:rPr>
          <w:rFonts w:ascii="Arial" w:hAnsi="Arial"/>
          <w:u w:val="single"/>
        </w:rPr>
        <w:tab/>
      </w:r>
      <w:r>
        <w:rPr>
          <w:rFonts w:ascii="Arial" w:hAnsi="Arial"/>
        </w:rPr>
        <w:t xml:space="preserve"> .</w:t>
      </w:r>
    </w:p>
    <w:p w14:paraId="2EA624BB" w14:textId="7194A080" w:rsidR="00EA4133" w:rsidRDefault="00BF6A2D">
      <w:pPr>
        <w:pStyle w:val="List"/>
        <w:numPr>
          <w:ilvl w:val="0"/>
          <w:numId w:val="16"/>
        </w:numPr>
        <w:tabs>
          <w:tab w:val="left" w:pos="9180"/>
        </w:tabs>
        <w:rPr>
          <w:rFonts w:ascii="Arial" w:hAnsi="Arial"/>
          <w:color w:val="000000"/>
        </w:rPr>
      </w:pPr>
      <w:r>
        <w:rPr>
          <w:rFonts w:ascii="Arial" w:hAnsi="Arial"/>
          <w:color w:val="000000"/>
        </w:rPr>
        <w:t xml:space="preserve">State whether the sales agent, broker or other person receiving compensation in connection with the acquisition is a Related Person or has any other relationship with the Issuer and provide details of the relationship. </w:t>
      </w:r>
      <w:r w:rsidR="00A30F2B">
        <w:rPr>
          <w:rFonts w:ascii="Arial" w:hAnsi="Arial"/>
          <w:u w:val="single"/>
        </w:rPr>
        <w:t>N/A</w:t>
      </w:r>
      <w:r>
        <w:rPr>
          <w:rFonts w:ascii="Arial" w:hAnsi="Arial"/>
          <w:color w:val="000000"/>
          <w:u w:val="single"/>
        </w:rPr>
        <w:tab/>
      </w:r>
      <w:r>
        <w:rPr>
          <w:rFonts w:ascii="Arial" w:hAnsi="Arial"/>
          <w:color w:val="000000"/>
          <w:u w:val="single"/>
        </w:rPr>
        <w:tab/>
      </w:r>
      <w:r>
        <w:rPr>
          <w:rFonts w:ascii="Arial" w:hAnsi="Arial"/>
          <w:color w:val="000000"/>
          <w:u w:val="single"/>
        </w:rPr>
        <w:tab/>
      </w:r>
      <w:r>
        <w:rPr>
          <w:rFonts w:ascii="Arial" w:hAnsi="Arial"/>
          <w:color w:val="000000"/>
          <w:u w:val="single"/>
        </w:rPr>
        <w:tab/>
      </w:r>
      <w:r>
        <w:rPr>
          <w:rFonts w:ascii="Arial" w:hAnsi="Arial"/>
          <w:color w:val="000000"/>
          <w:u w:val="single"/>
        </w:rPr>
        <w:tab/>
      </w:r>
    </w:p>
    <w:p w14:paraId="36DBD8B9" w14:textId="6DDE4F00" w:rsidR="00EA4133" w:rsidRDefault="00BF6A2D">
      <w:pPr>
        <w:pStyle w:val="List"/>
        <w:numPr>
          <w:ilvl w:val="0"/>
          <w:numId w:val="16"/>
        </w:numPr>
        <w:tabs>
          <w:tab w:val="left" w:pos="9180"/>
        </w:tabs>
        <w:jc w:val="both"/>
        <w:rPr>
          <w:rFonts w:ascii="Arial" w:hAnsi="Arial"/>
          <w:color w:val="000000"/>
        </w:rPr>
      </w:pPr>
      <w:r>
        <w:rPr>
          <w:rFonts w:ascii="Arial" w:hAnsi="Arial"/>
          <w:color w:val="000000"/>
        </w:rPr>
        <w:t xml:space="preserve">If applicable, indicate whether the acquisition is the acquisition of an interest in property contiguous to or otherwise related to any other asset acquired in the last 12 months. </w:t>
      </w:r>
      <w:r w:rsidR="00A30F2B">
        <w:rPr>
          <w:rFonts w:ascii="Arial" w:hAnsi="Arial"/>
          <w:u w:val="single"/>
        </w:rPr>
        <w:t>N/A</w:t>
      </w:r>
      <w:r>
        <w:rPr>
          <w:rFonts w:ascii="Arial" w:hAnsi="Arial"/>
          <w:color w:val="000000"/>
          <w:u w:val="single"/>
        </w:rPr>
        <w:tab/>
      </w:r>
    </w:p>
    <w:p w14:paraId="2B16134A" w14:textId="77777777" w:rsidR="00EA4133" w:rsidRDefault="00BF6A2D">
      <w:pPr>
        <w:pStyle w:val="List"/>
        <w:tabs>
          <w:tab w:val="left" w:pos="9180"/>
        </w:tabs>
        <w:spacing w:before="0"/>
        <w:jc w:val="both"/>
        <w:rPr>
          <w:rFonts w:ascii="Arial" w:hAnsi="Arial"/>
          <w:color w:val="000000"/>
        </w:rPr>
      </w:pPr>
      <w:r>
        <w:rPr>
          <w:rFonts w:ascii="Arial" w:hAnsi="Arial"/>
          <w:color w:val="000000"/>
        </w:rPr>
        <w:tab/>
      </w:r>
      <w:r>
        <w:rPr>
          <w:rFonts w:ascii="Arial" w:hAnsi="Arial"/>
          <w:color w:val="000000"/>
          <w:u w:val="single"/>
        </w:rPr>
        <w:tab/>
      </w:r>
    </w:p>
    <w:p w14:paraId="4C809545" w14:textId="77777777" w:rsidR="00EA4133" w:rsidRDefault="00BF6A2D">
      <w:pPr>
        <w:pStyle w:val="List"/>
        <w:tabs>
          <w:tab w:val="left" w:pos="1080"/>
        </w:tabs>
        <w:ind w:left="0" w:firstLine="0"/>
        <w:rPr>
          <w:rFonts w:ascii="Arial" w:hAnsi="Arial"/>
        </w:rPr>
      </w:pPr>
      <w:r>
        <w:rPr>
          <w:rFonts w:ascii="Arial" w:hAnsi="Arial"/>
          <w:b/>
        </w:rPr>
        <w:t>Certificate Of Compliance</w:t>
      </w:r>
    </w:p>
    <w:p w14:paraId="7BEB4923" w14:textId="77777777" w:rsidR="00EA4133" w:rsidRDefault="00BF6A2D">
      <w:pPr>
        <w:pStyle w:val="BodyText"/>
        <w:rPr>
          <w:rFonts w:ascii="Arial" w:hAnsi="Arial"/>
        </w:rPr>
      </w:pPr>
      <w:r>
        <w:rPr>
          <w:rFonts w:ascii="Arial" w:hAnsi="Arial"/>
        </w:rPr>
        <w:t>The undersigned hereby certifies that:</w:t>
      </w:r>
    </w:p>
    <w:p w14:paraId="0C61B216" w14:textId="77777777" w:rsidR="00EA4133" w:rsidRDefault="00BF6A2D">
      <w:pPr>
        <w:pStyle w:val="List"/>
        <w:jc w:val="both"/>
        <w:rPr>
          <w:rFonts w:ascii="Arial" w:hAnsi="Arial"/>
        </w:rPr>
      </w:pPr>
      <w:r>
        <w:rPr>
          <w:rFonts w:ascii="Arial" w:hAnsi="Arial"/>
        </w:rPr>
        <w:t>1.</w:t>
      </w:r>
      <w:r>
        <w:rPr>
          <w:rFonts w:ascii="Arial" w:hAnsi="Arial"/>
        </w:rPr>
        <w:tab/>
        <w:t>The undersigned is a director and/or senior officer of the Issuer and has been duly authorized by a resolution of the board of directors of the Issuer to sign this Certificate of Compliance on behalf of the Issuer.</w:t>
      </w:r>
    </w:p>
    <w:p w14:paraId="1AF9BEE6" w14:textId="77777777" w:rsidR="00EA4133" w:rsidRDefault="00BF6A2D">
      <w:pPr>
        <w:pStyle w:val="List"/>
        <w:numPr>
          <w:ilvl w:val="0"/>
          <w:numId w:val="7"/>
        </w:numPr>
        <w:jc w:val="both"/>
        <w:rPr>
          <w:rFonts w:ascii="Arial" w:hAnsi="Arial"/>
        </w:rPr>
      </w:pPr>
      <w:r>
        <w:rPr>
          <w:rFonts w:ascii="Arial" w:hAnsi="Arial"/>
        </w:rPr>
        <w:t>As of the date hereof there is not material information concerning the Issuer which has not been publicly disclosed.</w:t>
      </w:r>
    </w:p>
    <w:p w14:paraId="512A80D2" w14:textId="77777777" w:rsidR="00C500F0" w:rsidRDefault="00BF6A2D" w:rsidP="00C500F0">
      <w:pPr>
        <w:pStyle w:val="ListParagraph"/>
        <w:numPr>
          <w:ilvl w:val="0"/>
          <w:numId w:val="7"/>
        </w:numPr>
        <w:rPr>
          <w:rFonts w:ascii="Arial" w:hAnsi="Arial" w:cs="Arial"/>
          <w:sz w:val="24"/>
          <w:szCs w:val="24"/>
        </w:rPr>
      </w:pPr>
      <w:r w:rsidRPr="00C500F0">
        <w:rPr>
          <w:rFonts w:ascii="Arial" w:hAnsi="Arial" w:cs="Arial"/>
          <w:sz w:val="24"/>
          <w:szCs w:val="24"/>
        </w:rPr>
        <w:t>the Issuer has obtained the express written consent of each applicable individual to:</w:t>
      </w:r>
    </w:p>
    <w:p w14:paraId="669CE502" w14:textId="77777777" w:rsidR="00C500F0" w:rsidRPr="00C500F0" w:rsidRDefault="00C500F0" w:rsidP="00C500F0">
      <w:pPr>
        <w:pStyle w:val="ListParagraph"/>
        <w:rPr>
          <w:rFonts w:ascii="Arial" w:hAnsi="Arial" w:cs="Arial"/>
          <w:sz w:val="24"/>
          <w:szCs w:val="24"/>
        </w:rPr>
      </w:pPr>
    </w:p>
    <w:p w14:paraId="2C0A6D12" w14:textId="77777777" w:rsidR="00C500F0" w:rsidRPr="00C500F0" w:rsidRDefault="00BF6A2D" w:rsidP="00C500F0">
      <w:pPr>
        <w:pStyle w:val="ListParagraph"/>
        <w:ind w:left="1440" w:hanging="360"/>
        <w:rPr>
          <w:rFonts w:ascii="Arial" w:hAnsi="Arial" w:cs="Arial"/>
          <w:sz w:val="24"/>
          <w:szCs w:val="24"/>
        </w:rPr>
      </w:pPr>
      <w:r w:rsidRPr="00C500F0">
        <w:rPr>
          <w:rFonts w:ascii="Arial" w:hAnsi="Arial" w:cs="Arial"/>
          <w:sz w:val="24"/>
          <w:szCs w:val="24"/>
        </w:rPr>
        <w:t>(a)</w:t>
      </w:r>
      <w:r w:rsidRPr="00C500F0">
        <w:rPr>
          <w:rFonts w:ascii="Arial" w:hAnsi="Arial" w:cs="Arial"/>
          <w:sz w:val="24"/>
          <w:szCs w:val="24"/>
        </w:rPr>
        <w:tab/>
        <w:t>the disclosure of their information to the Exchange pursuant to this Form or otherwise pursuant to this filing; and</w:t>
      </w:r>
    </w:p>
    <w:p w14:paraId="2707223C" w14:textId="77777777" w:rsidR="00C500F0" w:rsidRDefault="00BF6A2D" w:rsidP="00C500F0">
      <w:pPr>
        <w:pStyle w:val="List"/>
        <w:ind w:left="1440" w:hanging="360"/>
        <w:jc w:val="both"/>
        <w:rPr>
          <w:rFonts w:ascii="Arial" w:hAnsi="Arial"/>
        </w:rPr>
      </w:pPr>
      <w:r w:rsidRPr="00C500F0">
        <w:rPr>
          <w:rFonts w:ascii="Arial" w:hAnsi="Arial" w:cs="Arial"/>
          <w:szCs w:val="24"/>
        </w:rPr>
        <w:t>(b)</w:t>
      </w:r>
      <w:r w:rsidRPr="00C500F0">
        <w:rPr>
          <w:rFonts w:ascii="Arial" w:hAnsi="Arial" w:cs="Arial"/>
          <w:szCs w:val="24"/>
        </w:rPr>
        <w:tab/>
        <w:t>the collection, use and disclosure of their information by the Exchange in the manner and for the purposes described in Appendix A or as otherwise identified by the Exchange, from time to time</w:t>
      </w:r>
    </w:p>
    <w:p w14:paraId="57B91157" w14:textId="77777777" w:rsidR="00EA4133" w:rsidRDefault="00BF6A2D">
      <w:pPr>
        <w:pStyle w:val="List"/>
        <w:numPr>
          <w:ilvl w:val="0"/>
          <w:numId w:val="7"/>
        </w:numPr>
        <w:jc w:val="both"/>
        <w:rPr>
          <w:rFonts w:ascii="Arial" w:hAnsi="Arial"/>
        </w:rPr>
      </w:pPr>
      <w:r>
        <w:rPr>
          <w:rFonts w:ascii="Arial" w:hAnsi="Arial"/>
        </w:rPr>
        <w:t xml:space="preserve">The undersigned hereby certifies to </w:t>
      </w:r>
      <w:r w:rsidR="00CF076A">
        <w:rPr>
          <w:rFonts w:ascii="Arial" w:hAnsi="Arial"/>
        </w:rPr>
        <w:t>the Exchange</w:t>
      </w:r>
      <w:r>
        <w:rPr>
          <w:rFonts w:ascii="Arial" w:hAnsi="Arial"/>
        </w:rPr>
        <w:t xml:space="preserve"> that the Issuer is in compliance with the requirements of </w:t>
      </w:r>
      <w:r w:rsidR="00173F0B">
        <w:rPr>
          <w:rFonts w:ascii="Arial" w:hAnsi="Arial"/>
        </w:rPr>
        <w:t xml:space="preserve">applicable securities legislation (as such term is defined in National Instrument 14-101) </w:t>
      </w:r>
      <w:r>
        <w:rPr>
          <w:rFonts w:ascii="Arial" w:hAnsi="Arial"/>
        </w:rPr>
        <w:t xml:space="preserve">and all </w:t>
      </w:r>
      <w:r w:rsidR="00CF076A">
        <w:rPr>
          <w:rFonts w:ascii="Arial" w:hAnsi="Arial"/>
        </w:rPr>
        <w:t>Exchange</w:t>
      </w:r>
      <w:r>
        <w:rPr>
          <w:rFonts w:ascii="Arial" w:hAnsi="Arial"/>
        </w:rPr>
        <w:t xml:space="preserve"> Requirements (as defined in </w:t>
      </w:r>
      <w:r w:rsidR="008003B9">
        <w:rPr>
          <w:rFonts w:ascii="Arial" w:hAnsi="Arial"/>
        </w:rPr>
        <w:t>CS</w:t>
      </w:r>
      <w:r w:rsidR="00CF076A">
        <w:rPr>
          <w:rFonts w:ascii="Arial" w:hAnsi="Arial"/>
        </w:rPr>
        <w:t>E</w:t>
      </w:r>
      <w:r>
        <w:rPr>
          <w:rFonts w:ascii="Arial" w:hAnsi="Arial"/>
        </w:rPr>
        <w:t xml:space="preserve"> Policy 1).</w:t>
      </w:r>
    </w:p>
    <w:p w14:paraId="71DB23A0" w14:textId="77777777" w:rsidR="00EA4133" w:rsidRDefault="00BF6A2D">
      <w:pPr>
        <w:pStyle w:val="List"/>
        <w:numPr>
          <w:ilvl w:val="0"/>
          <w:numId w:val="7"/>
        </w:numPr>
        <w:jc w:val="both"/>
        <w:rPr>
          <w:rFonts w:ascii="Arial" w:hAnsi="Arial"/>
        </w:rPr>
      </w:pPr>
      <w:r>
        <w:rPr>
          <w:rFonts w:ascii="Arial" w:hAnsi="Arial"/>
        </w:rPr>
        <w:t xml:space="preserve">All of the information in this Form 9 Notice of </w:t>
      </w:r>
      <w:r w:rsidR="00CF076A">
        <w:rPr>
          <w:rFonts w:ascii="Arial" w:hAnsi="Arial"/>
        </w:rPr>
        <w:t>Issuance of Securities</w:t>
      </w:r>
      <w:r>
        <w:rPr>
          <w:rFonts w:ascii="Arial" w:hAnsi="Arial"/>
        </w:rPr>
        <w:t xml:space="preserve"> is true.</w:t>
      </w:r>
    </w:p>
    <w:p w14:paraId="7EF295FA" w14:textId="2DFDB015" w:rsidR="00EA4133" w:rsidRDefault="00BF6A2D">
      <w:pPr>
        <w:pStyle w:val="BodyText"/>
        <w:tabs>
          <w:tab w:val="left" w:pos="4680"/>
          <w:tab w:val="left" w:pos="7200"/>
        </w:tabs>
        <w:spacing w:before="480"/>
        <w:jc w:val="both"/>
        <w:rPr>
          <w:rFonts w:ascii="Arial" w:hAnsi="Arial"/>
        </w:rPr>
      </w:pPr>
      <w:r>
        <w:rPr>
          <w:rFonts w:ascii="Arial" w:hAnsi="Arial"/>
        </w:rPr>
        <w:lastRenderedPageBreak/>
        <w:t xml:space="preserve">Dated </w:t>
      </w:r>
      <w:r w:rsidR="00C95CE4">
        <w:rPr>
          <w:rFonts w:ascii="Arial" w:hAnsi="Arial"/>
          <w:u w:val="single"/>
        </w:rPr>
        <w:t>June 2,</w:t>
      </w:r>
      <w:r w:rsidR="00F12C2D">
        <w:rPr>
          <w:rFonts w:ascii="Arial" w:hAnsi="Arial"/>
          <w:u w:val="single"/>
        </w:rPr>
        <w:t xml:space="preserve"> 2026</w:t>
      </w:r>
      <w:r>
        <w:rPr>
          <w:rFonts w:ascii="Arial" w:hAnsi="Arial"/>
          <w:u w:val="single"/>
        </w:rPr>
        <w:tab/>
      </w:r>
      <w:r>
        <w:rPr>
          <w:rFonts w:ascii="Arial" w:hAnsi="Arial"/>
        </w:rPr>
        <w:t>.</w:t>
      </w:r>
    </w:p>
    <w:p w14:paraId="3B70848B" w14:textId="2DC8455C" w:rsidR="00EA4133" w:rsidRDefault="00BF6A2D">
      <w:pPr>
        <w:pStyle w:val="List"/>
        <w:tabs>
          <w:tab w:val="left" w:pos="9180"/>
        </w:tabs>
        <w:ind w:left="5760" w:hanging="5760"/>
        <w:rPr>
          <w:rFonts w:ascii="Arial" w:hAnsi="Arial"/>
        </w:rPr>
      </w:pPr>
      <w:r>
        <w:rPr>
          <w:rFonts w:ascii="Arial" w:hAnsi="Arial"/>
        </w:rPr>
        <w:tab/>
      </w:r>
      <w:r w:rsidR="00A30F2B">
        <w:rPr>
          <w:rFonts w:ascii="Arial" w:hAnsi="Arial"/>
          <w:u w:val="single"/>
        </w:rPr>
        <w:t>Moira Ong</w:t>
      </w:r>
      <w:r>
        <w:rPr>
          <w:rFonts w:ascii="Arial" w:hAnsi="Arial"/>
          <w:u w:val="single"/>
        </w:rPr>
        <w:tab/>
      </w:r>
      <w:r>
        <w:rPr>
          <w:rFonts w:ascii="Arial" w:hAnsi="Arial"/>
          <w:u w:val="single"/>
        </w:rPr>
        <w:br/>
      </w:r>
      <w:r>
        <w:rPr>
          <w:rFonts w:ascii="Arial" w:hAnsi="Arial"/>
        </w:rPr>
        <w:t>Name of Director or Senior Officer</w:t>
      </w:r>
    </w:p>
    <w:p w14:paraId="6699918D" w14:textId="2098112E" w:rsidR="00EA4133" w:rsidRDefault="00BF6A2D">
      <w:pPr>
        <w:pStyle w:val="List"/>
        <w:tabs>
          <w:tab w:val="left" w:pos="9180"/>
          <w:tab w:val="left" w:pos="9360"/>
        </w:tabs>
        <w:ind w:left="5760" w:hanging="5760"/>
        <w:rPr>
          <w:rFonts w:ascii="Arial" w:hAnsi="Arial"/>
        </w:rPr>
      </w:pPr>
      <w:r>
        <w:rPr>
          <w:rFonts w:ascii="Arial" w:hAnsi="Arial"/>
        </w:rPr>
        <w:tab/>
      </w:r>
      <w:r w:rsidR="00A30F2B">
        <w:rPr>
          <w:rFonts w:ascii="Arial" w:hAnsi="Arial"/>
          <w:i/>
          <w:iCs/>
          <w:u w:val="single"/>
        </w:rPr>
        <w:t>“Moira Ong”</w:t>
      </w:r>
      <w:r>
        <w:rPr>
          <w:rFonts w:ascii="Arial" w:hAnsi="Arial"/>
          <w:u w:val="single"/>
        </w:rPr>
        <w:tab/>
      </w:r>
      <w:r>
        <w:rPr>
          <w:rFonts w:ascii="Arial" w:hAnsi="Arial"/>
        </w:rPr>
        <w:br/>
        <w:t>Signature</w:t>
      </w:r>
    </w:p>
    <w:p w14:paraId="2C71ABE2" w14:textId="06E9C23F" w:rsidR="00EA4133" w:rsidRDefault="00BF6A2D">
      <w:pPr>
        <w:pStyle w:val="List"/>
        <w:tabs>
          <w:tab w:val="left" w:pos="9180"/>
          <w:tab w:val="left" w:pos="9360"/>
        </w:tabs>
        <w:ind w:left="5760" w:hanging="5760"/>
        <w:rPr>
          <w:rFonts w:ascii="Arial" w:hAnsi="Arial"/>
        </w:rPr>
      </w:pPr>
      <w:r>
        <w:rPr>
          <w:rFonts w:ascii="Arial" w:hAnsi="Arial"/>
        </w:rPr>
        <w:tab/>
      </w:r>
      <w:r w:rsidR="00A30F2B">
        <w:rPr>
          <w:rFonts w:ascii="Arial" w:hAnsi="Arial"/>
          <w:u w:val="single"/>
        </w:rPr>
        <w:t>Chief Financial Officer</w:t>
      </w:r>
      <w:r>
        <w:rPr>
          <w:rFonts w:ascii="Arial" w:hAnsi="Arial"/>
          <w:u w:val="single"/>
        </w:rPr>
        <w:tab/>
      </w:r>
      <w:r>
        <w:rPr>
          <w:rFonts w:ascii="Arial" w:hAnsi="Arial"/>
        </w:rPr>
        <w:br/>
        <w:t>Official Capacity</w:t>
      </w:r>
    </w:p>
    <w:p w14:paraId="1FDBD8E4" w14:textId="77777777" w:rsidR="00C500F0" w:rsidRDefault="00C500F0">
      <w:pPr>
        <w:pStyle w:val="List"/>
        <w:tabs>
          <w:tab w:val="left" w:pos="9180"/>
          <w:tab w:val="left" w:pos="9360"/>
        </w:tabs>
        <w:ind w:left="5760" w:hanging="5760"/>
        <w:rPr>
          <w:rFonts w:ascii="Arial" w:hAnsi="Arial"/>
        </w:rPr>
      </w:pPr>
    </w:p>
    <w:p w14:paraId="501C69DC" w14:textId="7873EA85" w:rsidR="00017E85" w:rsidRDefault="00BF6A2D">
      <w:pPr>
        <w:rPr>
          <w:rFonts w:ascii="Arial" w:hAnsi="Arial"/>
          <w:sz w:val="24"/>
          <w:lang w:val="en-GB"/>
        </w:rPr>
      </w:pPr>
      <w:r>
        <w:rPr>
          <w:rFonts w:ascii="Arial" w:hAnsi="Arial"/>
        </w:rPr>
        <w:br w:type="page"/>
      </w:r>
    </w:p>
    <w:p w14:paraId="11F8DE2A" w14:textId="77777777" w:rsidR="00C500F0" w:rsidRDefault="00C500F0">
      <w:pPr>
        <w:pStyle w:val="List"/>
        <w:tabs>
          <w:tab w:val="left" w:pos="9180"/>
          <w:tab w:val="left" w:pos="9360"/>
        </w:tabs>
        <w:ind w:left="5760" w:hanging="5760"/>
        <w:rPr>
          <w:rFonts w:ascii="Arial" w:hAnsi="Arial"/>
        </w:rPr>
      </w:pPr>
    </w:p>
    <w:p w14:paraId="6D15FE40" w14:textId="77777777" w:rsidR="00C500F0" w:rsidRPr="00C500F0" w:rsidRDefault="00BF6A2D" w:rsidP="00C500F0">
      <w:pPr>
        <w:spacing w:before="120"/>
        <w:ind w:left="720"/>
        <w:jc w:val="center"/>
        <w:rPr>
          <w:rFonts w:ascii="Arial" w:eastAsia="Calibri" w:hAnsi="Arial" w:cs="Arial"/>
          <w:b/>
          <w:sz w:val="24"/>
          <w:szCs w:val="24"/>
        </w:rPr>
      </w:pPr>
      <w:r w:rsidRPr="00C500F0">
        <w:rPr>
          <w:rFonts w:ascii="Arial" w:eastAsia="Calibri" w:hAnsi="Arial" w:cs="Arial"/>
          <w:b/>
          <w:sz w:val="24"/>
          <w:szCs w:val="24"/>
        </w:rPr>
        <w:t>Appendix A</w:t>
      </w:r>
    </w:p>
    <w:p w14:paraId="7FC7DB93" w14:textId="77777777" w:rsidR="00C500F0" w:rsidRPr="00C500F0" w:rsidRDefault="00BF6A2D" w:rsidP="00C500F0">
      <w:pPr>
        <w:spacing w:before="120"/>
        <w:ind w:left="720"/>
        <w:jc w:val="center"/>
        <w:rPr>
          <w:rFonts w:ascii="Arial" w:eastAsia="Calibri" w:hAnsi="Arial" w:cs="Arial"/>
          <w:b/>
          <w:sz w:val="24"/>
          <w:szCs w:val="24"/>
        </w:rPr>
      </w:pPr>
      <w:r w:rsidRPr="00C500F0">
        <w:rPr>
          <w:rFonts w:ascii="Arial" w:eastAsia="Calibri" w:hAnsi="Arial" w:cs="Arial"/>
          <w:b/>
          <w:sz w:val="24"/>
          <w:szCs w:val="24"/>
        </w:rPr>
        <w:t>PERSONAL INFORMATION COLLECTION POLICY REGARDING FORM 9</w:t>
      </w:r>
    </w:p>
    <w:p w14:paraId="313FA032" w14:textId="77777777" w:rsidR="00C500F0" w:rsidRPr="00C500F0" w:rsidRDefault="00BF6A2D" w:rsidP="00C500F0">
      <w:pPr>
        <w:spacing w:before="120"/>
        <w:ind w:left="720"/>
        <w:jc w:val="both"/>
        <w:rPr>
          <w:rFonts w:ascii="Arial" w:eastAsia="Calibri" w:hAnsi="Arial" w:cs="Arial"/>
          <w:sz w:val="24"/>
          <w:szCs w:val="24"/>
        </w:rPr>
      </w:pPr>
      <w:r w:rsidRPr="00C500F0">
        <w:rPr>
          <w:rFonts w:ascii="Arial" w:eastAsia="Calibri" w:hAnsi="Arial" w:cs="Arial"/>
          <w:sz w:val="24"/>
          <w:szCs w:val="24"/>
        </w:rPr>
        <w:t>The Canadian Securities Exchange and its subsidiaries, affiliates, regulators and agents (collectively, “CSE or the “Exchange”) collect and use the information (which may include personal or other information) which has been provided in Form 9 for the following purposes:</w:t>
      </w:r>
    </w:p>
    <w:p w14:paraId="70F17980" w14:textId="77777777" w:rsidR="00C500F0" w:rsidRPr="00C500F0" w:rsidRDefault="00BF6A2D" w:rsidP="00C500F0">
      <w:pPr>
        <w:spacing w:before="120"/>
        <w:ind w:left="1854" w:hanging="567"/>
        <w:jc w:val="both"/>
        <w:rPr>
          <w:rFonts w:ascii="Arial" w:eastAsia="Calibri" w:hAnsi="Arial" w:cs="Arial"/>
          <w:sz w:val="24"/>
          <w:szCs w:val="24"/>
        </w:rPr>
      </w:pPr>
      <w:r w:rsidRPr="00C500F0">
        <w:rPr>
          <w:rFonts w:ascii="Arial" w:eastAsia="Calibri" w:hAnsi="Arial" w:cs="Arial"/>
          <w:sz w:val="24"/>
          <w:szCs w:val="24"/>
        </w:rPr>
        <w:t>•</w:t>
      </w:r>
      <w:r w:rsidRPr="00C500F0">
        <w:rPr>
          <w:rFonts w:ascii="Arial" w:eastAsia="Calibri" w:hAnsi="Arial" w:cs="Arial"/>
          <w:sz w:val="24"/>
          <w:szCs w:val="24"/>
        </w:rPr>
        <w:tab/>
      </w:r>
    </w:p>
    <w:p w14:paraId="7ACF0D72" w14:textId="77777777" w:rsidR="00C500F0" w:rsidRPr="00C500F0" w:rsidRDefault="00BF6A2D" w:rsidP="00C500F0">
      <w:pPr>
        <w:spacing w:before="120"/>
        <w:ind w:left="1854" w:hanging="567"/>
        <w:jc w:val="both"/>
        <w:rPr>
          <w:rFonts w:ascii="Arial" w:eastAsia="Calibri" w:hAnsi="Arial" w:cs="Arial"/>
          <w:sz w:val="24"/>
          <w:szCs w:val="24"/>
        </w:rPr>
      </w:pPr>
      <w:r w:rsidRPr="00C500F0">
        <w:rPr>
          <w:rFonts w:ascii="Arial" w:eastAsia="Calibri" w:hAnsi="Arial" w:cs="Arial"/>
          <w:sz w:val="24"/>
          <w:szCs w:val="24"/>
        </w:rPr>
        <w:t>•</w:t>
      </w:r>
      <w:r w:rsidRPr="00C500F0">
        <w:rPr>
          <w:rFonts w:ascii="Arial" w:eastAsia="Calibri" w:hAnsi="Arial" w:cs="Arial"/>
          <w:sz w:val="24"/>
          <w:szCs w:val="24"/>
        </w:rPr>
        <w:tab/>
        <w:t>To determine whether an individual is suitable to be associated with a Listed Issuer;</w:t>
      </w:r>
    </w:p>
    <w:p w14:paraId="7443C89F" w14:textId="77777777" w:rsidR="00C500F0" w:rsidRPr="00C500F0" w:rsidRDefault="00BF6A2D" w:rsidP="00C500F0">
      <w:pPr>
        <w:spacing w:before="120"/>
        <w:ind w:left="1854" w:hanging="567"/>
        <w:jc w:val="both"/>
        <w:rPr>
          <w:rFonts w:ascii="Arial" w:eastAsia="Calibri" w:hAnsi="Arial" w:cs="Arial"/>
          <w:sz w:val="24"/>
          <w:szCs w:val="24"/>
        </w:rPr>
      </w:pPr>
      <w:r w:rsidRPr="00C500F0">
        <w:rPr>
          <w:rFonts w:ascii="Arial" w:eastAsia="Calibri" w:hAnsi="Arial" w:cs="Arial"/>
          <w:sz w:val="24"/>
          <w:szCs w:val="24"/>
        </w:rPr>
        <w:t>•</w:t>
      </w:r>
      <w:r w:rsidRPr="00C500F0">
        <w:rPr>
          <w:rFonts w:ascii="Arial" w:eastAsia="Calibri" w:hAnsi="Arial" w:cs="Arial"/>
          <w:sz w:val="24"/>
          <w:szCs w:val="24"/>
        </w:rPr>
        <w:tab/>
        <w:t>To determine whether an issuer is suitable for listing;</w:t>
      </w:r>
    </w:p>
    <w:p w14:paraId="67745F7D" w14:textId="77777777" w:rsidR="00C500F0" w:rsidRPr="00C500F0" w:rsidRDefault="00BF6A2D" w:rsidP="00C500F0">
      <w:pPr>
        <w:spacing w:before="120"/>
        <w:ind w:left="1854" w:hanging="567"/>
        <w:jc w:val="both"/>
        <w:rPr>
          <w:rFonts w:ascii="Arial" w:eastAsia="Calibri" w:hAnsi="Arial" w:cs="Arial"/>
          <w:sz w:val="24"/>
          <w:szCs w:val="24"/>
        </w:rPr>
      </w:pPr>
      <w:r w:rsidRPr="00C500F0">
        <w:rPr>
          <w:rFonts w:ascii="Arial" w:eastAsia="Calibri" w:hAnsi="Arial" w:cs="Arial"/>
          <w:sz w:val="24"/>
          <w:szCs w:val="24"/>
        </w:rPr>
        <w:t>•</w:t>
      </w:r>
      <w:r w:rsidRPr="00C500F0">
        <w:rPr>
          <w:rFonts w:ascii="Arial" w:eastAsia="Calibri" w:hAnsi="Arial" w:cs="Arial"/>
          <w:sz w:val="24"/>
          <w:szCs w:val="24"/>
        </w:rPr>
        <w:tab/>
        <w:t>To determine whether allowing an issuer to be listed or allowing an individual to be associated with a Listed Issuer could give rise to investor protection concerns or could bring the Exchange into disrepute;</w:t>
      </w:r>
    </w:p>
    <w:p w14:paraId="7680359E" w14:textId="77777777" w:rsidR="00C500F0" w:rsidRPr="00C500F0" w:rsidRDefault="00BF6A2D" w:rsidP="00C500F0">
      <w:pPr>
        <w:spacing w:before="120"/>
        <w:ind w:left="1854" w:hanging="567"/>
        <w:jc w:val="both"/>
        <w:rPr>
          <w:rFonts w:ascii="Arial" w:eastAsia="Calibri" w:hAnsi="Arial" w:cs="Arial"/>
          <w:sz w:val="24"/>
          <w:szCs w:val="24"/>
        </w:rPr>
      </w:pPr>
      <w:r w:rsidRPr="00C500F0">
        <w:rPr>
          <w:rFonts w:ascii="Arial" w:eastAsia="Calibri" w:hAnsi="Arial" w:cs="Arial"/>
          <w:sz w:val="24"/>
          <w:szCs w:val="24"/>
        </w:rPr>
        <w:t>•</w:t>
      </w:r>
      <w:r w:rsidRPr="00C500F0">
        <w:rPr>
          <w:rFonts w:ascii="Arial" w:eastAsia="Calibri" w:hAnsi="Arial" w:cs="Arial"/>
          <w:sz w:val="24"/>
          <w:szCs w:val="24"/>
        </w:rPr>
        <w:tab/>
        <w:t xml:space="preserve">To conduct enforcement proceedings; </w:t>
      </w:r>
    </w:p>
    <w:p w14:paraId="2F95EE3A" w14:textId="77777777" w:rsidR="00C500F0" w:rsidRPr="00C500F0" w:rsidRDefault="00BF6A2D" w:rsidP="00C500F0">
      <w:pPr>
        <w:spacing w:before="120"/>
        <w:ind w:left="1854" w:hanging="567"/>
        <w:jc w:val="both"/>
        <w:rPr>
          <w:rFonts w:ascii="Arial" w:eastAsia="Calibri" w:hAnsi="Arial" w:cs="Arial"/>
          <w:sz w:val="24"/>
          <w:szCs w:val="24"/>
        </w:rPr>
      </w:pPr>
      <w:r w:rsidRPr="00C500F0">
        <w:rPr>
          <w:rFonts w:ascii="Arial" w:eastAsia="Calibri" w:hAnsi="Arial" w:cs="Arial"/>
          <w:sz w:val="24"/>
          <w:szCs w:val="24"/>
        </w:rPr>
        <w:t>•</w:t>
      </w:r>
      <w:r w:rsidRPr="00C500F0">
        <w:rPr>
          <w:rFonts w:ascii="Arial" w:eastAsia="Calibri" w:hAnsi="Arial" w:cs="Arial"/>
          <w:sz w:val="24"/>
          <w:szCs w:val="24"/>
        </w:rPr>
        <w:tab/>
        <w:t>To ensure compliance with Exchange Requirements and applicable securities legislation; and</w:t>
      </w:r>
    </w:p>
    <w:p w14:paraId="25E0FC6A" w14:textId="77777777" w:rsidR="00C500F0" w:rsidRPr="00C500F0" w:rsidRDefault="00BF6A2D" w:rsidP="00C500F0">
      <w:pPr>
        <w:spacing w:before="120"/>
        <w:ind w:left="1854" w:hanging="567"/>
        <w:jc w:val="both"/>
        <w:rPr>
          <w:rFonts w:ascii="Arial" w:eastAsia="Calibri" w:hAnsi="Arial" w:cs="Arial"/>
          <w:sz w:val="24"/>
          <w:szCs w:val="24"/>
        </w:rPr>
      </w:pPr>
      <w:r w:rsidRPr="00C500F0">
        <w:rPr>
          <w:rFonts w:ascii="Arial" w:eastAsia="Calibri" w:hAnsi="Arial" w:cs="Arial"/>
          <w:sz w:val="24"/>
          <w:szCs w:val="24"/>
        </w:rPr>
        <w:t>•</w:t>
      </w:r>
      <w:r w:rsidRPr="00C500F0">
        <w:rPr>
          <w:rFonts w:ascii="Arial" w:eastAsia="Calibri" w:hAnsi="Arial" w:cs="Arial"/>
          <w:sz w:val="24"/>
          <w:szCs w:val="24"/>
        </w:rPr>
        <w:tab/>
        <w:t>To fulfil the Exchange’s obligation to regulate its marketplace.</w:t>
      </w:r>
    </w:p>
    <w:p w14:paraId="43404413" w14:textId="77777777" w:rsidR="00C500F0" w:rsidRPr="00C500F0" w:rsidRDefault="00BF6A2D" w:rsidP="00C500F0">
      <w:pPr>
        <w:spacing w:before="120"/>
        <w:ind w:left="720"/>
        <w:jc w:val="both"/>
        <w:rPr>
          <w:rFonts w:ascii="Arial" w:eastAsia="Calibri" w:hAnsi="Arial" w:cs="Arial"/>
          <w:sz w:val="24"/>
          <w:szCs w:val="24"/>
        </w:rPr>
      </w:pPr>
      <w:r w:rsidRPr="00C500F0">
        <w:rPr>
          <w:rFonts w:ascii="Arial" w:eastAsia="Calibri" w:hAnsi="Arial" w:cs="Arial"/>
          <w:sz w:val="24"/>
          <w:szCs w:val="24"/>
        </w:rPr>
        <w:t>The CSE also collects information, including personal information, from other sources, including but not limited to securities regulatory authorities, law enforcement and self-regulatory authorities, regulation service providers and their subsidiaries, affiliates, regulators and agents. The Exchange may disclose personal information to these entities or otherwise as provided by law and they may use it for their own investigations.</w:t>
      </w:r>
    </w:p>
    <w:p w14:paraId="13807761" w14:textId="77777777" w:rsidR="00C500F0" w:rsidRPr="00C500F0" w:rsidRDefault="00BF6A2D" w:rsidP="00C500F0">
      <w:pPr>
        <w:spacing w:before="120"/>
        <w:ind w:left="720"/>
        <w:jc w:val="both"/>
        <w:rPr>
          <w:rFonts w:ascii="Arial" w:eastAsia="Calibri" w:hAnsi="Arial" w:cs="Arial"/>
          <w:sz w:val="24"/>
          <w:szCs w:val="24"/>
        </w:rPr>
      </w:pPr>
      <w:r w:rsidRPr="00C500F0">
        <w:rPr>
          <w:rFonts w:ascii="Arial" w:eastAsia="Calibri" w:hAnsi="Arial" w:cs="Arial"/>
          <w:sz w:val="24"/>
          <w:szCs w:val="24"/>
        </w:rPr>
        <w:t>The Exchange may use third parties to process information or provide other administrative services. Any third party will be obliged to adhere to the security and confidentiality provisions set out in this policy.</w:t>
      </w:r>
    </w:p>
    <w:p w14:paraId="42707BFC" w14:textId="77777777" w:rsidR="00C500F0" w:rsidRPr="00C500F0" w:rsidRDefault="00BF6A2D" w:rsidP="00C500F0">
      <w:pPr>
        <w:spacing w:before="120"/>
        <w:ind w:left="720"/>
        <w:jc w:val="both"/>
        <w:rPr>
          <w:rFonts w:ascii="Arial" w:eastAsia="Calibri" w:hAnsi="Arial" w:cs="Arial"/>
          <w:sz w:val="24"/>
          <w:szCs w:val="24"/>
        </w:rPr>
      </w:pPr>
      <w:r w:rsidRPr="00C500F0">
        <w:rPr>
          <w:rFonts w:ascii="Arial" w:eastAsia="Calibri" w:hAnsi="Arial" w:cs="Arial"/>
          <w:sz w:val="24"/>
          <w:szCs w:val="24"/>
        </w:rPr>
        <w:t>All personal information provided to or collected by or on behalf of The Exchange and that is retained by The Exchange is kept in a secure environment. Only those employees who need to know the information for the purposes listed above are permitted access to the information or any summary thereof. Employees are instructed to keep the information confidential at all times.</w:t>
      </w:r>
    </w:p>
    <w:p w14:paraId="705151C7" w14:textId="77777777" w:rsidR="00C500F0" w:rsidRPr="00C500F0" w:rsidRDefault="00BF6A2D" w:rsidP="00C500F0">
      <w:pPr>
        <w:spacing w:before="120"/>
        <w:ind w:left="720"/>
        <w:jc w:val="both"/>
        <w:rPr>
          <w:rFonts w:ascii="Arial" w:eastAsia="Calibri" w:hAnsi="Arial" w:cs="Arial"/>
          <w:sz w:val="24"/>
          <w:szCs w:val="24"/>
        </w:rPr>
      </w:pPr>
      <w:r w:rsidRPr="00C500F0">
        <w:rPr>
          <w:rFonts w:ascii="Arial" w:eastAsia="Calibri" w:hAnsi="Arial" w:cs="Arial"/>
          <w:sz w:val="24"/>
          <w:szCs w:val="24"/>
        </w:rPr>
        <w:t>Information about you that is retained by the Exchange and that you have identified as inaccurate or obsolete will be corrected or removed.</w:t>
      </w:r>
    </w:p>
    <w:p w14:paraId="7ABB3A52" w14:textId="77777777" w:rsidR="00C500F0" w:rsidRPr="00C500F0" w:rsidRDefault="00BF6A2D" w:rsidP="00C500F0">
      <w:pPr>
        <w:spacing w:before="120"/>
        <w:ind w:left="720"/>
        <w:jc w:val="both"/>
        <w:rPr>
          <w:rFonts w:ascii="Arial" w:eastAsia="Calibri" w:hAnsi="Arial" w:cs="Arial"/>
          <w:sz w:val="24"/>
          <w:szCs w:val="24"/>
        </w:rPr>
      </w:pPr>
      <w:r w:rsidRPr="00C500F0">
        <w:rPr>
          <w:rFonts w:ascii="Arial" w:eastAsia="Calibri" w:hAnsi="Arial" w:cs="Arial"/>
          <w:sz w:val="24"/>
          <w:szCs w:val="24"/>
        </w:rPr>
        <w:t>If you wish to consult your file or have any questions about this policy or our practices, please write the Chief Privacy Officer, Canadian Securities Exchange, 220 Bay Street – 9th Floor, Toronto, ON, M5J 2W4.</w:t>
      </w:r>
    </w:p>
    <w:p w14:paraId="7BB965E1" w14:textId="77777777" w:rsidR="00C500F0" w:rsidRPr="00C500F0" w:rsidRDefault="00C500F0" w:rsidP="00C500F0">
      <w:pPr>
        <w:pStyle w:val="List"/>
        <w:tabs>
          <w:tab w:val="left" w:pos="9180"/>
          <w:tab w:val="left" w:pos="9360"/>
        </w:tabs>
        <w:ind w:left="5760" w:hanging="5760"/>
        <w:jc w:val="both"/>
        <w:rPr>
          <w:rFonts w:ascii="Arial" w:hAnsi="Arial"/>
          <w:szCs w:val="24"/>
        </w:rPr>
      </w:pPr>
    </w:p>
    <w:sectPr w:rsidR="00C500F0" w:rsidRPr="00C500F0" w:rsidSect="008003B9">
      <w:headerReference w:type="even" r:id="rId11"/>
      <w:headerReference w:type="default" r:id="rId12"/>
      <w:footerReference w:type="even" r:id="rId13"/>
      <w:footerReference w:type="default" r:id="rId14"/>
      <w:headerReference w:type="first" r:id="rId15"/>
      <w:footerReference w:type="first" r:id="rId16"/>
      <w:pgSz w:w="12240" w:h="15840" w:code="1"/>
      <w:pgMar w:top="1152" w:right="1440" w:bottom="1152" w:left="1440" w:header="720" w:footer="93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D58A9" w14:textId="77777777" w:rsidR="00A724FF" w:rsidRDefault="00A724FF">
      <w:r>
        <w:separator/>
      </w:r>
    </w:p>
  </w:endnote>
  <w:endnote w:type="continuationSeparator" w:id="0">
    <w:p w14:paraId="480383C6" w14:textId="77777777" w:rsidR="00A724FF" w:rsidRDefault="00A72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12p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otype Sorts">
    <w:altName w:val="Symbol"/>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98600" w14:textId="77777777" w:rsidR="006C2A21" w:rsidRDefault="006C2A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BE88C" w14:textId="31A68B5B" w:rsidR="00EA4133" w:rsidRDefault="00BF6A2D" w:rsidP="008003B9">
    <w:pPr>
      <w:tabs>
        <w:tab w:val="center" w:pos="4674"/>
        <w:tab w:val="left" w:pos="8460"/>
      </w:tabs>
      <w:jc w:val="center"/>
      <w:rPr>
        <w:rStyle w:val="PageNumber"/>
        <w:rFonts w:ascii="Arial" w:hAnsi="Arial" w:cs="Arial"/>
        <w:b/>
      </w:rPr>
    </w:pPr>
    <w:r>
      <w:rPr>
        <w:b/>
        <w:noProof/>
        <w:lang w:val="en-CA" w:eastAsia="en-CA"/>
      </w:rPr>
      <mc:AlternateContent>
        <mc:Choice Requires="wps">
          <w:drawing>
            <wp:anchor distT="0" distB="0" distL="114300" distR="114300" simplePos="0" relativeHeight="251658240" behindDoc="0" locked="0" layoutInCell="1" allowOverlap="1" wp14:anchorId="4E8F8EA8" wp14:editId="7460B13F">
              <wp:simplePos x="0" y="0"/>
              <wp:positionH relativeFrom="column">
                <wp:posOffset>51435</wp:posOffset>
              </wp:positionH>
              <wp:positionV relativeFrom="paragraph">
                <wp:posOffset>-20321</wp:posOffset>
              </wp:positionV>
              <wp:extent cx="586359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63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2049" style="flip:x;mso-height-percent:0;mso-height-relative:page;mso-width-percent:0;mso-width-relative:page;mso-wrap-distance-bottom:0;mso-wrap-distance-left:9pt;mso-wrap-distance-right:9pt;mso-wrap-distance-top:0;mso-wrap-style:square;position:absolute;visibility:visible;z-index:251659264" from="4.05pt,-1.6pt" to="465.75pt,-1.6pt"/>
          </w:pict>
        </mc:Fallback>
      </mc:AlternateContent>
    </w:r>
    <w:r>
      <w:rPr>
        <w:rFonts w:ascii="Arial" w:hAnsi="Arial" w:cs="Arial"/>
        <w:b/>
      </w:rPr>
      <w:t xml:space="preserve">FORM 9 – NOTICE OF </w:t>
    </w:r>
    <w:r w:rsidR="00C536D3">
      <w:rPr>
        <w:rFonts w:ascii="Arial" w:hAnsi="Arial" w:cs="Arial"/>
        <w:b/>
      </w:rPr>
      <w:t xml:space="preserve">ISSUANCE OR </w:t>
    </w:r>
    <w:r>
      <w:rPr>
        <w:rFonts w:ascii="Arial" w:hAnsi="Arial" w:cs="Arial"/>
        <w:b/>
      </w:rPr>
      <w:t>PROPOSED ISSUANCE OF</w:t>
    </w:r>
  </w:p>
  <w:p w14:paraId="79E4FA01" w14:textId="77777777" w:rsidR="00EA4133" w:rsidRDefault="00BF6A2D" w:rsidP="008003B9">
    <w:pPr>
      <w:tabs>
        <w:tab w:val="center" w:pos="4674"/>
        <w:tab w:val="left" w:pos="8460"/>
      </w:tabs>
      <w:jc w:val="center"/>
      <w:rPr>
        <w:rStyle w:val="PageNumber"/>
        <w:rFonts w:ascii="Arial" w:hAnsi="Arial" w:cs="Arial"/>
        <w:b/>
      </w:rPr>
    </w:pPr>
    <w:r>
      <w:rPr>
        <w:rFonts w:ascii="Arial" w:hAnsi="Arial" w:cs="Arial"/>
        <w:b/>
      </w:rPr>
      <w:t>LISTED SECURITIES</w:t>
    </w:r>
  </w:p>
  <w:p w14:paraId="6057EC93" w14:textId="3319DB06" w:rsidR="00EA4133" w:rsidRDefault="00BF6A2D" w:rsidP="008003B9">
    <w:pPr>
      <w:pStyle w:val="Footer"/>
      <w:tabs>
        <w:tab w:val="clear" w:pos="4320"/>
        <w:tab w:val="clear" w:pos="8640"/>
        <w:tab w:val="center" w:pos="4860"/>
        <w:tab w:val="right" w:pos="9360"/>
      </w:tabs>
      <w:jc w:val="center"/>
      <w:rPr>
        <w:rStyle w:val="PageNumber"/>
        <w:rFonts w:ascii="Arial" w:hAnsi="Arial" w:cs="Arial"/>
        <w:sz w:val="16"/>
        <w:szCs w:val="16"/>
      </w:rPr>
    </w:pPr>
    <w:r>
      <w:rPr>
        <w:rStyle w:val="PageNumber"/>
        <w:rFonts w:ascii="Arial" w:hAnsi="Arial" w:cs="Arial"/>
        <w:sz w:val="16"/>
        <w:szCs w:val="16"/>
      </w:rPr>
      <w:t>March 2023</w:t>
    </w:r>
  </w:p>
  <w:p w14:paraId="281BB91E" w14:textId="77777777" w:rsidR="00EA4133" w:rsidRPr="002557FD" w:rsidRDefault="00BF6A2D" w:rsidP="008003B9">
    <w:pPr>
      <w:pStyle w:val="Footer"/>
      <w:jc w:val="center"/>
      <w:rPr>
        <w:rFonts w:ascii="Arial" w:hAnsi="Arial" w:cs="Arial"/>
        <w:sz w:val="16"/>
        <w:szCs w:val="16"/>
      </w:rPr>
    </w:pPr>
    <w:r w:rsidRPr="002557FD">
      <w:rPr>
        <w:rStyle w:val="PageNumber"/>
        <w:rFonts w:ascii="Arial" w:hAnsi="Arial" w:cs="Arial"/>
        <w:sz w:val="16"/>
        <w:szCs w:val="16"/>
      </w:rPr>
      <w:t xml:space="preserve">Page </w:t>
    </w:r>
    <w:r w:rsidR="000C7CEC" w:rsidRPr="002557FD">
      <w:rPr>
        <w:rStyle w:val="PageNumber"/>
        <w:rFonts w:ascii="Arial" w:hAnsi="Arial" w:cs="Arial"/>
        <w:sz w:val="16"/>
        <w:szCs w:val="16"/>
      </w:rPr>
      <w:fldChar w:fldCharType="begin"/>
    </w:r>
    <w:r w:rsidRPr="002557FD">
      <w:rPr>
        <w:rStyle w:val="PageNumber"/>
        <w:rFonts w:ascii="Arial" w:hAnsi="Arial" w:cs="Arial"/>
        <w:sz w:val="16"/>
        <w:szCs w:val="16"/>
      </w:rPr>
      <w:instrText xml:space="preserve"> PAGE </w:instrText>
    </w:r>
    <w:r w:rsidR="000C7CEC" w:rsidRPr="002557FD">
      <w:rPr>
        <w:rStyle w:val="PageNumber"/>
        <w:rFonts w:ascii="Arial" w:hAnsi="Arial" w:cs="Arial"/>
        <w:sz w:val="16"/>
        <w:szCs w:val="16"/>
      </w:rPr>
      <w:fldChar w:fldCharType="separate"/>
    </w:r>
    <w:r w:rsidR="009C1EC2">
      <w:rPr>
        <w:rStyle w:val="PageNumber"/>
        <w:rFonts w:ascii="Arial" w:hAnsi="Arial" w:cs="Arial"/>
        <w:noProof/>
        <w:sz w:val="16"/>
        <w:szCs w:val="16"/>
      </w:rPr>
      <w:t>1</w:t>
    </w:r>
    <w:r w:rsidR="000C7CEC" w:rsidRPr="002557FD">
      <w:rPr>
        <w:rStyle w:val="PageNumbe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DA7E0" w14:textId="0D04A8FB" w:rsidR="00EA4133" w:rsidRDefault="00BF6A2D">
    <w:pPr>
      <w:pStyle w:val="Footer"/>
    </w:pPr>
    <w:r>
      <w:t>3214.001\0180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D3B31" w14:textId="77777777" w:rsidR="00A724FF" w:rsidRDefault="00A724FF">
      <w:r>
        <w:separator/>
      </w:r>
    </w:p>
  </w:footnote>
  <w:footnote w:type="continuationSeparator" w:id="0">
    <w:p w14:paraId="603C6980" w14:textId="77777777" w:rsidR="00A724FF" w:rsidRDefault="00A724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71FBA" w14:textId="77777777" w:rsidR="006C2A21" w:rsidRDefault="006C2A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3E404" w14:textId="77777777" w:rsidR="006C2A21" w:rsidRDefault="006C2A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5774A" w14:textId="77777777" w:rsidR="006C2A21" w:rsidRDefault="006C2A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95CAE"/>
    <w:multiLevelType w:val="singleLevel"/>
    <w:tmpl w:val="9F2606B0"/>
    <w:lvl w:ilvl="0">
      <w:start w:val="3"/>
      <w:numFmt w:val="decimal"/>
      <w:lvlText w:val="%1."/>
      <w:lvlJc w:val="left"/>
      <w:pPr>
        <w:tabs>
          <w:tab w:val="num" w:pos="720"/>
        </w:tabs>
        <w:ind w:left="720" w:hanging="720"/>
      </w:pPr>
      <w:rPr>
        <w:rFonts w:ascii="Century Gothic" w:hAnsi="Century Gothic" w:hint="default"/>
        <w:b/>
      </w:rPr>
    </w:lvl>
  </w:abstractNum>
  <w:abstractNum w:abstractNumId="1" w15:restartNumberingAfterBreak="0">
    <w:nsid w:val="04DF1A06"/>
    <w:multiLevelType w:val="singleLevel"/>
    <w:tmpl w:val="0622BA54"/>
    <w:lvl w:ilvl="0">
      <w:start w:val="5"/>
      <w:numFmt w:val="lowerLetter"/>
      <w:lvlText w:val="(%1)"/>
      <w:lvlJc w:val="left"/>
      <w:pPr>
        <w:tabs>
          <w:tab w:val="num" w:pos="2160"/>
        </w:tabs>
        <w:ind w:left="2160" w:hanging="1080"/>
      </w:pPr>
      <w:rPr>
        <w:rFonts w:hint="default"/>
      </w:rPr>
    </w:lvl>
  </w:abstractNum>
  <w:abstractNum w:abstractNumId="2" w15:restartNumberingAfterBreak="0">
    <w:nsid w:val="124D4E82"/>
    <w:multiLevelType w:val="singleLevel"/>
    <w:tmpl w:val="EC1E0226"/>
    <w:lvl w:ilvl="0">
      <w:start w:val="1"/>
      <w:numFmt w:val="decimal"/>
      <w:lvlText w:val="%1."/>
      <w:lvlJc w:val="left"/>
      <w:pPr>
        <w:tabs>
          <w:tab w:val="num" w:pos="1080"/>
        </w:tabs>
        <w:ind w:left="1080" w:hanging="1080"/>
      </w:pPr>
      <w:rPr>
        <w:rFonts w:hint="default"/>
      </w:rPr>
    </w:lvl>
  </w:abstractNum>
  <w:abstractNum w:abstractNumId="3" w15:restartNumberingAfterBreak="0">
    <w:nsid w:val="29655154"/>
    <w:multiLevelType w:val="singleLevel"/>
    <w:tmpl w:val="6FF8E312"/>
    <w:lvl w:ilvl="0">
      <w:start w:val="1"/>
      <w:numFmt w:val="lowerLetter"/>
      <w:lvlText w:val="(%1)"/>
      <w:lvlJc w:val="left"/>
      <w:pPr>
        <w:tabs>
          <w:tab w:val="num" w:pos="2160"/>
        </w:tabs>
        <w:ind w:left="2160" w:hanging="1080"/>
      </w:pPr>
      <w:rPr>
        <w:rFonts w:hint="default"/>
      </w:rPr>
    </w:lvl>
  </w:abstractNum>
  <w:abstractNum w:abstractNumId="4" w15:restartNumberingAfterBreak="0">
    <w:nsid w:val="2CC81F21"/>
    <w:multiLevelType w:val="singleLevel"/>
    <w:tmpl w:val="0DEA0E42"/>
    <w:lvl w:ilvl="0">
      <w:start w:val="3"/>
      <w:numFmt w:val="decimal"/>
      <w:lvlText w:val="%1."/>
      <w:lvlJc w:val="left"/>
      <w:pPr>
        <w:tabs>
          <w:tab w:val="num" w:pos="1080"/>
        </w:tabs>
        <w:ind w:left="1080" w:hanging="1080"/>
      </w:pPr>
      <w:rPr>
        <w:rFonts w:hint="default"/>
        <w:u w:val="none"/>
      </w:rPr>
    </w:lvl>
  </w:abstractNum>
  <w:abstractNum w:abstractNumId="5" w15:restartNumberingAfterBreak="0">
    <w:nsid w:val="30C64A38"/>
    <w:multiLevelType w:val="singleLevel"/>
    <w:tmpl w:val="05F4C128"/>
    <w:lvl w:ilvl="0">
      <w:start w:val="1"/>
      <w:numFmt w:val="decimal"/>
      <w:lvlText w:val="(%1)"/>
      <w:lvlJc w:val="left"/>
      <w:pPr>
        <w:tabs>
          <w:tab w:val="num" w:pos="390"/>
        </w:tabs>
        <w:ind w:left="390" w:hanging="390"/>
      </w:pPr>
      <w:rPr>
        <w:rFonts w:hint="default"/>
      </w:rPr>
    </w:lvl>
  </w:abstractNum>
  <w:abstractNum w:abstractNumId="6" w15:restartNumberingAfterBreak="0">
    <w:nsid w:val="385C6C5B"/>
    <w:multiLevelType w:val="hybridMultilevel"/>
    <w:tmpl w:val="D9DEBE06"/>
    <w:lvl w:ilvl="0" w:tplc="6A72F53E">
      <w:start w:val="1"/>
      <w:numFmt w:val="decimal"/>
      <w:lvlText w:val="(%1)"/>
      <w:lvlJc w:val="left"/>
      <w:pPr>
        <w:tabs>
          <w:tab w:val="num" w:pos="720"/>
        </w:tabs>
        <w:ind w:left="720" w:hanging="360"/>
      </w:pPr>
      <w:rPr>
        <w:rFonts w:hint="default"/>
      </w:rPr>
    </w:lvl>
    <w:lvl w:ilvl="1" w:tplc="FAB24A98" w:tentative="1">
      <w:start w:val="1"/>
      <w:numFmt w:val="lowerLetter"/>
      <w:lvlText w:val="%2."/>
      <w:lvlJc w:val="left"/>
      <w:pPr>
        <w:tabs>
          <w:tab w:val="num" w:pos="1440"/>
        </w:tabs>
        <w:ind w:left="1440" w:hanging="360"/>
      </w:pPr>
    </w:lvl>
    <w:lvl w:ilvl="2" w:tplc="21E81BFC" w:tentative="1">
      <w:start w:val="1"/>
      <w:numFmt w:val="lowerRoman"/>
      <w:lvlText w:val="%3."/>
      <w:lvlJc w:val="right"/>
      <w:pPr>
        <w:tabs>
          <w:tab w:val="num" w:pos="2160"/>
        </w:tabs>
        <w:ind w:left="2160" w:hanging="180"/>
      </w:pPr>
    </w:lvl>
    <w:lvl w:ilvl="3" w:tplc="D2B89722" w:tentative="1">
      <w:start w:val="1"/>
      <w:numFmt w:val="decimal"/>
      <w:lvlText w:val="%4."/>
      <w:lvlJc w:val="left"/>
      <w:pPr>
        <w:tabs>
          <w:tab w:val="num" w:pos="2880"/>
        </w:tabs>
        <w:ind w:left="2880" w:hanging="360"/>
      </w:pPr>
    </w:lvl>
    <w:lvl w:ilvl="4" w:tplc="A2C042AA" w:tentative="1">
      <w:start w:val="1"/>
      <w:numFmt w:val="lowerLetter"/>
      <w:lvlText w:val="%5."/>
      <w:lvlJc w:val="left"/>
      <w:pPr>
        <w:tabs>
          <w:tab w:val="num" w:pos="3600"/>
        </w:tabs>
        <w:ind w:left="3600" w:hanging="360"/>
      </w:pPr>
    </w:lvl>
    <w:lvl w:ilvl="5" w:tplc="EBF6EC4A" w:tentative="1">
      <w:start w:val="1"/>
      <w:numFmt w:val="lowerRoman"/>
      <w:lvlText w:val="%6."/>
      <w:lvlJc w:val="right"/>
      <w:pPr>
        <w:tabs>
          <w:tab w:val="num" w:pos="4320"/>
        </w:tabs>
        <w:ind w:left="4320" w:hanging="180"/>
      </w:pPr>
    </w:lvl>
    <w:lvl w:ilvl="6" w:tplc="7A381278" w:tentative="1">
      <w:start w:val="1"/>
      <w:numFmt w:val="decimal"/>
      <w:lvlText w:val="%7."/>
      <w:lvlJc w:val="left"/>
      <w:pPr>
        <w:tabs>
          <w:tab w:val="num" w:pos="5040"/>
        </w:tabs>
        <w:ind w:left="5040" w:hanging="360"/>
      </w:pPr>
    </w:lvl>
    <w:lvl w:ilvl="7" w:tplc="C9A09F1C" w:tentative="1">
      <w:start w:val="1"/>
      <w:numFmt w:val="lowerLetter"/>
      <w:lvlText w:val="%8."/>
      <w:lvlJc w:val="left"/>
      <w:pPr>
        <w:tabs>
          <w:tab w:val="num" w:pos="5760"/>
        </w:tabs>
        <w:ind w:left="5760" w:hanging="360"/>
      </w:pPr>
    </w:lvl>
    <w:lvl w:ilvl="8" w:tplc="70CCBC0C" w:tentative="1">
      <w:start w:val="1"/>
      <w:numFmt w:val="lowerRoman"/>
      <w:lvlText w:val="%9."/>
      <w:lvlJc w:val="right"/>
      <w:pPr>
        <w:tabs>
          <w:tab w:val="num" w:pos="6480"/>
        </w:tabs>
        <w:ind w:left="6480" w:hanging="180"/>
      </w:pPr>
    </w:lvl>
  </w:abstractNum>
  <w:abstractNum w:abstractNumId="7" w15:restartNumberingAfterBreak="0">
    <w:nsid w:val="42631143"/>
    <w:multiLevelType w:val="singleLevel"/>
    <w:tmpl w:val="A6E4F7D0"/>
    <w:lvl w:ilvl="0">
      <w:start w:val="13"/>
      <w:numFmt w:val="decimal"/>
      <w:lvlText w:val="%1."/>
      <w:lvlJc w:val="left"/>
      <w:pPr>
        <w:tabs>
          <w:tab w:val="num" w:pos="360"/>
        </w:tabs>
        <w:ind w:left="360" w:hanging="360"/>
      </w:pPr>
      <w:rPr>
        <w:rFonts w:hint="default"/>
      </w:rPr>
    </w:lvl>
  </w:abstractNum>
  <w:abstractNum w:abstractNumId="8" w15:restartNumberingAfterBreak="0">
    <w:nsid w:val="55932F2D"/>
    <w:multiLevelType w:val="singleLevel"/>
    <w:tmpl w:val="707EF16E"/>
    <w:lvl w:ilvl="0">
      <w:start w:val="1"/>
      <w:numFmt w:val="decimal"/>
      <w:lvlText w:val="%1."/>
      <w:lvlJc w:val="left"/>
      <w:pPr>
        <w:tabs>
          <w:tab w:val="num" w:pos="360"/>
        </w:tabs>
        <w:ind w:left="360" w:hanging="360"/>
      </w:pPr>
      <w:rPr>
        <w:u w:val="none"/>
      </w:rPr>
    </w:lvl>
  </w:abstractNum>
  <w:abstractNum w:abstractNumId="9" w15:restartNumberingAfterBreak="0">
    <w:nsid w:val="56F94763"/>
    <w:multiLevelType w:val="singleLevel"/>
    <w:tmpl w:val="B790C58E"/>
    <w:lvl w:ilvl="0">
      <w:start w:val="1"/>
      <w:numFmt w:val="decimal"/>
      <w:lvlText w:val="%1."/>
      <w:lvlJc w:val="left"/>
      <w:pPr>
        <w:tabs>
          <w:tab w:val="num" w:pos="1080"/>
        </w:tabs>
        <w:ind w:left="1080" w:hanging="1080"/>
      </w:pPr>
      <w:rPr>
        <w:rFonts w:hint="default"/>
      </w:rPr>
    </w:lvl>
  </w:abstractNum>
  <w:abstractNum w:abstractNumId="10" w15:restartNumberingAfterBreak="0">
    <w:nsid w:val="5E5520AE"/>
    <w:multiLevelType w:val="singleLevel"/>
    <w:tmpl w:val="DCBEE510"/>
    <w:lvl w:ilvl="0">
      <w:start w:val="2"/>
      <w:numFmt w:val="decimal"/>
      <w:lvlText w:val="%1."/>
      <w:lvlJc w:val="left"/>
      <w:pPr>
        <w:tabs>
          <w:tab w:val="num" w:pos="1080"/>
        </w:tabs>
        <w:ind w:left="1080" w:hanging="1080"/>
      </w:pPr>
      <w:rPr>
        <w:rFonts w:hint="default"/>
      </w:rPr>
    </w:lvl>
  </w:abstractNum>
  <w:abstractNum w:abstractNumId="11" w15:restartNumberingAfterBreak="0">
    <w:nsid w:val="6B0621FB"/>
    <w:multiLevelType w:val="singleLevel"/>
    <w:tmpl w:val="8BE43614"/>
    <w:lvl w:ilvl="0">
      <w:start w:val="4"/>
      <w:numFmt w:val="lowerLetter"/>
      <w:lvlText w:val=""/>
      <w:lvlJc w:val="left"/>
      <w:pPr>
        <w:tabs>
          <w:tab w:val="num" w:pos="360"/>
        </w:tabs>
        <w:ind w:left="360" w:hanging="360"/>
      </w:pPr>
      <w:rPr>
        <w:rFonts w:hint="default"/>
      </w:rPr>
    </w:lvl>
  </w:abstractNum>
  <w:abstractNum w:abstractNumId="12" w15:restartNumberingAfterBreak="0">
    <w:nsid w:val="71290289"/>
    <w:multiLevelType w:val="singleLevel"/>
    <w:tmpl w:val="8E8E52BE"/>
    <w:lvl w:ilvl="0">
      <w:start w:val="7"/>
      <w:numFmt w:val="decimal"/>
      <w:lvlText w:val="%1."/>
      <w:lvlJc w:val="left"/>
      <w:pPr>
        <w:tabs>
          <w:tab w:val="num" w:pos="360"/>
        </w:tabs>
        <w:ind w:left="360" w:hanging="360"/>
      </w:pPr>
      <w:rPr>
        <w:rFonts w:hint="default"/>
      </w:rPr>
    </w:lvl>
  </w:abstractNum>
  <w:abstractNum w:abstractNumId="13" w15:restartNumberingAfterBreak="0">
    <w:nsid w:val="719834E1"/>
    <w:multiLevelType w:val="singleLevel"/>
    <w:tmpl w:val="99E42FCE"/>
    <w:lvl w:ilvl="0">
      <w:start w:val="4"/>
      <w:numFmt w:val="upperLetter"/>
      <w:lvlText w:val="%1."/>
      <w:lvlJc w:val="left"/>
      <w:pPr>
        <w:tabs>
          <w:tab w:val="num" w:pos="1080"/>
        </w:tabs>
        <w:ind w:left="1080" w:hanging="1080"/>
      </w:pPr>
      <w:rPr>
        <w:rFonts w:hint="default"/>
      </w:rPr>
    </w:lvl>
  </w:abstractNum>
  <w:abstractNum w:abstractNumId="14" w15:restartNumberingAfterBreak="0">
    <w:nsid w:val="76BB4793"/>
    <w:multiLevelType w:val="singleLevel"/>
    <w:tmpl w:val="39E8C6C8"/>
    <w:lvl w:ilvl="0">
      <w:start w:val="2"/>
      <w:numFmt w:val="lowerLetter"/>
      <w:lvlText w:val="(%1)"/>
      <w:lvlJc w:val="left"/>
      <w:pPr>
        <w:tabs>
          <w:tab w:val="num" w:pos="2160"/>
        </w:tabs>
        <w:ind w:left="2160" w:hanging="1080"/>
      </w:pPr>
      <w:rPr>
        <w:rFonts w:hint="default"/>
        <w:u w:val="none"/>
      </w:rPr>
    </w:lvl>
  </w:abstractNum>
  <w:abstractNum w:abstractNumId="15" w15:restartNumberingAfterBreak="0">
    <w:nsid w:val="79D94BAD"/>
    <w:multiLevelType w:val="hybridMultilevel"/>
    <w:tmpl w:val="266EA8F8"/>
    <w:lvl w:ilvl="0" w:tplc="C50013DC">
      <w:start w:val="3"/>
      <w:numFmt w:val="decimal"/>
      <w:lvlText w:val="%1."/>
      <w:lvlJc w:val="left"/>
      <w:pPr>
        <w:tabs>
          <w:tab w:val="num" w:pos="1080"/>
        </w:tabs>
        <w:ind w:left="1080" w:hanging="1080"/>
      </w:pPr>
      <w:rPr>
        <w:rFonts w:hint="default"/>
        <w:u w:val="none"/>
      </w:rPr>
    </w:lvl>
    <w:lvl w:ilvl="1" w:tplc="2FE25596" w:tentative="1">
      <w:start w:val="1"/>
      <w:numFmt w:val="lowerLetter"/>
      <w:lvlText w:val="%2."/>
      <w:lvlJc w:val="left"/>
      <w:pPr>
        <w:tabs>
          <w:tab w:val="num" w:pos="2520"/>
        </w:tabs>
        <w:ind w:left="2520" w:hanging="360"/>
      </w:pPr>
    </w:lvl>
    <w:lvl w:ilvl="2" w:tplc="C9043E90" w:tentative="1">
      <w:start w:val="1"/>
      <w:numFmt w:val="lowerRoman"/>
      <w:lvlText w:val="%3."/>
      <w:lvlJc w:val="right"/>
      <w:pPr>
        <w:tabs>
          <w:tab w:val="num" w:pos="3240"/>
        </w:tabs>
        <w:ind w:left="3240" w:hanging="180"/>
      </w:pPr>
    </w:lvl>
    <w:lvl w:ilvl="3" w:tplc="94DE8EB8" w:tentative="1">
      <w:start w:val="1"/>
      <w:numFmt w:val="decimal"/>
      <w:lvlText w:val="%4."/>
      <w:lvlJc w:val="left"/>
      <w:pPr>
        <w:tabs>
          <w:tab w:val="num" w:pos="3960"/>
        </w:tabs>
        <w:ind w:left="3960" w:hanging="360"/>
      </w:pPr>
    </w:lvl>
    <w:lvl w:ilvl="4" w:tplc="C03651BE" w:tentative="1">
      <w:start w:val="1"/>
      <w:numFmt w:val="lowerLetter"/>
      <w:lvlText w:val="%5."/>
      <w:lvlJc w:val="left"/>
      <w:pPr>
        <w:tabs>
          <w:tab w:val="num" w:pos="4680"/>
        </w:tabs>
        <w:ind w:left="4680" w:hanging="360"/>
      </w:pPr>
    </w:lvl>
    <w:lvl w:ilvl="5" w:tplc="5AB89E80" w:tentative="1">
      <w:start w:val="1"/>
      <w:numFmt w:val="lowerRoman"/>
      <w:lvlText w:val="%6."/>
      <w:lvlJc w:val="right"/>
      <w:pPr>
        <w:tabs>
          <w:tab w:val="num" w:pos="5400"/>
        </w:tabs>
        <w:ind w:left="5400" w:hanging="180"/>
      </w:pPr>
    </w:lvl>
    <w:lvl w:ilvl="6" w:tplc="2B886A7E" w:tentative="1">
      <w:start w:val="1"/>
      <w:numFmt w:val="decimal"/>
      <w:lvlText w:val="%7."/>
      <w:lvlJc w:val="left"/>
      <w:pPr>
        <w:tabs>
          <w:tab w:val="num" w:pos="6120"/>
        </w:tabs>
        <w:ind w:left="6120" w:hanging="360"/>
      </w:pPr>
    </w:lvl>
    <w:lvl w:ilvl="7" w:tplc="DE7E2154" w:tentative="1">
      <w:start w:val="1"/>
      <w:numFmt w:val="lowerLetter"/>
      <w:lvlText w:val="%8."/>
      <w:lvlJc w:val="left"/>
      <w:pPr>
        <w:tabs>
          <w:tab w:val="num" w:pos="6840"/>
        </w:tabs>
        <w:ind w:left="6840" w:hanging="360"/>
      </w:pPr>
    </w:lvl>
    <w:lvl w:ilvl="8" w:tplc="F664FE8C" w:tentative="1">
      <w:start w:val="1"/>
      <w:numFmt w:val="lowerRoman"/>
      <w:lvlText w:val="%9."/>
      <w:lvlJc w:val="right"/>
      <w:pPr>
        <w:tabs>
          <w:tab w:val="num" w:pos="7560"/>
        </w:tabs>
        <w:ind w:left="7560" w:hanging="180"/>
      </w:pPr>
    </w:lvl>
  </w:abstractNum>
  <w:abstractNum w:abstractNumId="16" w15:restartNumberingAfterBreak="0">
    <w:nsid w:val="7A196E4E"/>
    <w:multiLevelType w:val="hybridMultilevel"/>
    <w:tmpl w:val="EF90006C"/>
    <w:lvl w:ilvl="0" w:tplc="D902C07C">
      <w:start w:val="1"/>
      <w:numFmt w:val="decimal"/>
      <w:lvlText w:val="%1."/>
      <w:lvlJc w:val="left"/>
      <w:pPr>
        <w:ind w:left="720" w:hanging="360"/>
      </w:pPr>
      <w:rPr>
        <w:b w:val="0"/>
        <w:bCs/>
        <w:sz w:val="20"/>
        <w:szCs w:val="20"/>
      </w:rPr>
    </w:lvl>
    <w:lvl w:ilvl="1" w:tplc="E2C08F5C" w:tentative="1">
      <w:start w:val="1"/>
      <w:numFmt w:val="lowerLetter"/>
      <w:lvlText w:val="%2."/>
      <w:lvlJc w:val="left"/>
      <w:pPr>
        <w:ind w:left="1440" w:hanging="360"/>
      </w:pPr>
    </w:lvl>
    <w:lvl w:ilvl="2" w:tplc="2F6E0EF4" w:tentative="1">
      <w:start w:val="1"/>
      <w:numFmt w:val="lowerRoman"/>
      <w:lvlText w:val="%3."/>
      <w:lvlJc w:val="right"/>
      <w:pPr>
        <w:ind w:left="2160" w:hanging="180"/>
      </w:pPr>
    </w:lvl>
    <w:lvl w:ilvl="3" w:tplc="E3BA08B8" w:tentative="1">
      <w:start w:val="1"/>
      <w:numFmt w:val="decimal"/>
      <w:lvlText w:val="%4."/>
      <w:lvlJc w:val="left"/>
      <w:pPr>
        <w:ind w:left="2880" w:hanging="360"/>
      </w:pPr>
    </w:lvl>
    <w:lvl w:ilvl="4" w:tplc="D9CAD412" w:tentative="1">
      <w:start w:val="1"/>
      <w:numFmt w:val="lowerLetter"/>
      <w:lvlText w:val="%5."/>
      <w:lvlJc w:val="left"/>
      <w:pPr>
        <w:ind w:left="3600" w:hanging="360"/>
      </w:pPr>
    </w:lvl>
    <w:lvl w:ilvl="5" w:tplc="6B285CC2" w:tentative="1">
      <w:start w:val="1"/>
      <w:numFmt w:val="lowerRoman"/>
      <w:lvlText w:val="%6."/>
      <w:lvlJc w:val="right"/>
      <w:pPr>
        <w:ind w:left="4320" w:hanging="180"/>
      </w:pPr>
    </w:lvl>
    <w:lvl w:ilvl="6" w:tplc="109CA816" w:tentative="1">
      <w:start w:val="1"/>
      <w:numFmt w:val="decimal"/>
      <w:lvlText w:val="%7."/>
      <w:lvlJc w:val="left"/>
      <w:pPr>
        <w:ind w:left="5040" w:hanging="360"/>
      </w:pPr>
    </w:lvl>
    <w:lvl w:ilvl="7" w:tplc="BD644F80" w:tentative="1">
      <w:start w:val="1"/>
      <w:numFmt w:val="lowerLetter"/>
      <w:lvlText w:val="%8."/>
      <w:lvlJc w:val="left"/>
      <w:pPr>
        <w:ind w:left="5760" w:hanging="360"/>
      </w:pPr>
    </w:lvl>
    <w:lvl w:ilvl="8" w:tplc="46E646BA" w:tentative="1">
      <w:start w:val="1"/>
      <w:numFmt w:val="lowerRoman"/>
      <w:lvlText w:val="%9."/>
      <w:lvlJc w:val="right"/>
      <w:pPr>
        <w:ind w:left="6480" w:hanging="180"/>
      </w:pPr>
    </w:lvl>
  </w:abstractNum>
  <w:abstractNum w:abstractNumId="17" w15:restartNumberingAfterBreak="0">
    <w:nsid w:val="7D7422CE"/>
    <w:multiLevelType w:val="singleLevel"/>
    <w:tmpl w:val="E2567878"/>
    <w:lvl w:ilvl="0">
      <w:start w:val="1"/>
      <w:numFmt w:val="decimal"/>
      <w:lvlText w:val="%1."/>
      <w:lvlJc w:val="left"/>
      <w:pPr>
        <w:tabs>
          <w:tab w:val="num" w:pos="1170"/>
        </w:tabs>
        <w:ind w:left="1170" w:hanging="1170"/>
      </w:pPr>
      <w:rPr>
        <w:rFonts w:ascii="Century Gothic" w:hAnsi="Century Gothic" w:hint="default"/>
        <w:b/>
      </w:rPr>
    </w:lvl>
  </w:abstractNum>
  <w:num w:numId="1" w16cid:durableId="32653726">
    <w:abstractNumId w:val="2"/>
  </w:num>
  <w:num w:numId="2" w16cid:durableId="1018237643">
    <w:abstractNumId w:val="12"/>
  </w:num>
  <w:num w:numId="3" w16cid:durableId="448670653">
    <w:abstractNumId w:val="9"/>
  </w:num>
  <w:num w:numId="4" w16cid:durableId="1698196109">
    <w:abstractNumId w:val="13"/>
  </w:num>
  <w:num w:numId="5" w16cid:durableId="69162638">
    <w:abstractNumId w:val="11"/>
  </w:num>
  <w:num w:numId="6" w16cid:durableId="1373195072">
    <w:abstractNumId w:val="0"/>
  </w:num>
  <w:num w:numId="7" w16cid:durableId="1009331414">
    <w:abstractNumId w:val="10"/>
  </w:num>
  <w:num w:numId="8" w16cid:durableId="2009747472">
    <w:abstractNumId w:val="5"/>
  </w:num>
  <w:num w:numId="9" w16cid:durableId="329254125">
    <w:abstractNumId w:val="7"/>
  </w:num>
  <w:num w:numId="10" w16cid:durableId="616760397">
    <w:abstractNumId w:val="4"/>
  </w:num>
  <w:num w:numId="11" w16cid:durableId="519587576">
    <w:abstractNumId w:val="14"/>
  </w:num>
  <w:num w:numId="12" w16cid:durableId="1030448350">
    <w:abstractNumId w:val="17"/>
  </w:num>
  <w:num w:numId="13" w16cid:durableId="1361396453">
    <w:abstractNumId w:val="3"/>
  </w:num>
  <w:num w:numId="14" w16cid:durableId="366293824">
    <w:abstractNumId w:val="8"/>
  </w:num>
  <w:num w:numId="15" w16cid:durableId="1443957339">
    <w:abstractNumId w:val="1"/>
  </w:num>
  <w:num w:numId="16" w16cid:durableId="1574317130">
    <w:abstractNumId w:val="15"/>
  </w:num>
  <w:num w:numId="17" w16cid:durableId="564879573">
    <w:abstractNumId w:val="6"/>
  </w:num>
  <w:num w:numId="18" w16cid:durableId="1142162873">
    <w:abstractNumId w:val="16"/>
  </w:num>
  <w:num w:numId="19" w16cid:durableId="1982347578">
    <w:abstractNumId w:val="10"/>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8B3"/>
    <w:rsid w:val="00003125"/>
    <w:rsid w:val="0001060A"/>
    <w:rsid w:val="0001307C"/>
    <w:rsid w:val="00017E51"/>
    <w:rsid w:val="00017E85"/>
    <w:rsid w:val="000209D2"/>
    <w:rsid w:val="00035172"/>
    <w:rsid w:val="00037183"/>
    <w:rsid w:val="00046498"/>
    <w:rsid w:val="00055342"/>
    <w:rsid w:val="000561B6"/>
    <w:rsid w:val="0006492D"/>
    <w:rsid w:val="00074FFC"/>
    <w:rsid w:val="00081723"/>
    <w:rsid w:val="00082F67"/>
    <w:rsid w:val="0009462E"/>
    <w:rsid w:val="000B64EF"/>
    <w:rsid w:val="000C60DA"/>
    <w:rsid w:val="000C7CEC"/>
    <w:rsid w:val="000D68AA"/>
    <w:rsid w:val="000E6D45"/>
    <w:rsid w:val="000F4BBC"/>
    <w:rsid w:val="00107FAC"/>
    <w:rsid w:val="00116314"/>
    <w:rsid w:val="00117C40"/>
    <w:rsid w:val="0012089E"/>
    <w:rsid w:val="00122D6D"/>
    <w:rsid w:val="0012416A"/>
    <w:rsid w:val="00147684"/>
    <w:rsid w:val="001606B2"/>
    <w:rsid w:val="00167F90"/>
    <w:rsid w:val="00173F0B"/>
    <w:rsid w:val="0017658E"/>
    <w:rsid w:val="00184955"/>
    <w:rsid w:val="00186DA5"/>
    <w:rsid w:val="001A4A42"/>
    <w:rsid w:val="001C57DF"/>
    <w:rsid w:val="001D2C00"/>
    <w:rsid w:val="001E1917"/>
    <w:rsid w:val="001F26ED"/>
    <w:rsid w:val="002033BF"/>
    <w:rsid w:val="00241926"/>
    <w:rsid w:val="00243090"/>
    <w:rsid w:val="002469E4"/>
    <w:rsid w:val="002557FD"/>
    <w:rsid w:val="002560F1"/>
    <w:rsid w:val="0027045E"/>
    <w:rsid w:val="0027701F"/>
    <w:rsid w:val="002811EE"/>
    <w:rsid w:val="00283AF7"/>
    <w:rsid w:val="0028734A"/>
    <w:rsid w:val="002B1035"/>
    <w:rsid w:val="002B1174"/>
    <w:rsid w:val="002C2FAE"/>
    <w:rsid w:val="002E0C8A"/>
    <w:rsid w:val="002F0416"/>
    <w:rsid w:val="002F2284"/>
    <w:rsid w:val="002F5E07"/>
    <w:rsid w:val="00305EB6"/>
    <w:rsid w:val="00326D55"/>
    <w:rsid w:val="00334F1A"/>
    <w:rsid w:val="0033727A"/>
    <w:rsid w:val="003431FD"/>
    <w:rsid w:val="003436FE"/>
    <w:rsid w:val="0035331C"/>
    <w:rsid w:val="00366991"/>
    <w:rsid w:val="00367EF4"/>
    <w:rsid w:val="003734F4"/>
    <w:rsid w:val="003757C6"/>
    <w:rsid w:val="00376C91"/>
    <w:rsid w:val="003778A9"/>
    <w:rsid w:val="003A10EA"/>
    <w:rsid w:val="003A394C"/>
    <w:rsid w:val="003A5306"/>
    <w:rsid w:val="003B1CD8"/>
    <w:rsid w:val="003B423D"/>
    <w:rsid w:val="003B6894"/>
    <w:rsid w:val="003C6D7E"/>
    <w:rsid w:val="003C71D9"/>
    <w:rsid w:val="003D5B33"/>
    <w:rsid w:val="003D7FED"/>
    <w:rsid w:val="003F35F0"/>
    <w:rsid w:val="003F3683"/>
    <w:rsid w:val="003F7823"/>
    <w:rsid w:val="00404906"/>
    <w:rsid w:val="00404C75"/>
    <w:rsid w:val="0040599D"/>
    <w:rsid w:val="00411EE5"/>
    <w:rsid w:val="00414BC8"/>
    <w:rsid w:val="004558D6"/>
    <w:rsid w:val="00456624"/>
    <w:rsid w:val="0045683A"/>
    <w:rsid w:val="00467615"/>
    <w:rsid w:val="00467D7E"/>
    <w:rsid w:val="00483E6B"/>
    <w:rsid w:val="00485CAA"/>
    <w:rsid w:val="00491F50"/>
    <w:rsid w:val="00495C55"/>
    <w:rsid w:val="004A1403"/>
    <w:rsid w:val="004B214D"/>
    <w:rsid w:val="004C35B2"/>
    <w:rsid w:val="004D11BD"/>
    <w:rsid w:val="00504770"/>
    <w:rsid w:val="00524C0F"/>
    <w:rsid w:val="00526595"/>
    <w:rsid w:val="00530599"/>
    <w:rsid w:val="00531840"/>
    <w:rsid w:val="00544BCF"/>
    <w:rsid w:val="00582AF7"/>
    <w:rsid w:val="005837B9"/>
    <w:rsid w:val="005844D9"/>
    <w:rsid w:val="0058492D"/>
    <w:rsid w:val="005866BF"/>
    <w:rsid w:val="00590B7C"/>
    <w:rsid w:val="005A452C"/>
    <w:rsid w:val="005D35E3"/>
    <w:rsid w:val="005D671A"/>
    <w:rsid w:val="005E410C"/>
    <w:rsid w:val="00601190"/>
    <w:rsid w:val="0061130F"/>
    <w:rsid w:val="00617A0E"/>
    <w:rsid w:val="00622C50"/>
    <w:rsid w:val="0062717F"/>
    <w:rsid w:val="0064090F"/>
    <w:rsid w:val="006440A4"/>
    <w:rsid w:val="006604A6"/>
    <w:rsid w:val="006609DC"/>
    <w:rsid w:val="006879F8"/>
    <w:rsid w:val="00692E1E"/>
    <w:rsid w:val="00697CC9"/>
    <w:rsid w:val="006B5BAE"/>
    <w:rsid w:val="006C2A21"/>
    <w:rsid w:val="006C7E12"/>
    <w:rsid w:val="006F0C24"/>
    <w:rsid w:val="006F32D9"/>
    <w:rsid w:val="00722D0A"/>
    <w:rsid w:val="00727A1B"/>
    <w:rsid w:val="007311AF"/>
    <w:rsid w:val="00743BA9"/>
    <w:rsid w:val="0075570A"/>
    <w:rsid w:val="007568B3"/>
    <w:rsid w:val="00756DC7"/>
    <w:rsid w:val="007716EA"/>
    <w:rsid w:val="00771F7F"/>
    <w:rsid w:val="00777D31"/>
    <w:rsid w:val="00787468"/>
    <w:rsid w:val="00794232"/>
    <w:rsid w:val="007B0425"/>
    <w:rsid w:val="007B667E"/>
    <w:rsid w:val="007C212B"/>
    <w:rsid w:val="007C4F86"/>
    <w:rsid w:val="007D2CC4"/>
    <w:rsid w:val="007D60EB"/>
    <w:rsid w:val="007E3430"/>
    <w:rsid w:val="007F2C2C"/>
    <w:rsid w:val="008003B9"/>
    <w:rsid w:val="00801A1A"/>
    <w:rsid w:val="0080548F"/>
    <w:rsid w:val="00807357"/>
    <w:rsid w:val="00813F79"/>
    <w:rsid w:val="00821E60"/>
    <w:rsid w:val="00824F18"/>
    <w:rsid w:val="0083753A"/>
    <w:rsid w:val="00840B45"/>
    <w:rsid w:val="00842C27"/>
    <w:rsid w:val="008505F8"/>
    <w:rsid w:val="00856E7F"/>
    <w:rsid w:val="00884056"/>
    <w:rsid w:val="008A719A"/>
    <w:rsid w:val="008B3285"/>
    <w:rsid w:val="008E041A"/>
    <w:rsid w:val="008F0CC2"/>
    <w:rsid w:val="008F26DA"/>
    <w:rsid w:val="008F27FF"/>
    <w:rsid w:val="008F4C45"/>
    <w:rsid w:val="0090259D"/>
    <w:rsid w:val="00907533"/>
    <w:rsid w:val="009136E7"/>
    <w:rsid w:val="0091679F"/>
    <w:rsid w:val="00920583"/>
    <w:rsid w:val="00926A65"/>
    <w:rsid w:val="009466F0"/>
    <w:rsid w:val="00951528"/>
    <w:rsid w:val="009643C5"/>
    <w:rsid w:val="009661E7"/>
    <w:rsid w:val="00974165"/>
    <w:rsid w:val="0097763E"/>
    <w:rsid w:val="009846AF"/>
    <w:rsid w:val="00986113"/>
    <w:rsid w:val="009865A8"/>
    <w:rsid w:val="009906D4"/>
    <w:rsid w:val="009A10B4"/>
    <w:rsid w:val="009A68C0"/>
    <w:rsid w:val="009B32A3"/>
    <w:rsid w:val="009C0B0C"/>
    <w:rsid w:val="009C0DEF"/>
    <w:rsid w:val="009C1EC2"/>
    <w:rsid w:val="009E46EC"/>
    <w:rsid w:val="009E5514"/>
    <w:rsid w:val="00A00C54"/>
    <w:rsid w:val="00A03695"/>
    <w:rsid w:val="00A06B0F"/>
    <w:rsid w:val="00A10285"/>
    <w:rsid w:val="00A30F2B"/>
    <w:rsid w:val="00A3741C"/>
    <w:rsid w:val="00A50978"/>
    <w:rsid w:val="00A6085F"/>
    <w:rsid w:val="00A638B5"/>
    <w:rsid w:val="00A6733E"/>
    <w:rsid w:val="00A724FF"/>
    <w:rsid w:val="00A76A16"/>
    <w:rsid w:val="00A76BD4"/>
    <w:rsid w:val="00A90670"/>
    <w:rsid w:val="00A93530"/>
    <w:rsid w:val="00A9392C"/>
    <w:rsid w:val="00AC24CC"/>
    <w:rsid w:val="00AC3132"/>
    <w:rsid w:val="00AE0C61"/>
    <w:rsid w:val="00B52303"/>
    <w:rsid w:val="00B62B8C"/>
    <w:rsid w:val="00B64202"/>
    <w:rsid w:val="00B8143A"/>
    <w:rsid w:val="00B8217A"/>
    <w:rsid w:val="00B8220D"/>
    <w:rsid w:val="00B8623F"/>
    <w:rsid w:val="00B90847"/>
    <w:rsid w:val="00B923F6"/>
    <w:rsid w:val="00B9727A"/>
    <w:rsid w:val="00BA71AC"/>
    <w:rsid w:val="00BB6159"/>
    <w:rsid w:val="00BE2894"/>
    <w:rsid w:val="00BF6A2D"/>
    <w:rsid w:val="00BF78E4"/>
    <w:rsid w:val="00C024CC"/>
    <w:rsid w:val="00C10A32"/>
    <w:rsid w:val="00C11C91"/>
    <w:rsid w:val="00C15C51"/>
    <w:rsid w:val="00C4708D"/>
    <w:rsid w:val="00C500F0"/>
    <w:rsid w:val="00C536D3"/>
    <w:rsid w:val="00C8076B"/>
    <w:rsid w:val="00C827E2"/>
    <w:rsid w:val="00C877EC"/>
    <w:rsid w:val="00C90091"/>
    <w:rsid w:val="00C95CE4"/>
    <w:rsid w:val="00CA7C75"/>
    <w:rsid w:val="00CB791C"/>
    <w:rsid w:val="00CC2519"/>
    <w:rsid w:val="00CD1E19"/>
    <w:rsid w:val="00CE233C"/>
    <w:rsid w:val="00CF076A"/>
    <w:rsid w:val="00CF2A90"/>
    <w:rsid w:val="00CF5580"/>
    <w:rsid w:val="00CF7219"/>
    <w:rsid w:val="00CF72A4"/>
    <w:rsid w:val="00D61B0F"/>
    <w:rsid w:val="00D704DD"/>
    <w:rsid w:val="00D7398F"/>
    <w:rsid w:val="00D744EB"/>
    <w:rsid w:val="00D74D93"/>
    <w:rsid w:val="00D80945"/>
    <w:rsid w:val="00D82C70"/>
    <w:rsid w:val="00D9617A"/>
    <w:rsid w:val="00DA448A"/>
    <w:rsid w:val="00DA6830"/>
    <w:rsid w:val="00DB17C3"/>
    <w:rsid w:val="00DB2A21"/>
    <w:rsid w:val="00DB640C"/>
    <w:rsid w:val="00DE48BB"/>
    <w:rsid w:val="00DF2C95"/>
    <w:rsid w:val="00DF78FB"/>
    <w:rsid w:val="00E04038"/>
    <w:rsid w:val="00E04D2A"/>
    <w:rsid w:val="00E06C58"/>
    <w:rsid w:val="00E06F70"/>
    <w:rsid w:val="00E11DBA"/>
    <w:rsid w:val="00E13C33"/>
    <w:rsid w:val="00E270FF"/>
    <w:rsid w:val="00E41B92"/>
    <w:rsid w:val="00E52A1B"/>
    <w:rsid w:val="00E55E58"/>
    <w:rsid w:val="00E57BE9"/>
    <w:rsid w:val="00E57E84"/>
    <w:rsid w:val="00E7031C"/>
    <w:rsid w:val="00E83A64"/>
    <w:rsid w:val="00E843B0"/>
    <w:rsid w:val="00E97C13"/>
    <w:rsid w:val="00EA3129"/>
    <w:rsid w:val="00EA4133"/>
    <w:rsid w:val="00EC0A4A"/>
    <w:rsid w:val="00EE3681"/>
    <w:rsid w:val="00EF07DA"/>
    <w:rsid w:val="00EF4CC5"/>
    <w:rsid w:val="00EF6F2B"/>
    <w:rsid w:val="00F0645C"/>
    <w:rsid w:val="00F12552"/>
    <w:rsid w:val="00F12C2D"/>
    <w:rsid w:val="00F33BBE"/>
    <w:rsid w:val="00F511CE"/>
    <w:rsid w:val="00F610EA"/>
    <w:rsid w:val="00F8316D"/>
    <w:rsid w:val="00F8387B"/>
    <w:rsid w:val="00F90AAC"/>
    <w:rsid w:val="00FA64BC"/>
    <w:rsid w:val="00FB14F0"/>
    <w:rsid w:val="00FB3070"/>
    <w:rsid w:val="00FC0A23"/>
    <w:rsid w:val="00FC3F94"/>
    <w:rsid w:val="00FC6920"/>
    <w:rsid w:val="00FD5A28"/>
    <w:rsid w:val="00FE0209"/>
    <w:rsid w:val="00FE0835"/>
    <w:rsid w:val="00FE265D"/>
    <w:rsid w:val="00FE6F56"/>
    <w:rsid w:val="00FF418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C7E6C7"/>
  <w15:docId w15:val="{6D25E14C-F071-4A2F-8A76-89B376AE8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7CEC"/>
  </w:style>
  <w:style w:type="paragraph" w:styleId="Heading2">
    <w:name w:val="heading 2"/>
    <w:basedOn w:val="BodyText"/>
    <w:next w:val="BodyText"/>
    <w:qFormat/>
    <w:rsid w:val="000C7CEC"/>
    <w:pPr>
      <w:keepNext/>
      <w:ind w:left="1080" w:hanging="1080"/>
      <w:outlineLvl w:val="1"/>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7CEC"/>
    <w:pPr>
      <w:spacing w:before="240"/>
    </w:pPr>
    <w:rPr>
      <w:sz w:val="24"/>
      <w:lang w:val="en-GB"/>
    </w:rPr>
  </w:style>
  <w:style w:type="paragraph" w:styleId="List">
    <w:name w:val="List"/>
    <w:basedOn w:val="BodyText"/>
    <w:rsid w:val="000C7CEC"/>
    <w:pPr>
      <w:ind w:left="1080" w:hanging="1080"/>
    </w:pPr>
  </w:style>
  <w:style w:type="paragraph" w:styleId="List2">
    <w:name w:val="List 2"/>
    <w:basedOn w:val="List"/>
    <w:rsid w:val="000C7CEC"/>
    <w:pPr>
      <w:ind w:left="1800" w:hanging="720"/>
    </w:pPr>
  </w:style>
  <w:style w:type="paragraph" w:styleId="Title">
    <w:name w:val="Title"/>
    <w:basedOn w:val="BodyText"/>
    <w:qFormat/>
    <w:rsid w:val="000C7CEC"/>
    <w:pPr>
      <w:spacing w:after="240"/>
      <w:jc w:val="center"/>
    </w:pPr>
    <w:rPr>
      <w:rFonts w:ascii="Arial" w:hAnsi="Arial"/>
      <w:b/>
      <w:sz w:val="40"/>
    </w:rPr>
  </w:style>
  <w:style w:type="paragraph" w:customStyle="1" w:styleId="amend">
    <w:name w:val="amend"/>
    <w:basedOn w:val="Normal"/>
    <w:rsid w:val="000C7CEC"/>
    <w:pPr>
      <w:tabs>
        <w:tab w:val="left" w:pos="1080"/>
      </w:tabs>
      <w:spacing w:before="40" w:after="40"/>
      <w:jc w:val="right"/>
    </w:pPr>
    <w:rPr>
      <w:rFonts w:ascii="Arial" w:hAnsi="Arial"/>
      <w:b/>
      <w:sz w:val="24"/>
      <w:vertAlign w:val="superscript"/>
      <w:lang w:val="en-GB"/>
    </w:rPr>
  </w:style>
  <w:style w:type="paragraph" w:styleId="Header">
    <w:name w:val="header"/>
    <w:basedOn w:val="Normal"/>
    <w:rsid w:val="000C7CEC"/>
    <w:pPr>
      <w:tabs>
        <w:tab w:val="center" w:pos="4320"/>
        <w:tab w:val="right" w:pos="8640"/>
      </w:tabs>
    </w:pPr>
  </w:style>
  <w:style w:type="paragraph" w:styleId="Footer">
    <w:name w:val="footer"/>
    <w:basedOn w:val="Normal"/>
    <w:rsid w:val="000C7CEC"/>
    <w:pPr>
      <w:tabs>
        <w:tab w:val="center" w:pos="4320"/>
        <w:tab w:val="right" w:pos="8640"/>
      </w:tabs>
    </w:pPr>
  </w:style>
  <w:style w:type="character" w:styleId="PageNumber">
    <w:name w:val="page number"/>
    <w:basedOn w:val="DefaultParagraphFont"/>
    <w:rsid w:val="000C7CEC"/>
  </w:style>
  <w:style w:type="paragraph" w:styleId="EndnoteText">
    <w:name w:val="endnote text"/>
    <w:basedOn w:val="Normal"/>
    <w:semiHidden/>
    <w:rsid w:val="000C7CEC"/>
    <w:pPr>
      <w:widowControl w:val="0"/>
    </w:pPr>
    <w:rPr>
      <w:rFonts w:ascii="Helv 12pt" w:hAnsi="Helv 12pt"/>
      <w:sz w:val="24"/>
    </w:rPr>
  </w:style>
  <w:style w:type="paragraph" w:styleId="BalloonText">
    <w:name w:val="Balloon Text"/>
    <w:basedOn w:val="Normal"/>
    <w:semiHidden/>
    <w:rsid w:val="000C7CEC"/>
    <w:rPr>
      <w:rFonts w:ascii="Tahoma" w:hAnsi="Tahoma" w:cs="Tahoma"/>
      <w:sz w:val="16"/>
      <w:szCs w:val="16"/>
    </w:rPr>
  </w:style>
  <w:style w:type="paragraph" w:styleId="FootnoteText">
    <w:name w:val="footnote text"/>
    <w:basedOn w:val="Normal"/>
    <w:semiHidden/>
    <w:rsid w:val="000C7CEC"/>
  </w:style>
  <w:style w:type="character" w:styleId="FootnoteReference">
    <w:name w:val="footnote reference"/>
    <w:semiHidden/>
    <w:rsid w:val="000C7CEC"/>
    <w:rPr>
      <w:vertAlign w:val="superscript"/>
    </w:rPr>
  </w:style>
  <w:style w:type="table" w:styleId="TableGrid">
    <w:name w:val="Table Grid"/>
    <w:basedOn w:val="TableNormal"/>
    <w:uiPriority w:val="59"/>
    <w:rsid w:val="00840B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10A32"/>
    <w:rPr>
      <w:color w:val="0000FF" w:themeColor="hyperlink"/>
      <w:u w:val="single"/>
    </w:rPr>
  </w:style>
  <w:style w:type="paragraph" w:styleId="ListParagraph">
    <w:name w:val="List Paragraph"/>
    <w:basedOn w:val="Normal"/>
    <w:uiPriority w:val="34"/>
    <w:qFormat/>
    <w:rsid w:val="00C500F0"/>
    <w:pPr>
      <w:ind w:left="720"/>
      <w:contextualSpacing/>
    </w:pPr>
  </w:style>
  <w:style w:type="paragraph" w:styleId="Revision">
    <w:name w:val="Revision"/>
    <w:hidden/>
    <w:uiPriority w:val="99"/>
    <w:semiHidden/>
    <w:rsid w:val="00B908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roperties xmlns="http://www.imanage.com/work/xmlschema">
  <documentid>LEGAL!112101862.2</documentid>
  <senderid>MJEEWANJEE</senderid>
  <senderemail>MJEEWANJEE@COZEN.COM</senderemail>
  <lastmodified>2025-12-17T18:31:00.0000000-08:00</lastmodified>
  <database>LEGAL</database>
</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9F7C1CCB25E4B459B0DF769ABB4FBB0" ma:contentTypeVersion="10" ma:contentTypeDescription="Create a new document." ma:contentTypeScope="" ma:versionID="841f5e401902ffc88f2ff9d5094bb7f2">
  <xsd:schema xmlns:xsd="http://www.w3.org/2001/XMLSchema" xmlns:xs="http://www.w3.org/2001/XMLSchema" xmlns:p="http://schemas.microsoft.com/office/2006/metadata/properties" xmlns:ns2="b55fc5fa-176a-42f8-b6fe-631cecf16506" xmlns:ns3="8ed69889-1453-4be0-b9bb-54ddec6d2fdb" targetNamespace="http://schemas.microsoft.com/office/2006/metadata/properties" ma:root="true" ma:fieldsID="cb5d84227d81c0d3cfc75630d9edc5a7" ns2:_="" ns3:_="">
    <xsd:import namespace="b55fc5fa-176a-42f8-b6fe-631cecf16506"/>
    <xsd:import namespace="8ed69889-1453-4be0-b9bb-54ddec6d2f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5fc5fa-176a-42f8-b6fe-631cecf165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cf943c7-e9d3-4c5b-9af5-bbc789516a1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d69889-1453-4be0-b9bb-54ddec6d2fd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031499c-24df-4c38-9da1-2a2304b3e50d}" ma:internalName="TaxCatchAll" ma:showField="CatchAllData" ma:web="8ed69889-1453-4be0-b9bb-54ddec6d2f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55fc5fa-176a-42f8-b6fe-631cecf16506">
      <Terms xmlns="http://schemas.microsoft.com/office/infopath/2007/PartnerControls"/>
    </lcf76f155ced4ddcb4097134ff3c332f>
    <TaxCatchAll xmlns="8ed69889-1453-4be0-b9bb-54ddec6d2fdb" xsi:nil="true"/>
  </documentManagement>
</p:properties>
</file>

<file path=customXml/itemProps1.xml><?xml version="1.0" encoding="utf-8"?>
<ds:datastoreItem xmlns:ds="http://schemas.openxmlformats.org/officeDocument/2006/customXml" ds:itemID="{111C30F8-FBD5-4A97-86DC-C94345C3B8A9}">
  <ds:schemaRefs>
    <ds:schemaRef ds:uri="http://www.imanage.com/work/xmlschema"/>
  </ds:schemaRefs>
</ds:datastoreItem>
</file>

<file path=customXml/itemProps2.xml><?xml version="1.0" encoding="utf-8"?>
<ds:datastoreItem xmlns:ds="http://schemas.openxmlformats.org/officeDocument/2006/customXml" ds:itemID="{85388041-453E-467A-B49E-CAA0FF0303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5fc5fa-176a-42f8-b6fe-631cecf16506"/>
    <ds:schemaRef ds:uri="8ed69889-1453-4be0-b9bb-54ddec6d2f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77048E-A277-4C20-8D53-971BBD8096B0}">
  <ds:schemaRefs>
    <ds:schemaRef ds:uri="http://schemas.microsoft.com/sharepoint/v3/contenttype/forms"/>
  </ds:schemaRefs>
</ds:datastoreItem>
</file>

<file path=customXml/itemProps4.xml><?xml version="1.0" encoding="utf-8"?>
<ds:datastoreItem xmlns:ds="http://schemas.openxmlformats.org/officeDocument/2006/customXml" ds:itemID="{DFD802C0-77E8-4758-9CE6-232CC7CE10DD}">
  <ds:schemaRefs>
    <ds:schemaRef ds:uri="http://schemas.microsoft.com/office/2006/metadata/properties"/>
    <ds:schemaRef ds:uri="http://schemas.microsoft.com/office/infopath/2007/PartnerControls"/>
    <ds:schemaRef ds:uri="b55fc5fa-176a-42f8-b6fe-631cecf16506"/>
    <ds:schemaRef ds:uri="8ed69889-1453-4be0-b9bb-54ddec6d2fdb"/>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9</Pages>
  <Words>2015</Words>
  <Characters>11492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Moira Ong</cp:lastModifiedBy>
  <cp:revision>120</cp:revision>
  <dcterms:created xsi:type="dcterms:W3CDTF">2025-12-18T01:09:00Z</dcterms:created>
  <dcterms:modified xsi:type="dcterms:W3CDTF">2026-06-02T22:50:00Z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0x01010089F7C1CCB25E4B459B0DF769ABB4FBB0</vt:lpwstr>
  </property>
  <property fmtid="{D5CDD505-2E9C-101B-9397-08002B2CF9AE}" pid="4" name="DocumentNumber">
    <vt:lpwstr>112101862</vt:lpwstr>
  </property>
  <property fmtid="{D5CDD505-2E9C-101B-9397-08002B2CF9AE}" pid="5" name="DocumentVersion">
    <vt:lpwstr>2</vt:lpwstr>
  </property>
  <property fmtid="{D5CDD505-2E9C-101B-9397-08002B2CF9AE}" pid="6" name="ClientNumber">
    <vt:lpwstr>3526001</vt:lpwstr>
  </property>
  <property fmtid="{D5CDD505-2E9C-101B-9397-08002B2CF9AE}" pid="7" name="MatterNumber">
    <vt:lpwstr>00542370</vt:lpwstr>
  </property>
  <property fmtid="{D5CDD505-2E9C-101B-9397-08002B2CF9AE}" pid="8" name="ClientName">
    <vt:lpwstr>Promino Nutritional Sciences Inc</vt:lpwstr>
  </property>
  <property fmtid="{D5CDD505-2E9C-101B-9397-08002B2CF9AE}" pid="9" name="MatterName">
    <vt:lpwstr>Promino Nutritional Sciences Inc. - General [542370.000]</vt:lpwstr>
  </property>
  <property fmtid="{D5CDD505-2E9C-101B-9397-08002B2CF9AE}" pid="10" name="DatabaseName">
    <vt:lpwstr>LEGAL</vt:lpwstr>
  </property>
  <property fmtid="{D5CDD505-2E9C-101B-9397-08002B2CF9AE}" pid="11" name="TypistName">
    <vt:lpwstr>MJEEWANJEE</vt:lpwstr>
  </property>
  <property fmtid="{D5CDD505-2E9C-101B-9397-08002B2CF9AE}" pid="12" name="AuthorName">
    <vt:lpwstr>MJEEWANJEE</vt:lpwstr>
  </property>
  <property fmtid="{D5CDD505-2E9C-101B-9397-08002B2CF9AE}" pid="13" name="InUseBy">
    <vt:lpwstr>MJEEWANJEE</vt:lpwstr>
  </property>
  <property fmtid="{D5CDD505-2E9C-101B-9397-08002B2CF9AE}" pid="14" name="EditDate">
    <vt:lpwstr>12/18/2025 1:23:30 AM</vt:lpwstr>
  </property>
  <property fmtid="{D5CDD505-2E9C-101B-9397-08002B2CF9AE}" pid="15" name="EditTime">
    <vt:lpwstr/>
  </property>
  <property fmtid="{D5CDD505-2E9C-101B-9397-08002B2CF9AE}" pid="16" name="IsiManageWork">
    <vt:lpwstr>True</vt:lpwstr>
  </property>
</Properties>
</file>