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137AE" w14:textId="77777777" w:rsidR="00F21723" w:rsidRPr="0067766C" w:rsidRDefault="00F21723" w:rsidP="0005356C">
      <w:pPr>
        <w:pStyle w:val="Body"/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bookmarkStart w:id="0" w:name="DocsID"/>
      <w:bookmarkEnd w:id="0"/>
      <w:r w:rsidRPr="0067766C">
        <w:rPr>
          <w:rFonts w:cs="Arial"/>
          <w:b/>
          <w:sz w:val="22"/>
          <w:szCs w:val="22"/>
        </w:rPr>
        <w:t>FORM 51-102F3</w:t>
      </w:r>
    </w:p>
    <w:p w14:paraId="3311E4C1" w14:textId="77777777" w:rsidR="00F21723" w:rsidRPr="0067766C" w:rsidRDefault="00F21723" w:rsidP="00F21723">
      <w:pPr>
        <w:pStyle w:val="Body"/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 w:rsidRPr="0067766C">
        <w:rPr>
          <w:rFonts w:cs="Arial"/>
          <w:b/>
          <w:sz w:val="22"/>
          <w:szCs w:val="22"/>
        </w:rPr>
        <w:t>MATERIAL CHANGE REPORT</w:t>
      </w:r>
    </w:p>
    <w:p w14:paraId="50819216" w14:textId="77777777" w:rsidR="00F21723" w:rsidRPr="0067766C" w:rsidRDefault="00F21723" w:rsidP="00F21723">
      <w:pPr>
        <w:pStyle w:val="Body"/>
        <w:spacing w:before="100" w:beforeAutospacing="1" w:after="100" w:afterAutospacing="1"/>
        <w:jc w:val="both"/>
        <w:rPr>
          <w:rFonts w:cs="Arial"/>
          <w:sz w:val="22"/>
          <w:szCs w:val="22"/>
        </w:rPr>
      </w:pPr>
      <w:r w:rsidRPr="0067766C">
        <w:rPr>
          <w:rFonts w:cs="Arial"/>
          <w:b/>
          <w:sz w:val="22"/>
          <w:szCs w:val="22"/>
        </w:rPr>
        <w:t>Item 1</w:t>
      </w:r>
      <w:r w:rsidRPr="0067766C">
        <w:rPr>
          <w:rFonts w:cs="Arial"/>
          <w:b/>
          <w:sz w:val="22"/>
          <w:szCs w:val="22"/>
        </w:rPr>
        <w:tab/>
      </w:r>
      <w:r w:rsidRPr="0067766C">
        <w:rPr>
          <w:rFonts w:cs="Arial"/>
          <w:b/>
          <w:sz w:val="22"/>
          <w:szCs w:val="22"/>
        </w:rPr>
        <w:tab/>
        <w:t>Name and Address of Company</w:t>
      </w:r>
    </w:p>
    <w:p w14:paraId="15CE24E5" w14:textId="53407375" w:rsidR="00F21723" w:rsidRPr="0067766C" w:rsidRDefault="00F21723" w:rsidP="00F21723">
      <w:pPr>
        <w:pStyle w:val="Body"/>
        <w:spacing w:after="0"/>
        <w:jc w:val="both"/>
        <w:rPr>
          <w:rFonts w:cs="Arial"/>
          <w:sz w:val="22"/>
          <w:szCs w:val="22"/>
        </w:rPr>
      </w:pPr>
      <w:r w:rsidRPr="0067766C">
        <w:rPr>
          <w:rFonts w:cs="Arial"/>
          <w:sz w:val="22"/>
          <w:szCs w:val="22"/>
        </w:rPr>
        <w:t>GameSquare Esports Inc.</w:t>
      </w:r>
    </w:p>
    <w:p w14:paraId="206A22EF" w14:textId="77777777" w:rsidR="00F21723" w:rsidRPr="0067766C" w:rsidRDefault="00F21723" w:rsidP="00F21723">
      <w:pPr>
        <w:pStyle w:val="Body"/>
        <w:spacing w:after="0"/>
        <w:jc w:val="both"/>
        <w:rPr>
          <w:rFonts w:cs="Arial"/>
          <w:sz w:val="22"/>
          <w:szCs w:val="22"/>
        </w:rPr>
      </w:pPr>
      <w:r w:rsidRPr="0067766C">
        <w:rPr>
          <w:rFonts w:cs="Arial"/>
          <w:sz w:val="22"/>
          <w:szCs w:val="22"/>
        </w:rPr>
        <w:t>65 Queen Street West</w:t>
      </w:r>
    </w:p>
    <w:p w14:paraId="22CAF814" w14:textId="031F6774" w:rsidR="00F21723" w:rsidRPr="0067766C" w:rsidRDefault="00F21723" w:rsidP="00F21723">
      <w:pPr>
        <w:pStyle w:val="Body"/>
        <w:spacing w:after="0"/>
        <w:jc w:val="both"/>
        <w:rPr>
          <w:rFonts w:cs="Arial"/>
          <w:sz w:val="22"/>
          <w:szCs w:val="22"/>
        </w:rPr>
      </w:pPr>
      <w:r w:rsidRPr="0067766C">
        <w:rPr>
          <w:rFonts w:cs="Arial"/>
          <w:sz w:val="22"/>
          <w:szCs w:val="22"/>
        </w:rPr>
        <w:t>Suite 900</w:t>
      </w:r>
    </w:p>
    <w:p w14:paraId="5F9BD528" w14:textId="77777777" w:rsidR="00F21723" w:rsidRPr="0067766C" w:rsidRDefault="00F21723" w:rsidP="00F21723">
      <w:pPr>
        <w:pStyle w:val="Body"/>
        <w:spacing w:after="0"/>
        <w:jc w:val="both"/>
        <w:rPr>
          <w:rFonts w:cs="Arial"/>
          <w:sz w:val="22"/>
          <w:szCs w:val="22"/>
        </w:rPr>
      </w:pPr>
      <w:r w:rsidRPr="0067766C">
        <w:rPr>
          <w:rFonts w:cs="Arial"/>
          <w:sz w:val="22"/>
          <w:szCs w:val="22"/>
        </w:rPr>
        <w:t>Toronto, Ontario</w:t>
      </w:r>
    </w:p>
    <w:p w14:paraId="784D3AB7" w14:textId="77777777" w:rsidR="00F21723" w:rsidRPr="0067766C" w:rsidRDefault="00F21723" w:rsidP="00F21723">
      <w:pPr>
        <w:pStyle w:val="Body"/>
        <w:spacing w:after="0"/>
        <w:jc w:val="both"/>
        <w:rPr>
          <w:rFonts w:cs="Arial"/>
          <w:sz w:val="22"/>
          <w:szCs w:val="22"/>
        </w:rPr>
      </w:pPr>
      <w:r w:rsidRPr="0067766C">
        <w:rPr>
          <w:rFonts w:cs="Arial"/>
          <w:sz w:val="22"/>
          <w:szCs w:val="22"/>
        </w:rPr>
        <w:t>M5H 2M5</w:t>
      </w:r>
    </w:p>
    <w:p w14:paraId="45D280DB" w14:textId="77777777" w:rsidR="00F21723" w:rsidRPr="0067766C" w:rsidRDefault="00F21723" w:rsidP="00F21723">
      <w:pPr>
        <w:pStyle w:val="Body"/>
        <w:spacing w:before="100" w:beforeAutospacing="1" w:after="100" w:afterAutospacing="1"/>
        <w:jc w:val="both"/>
        <w:rPr>
          <w:rFonts w:cs="Arial"/>
          <w:sz w:val="22"/>
          <w:szCs w:val="22"/>
        </w:rPr>
      </w:pPr>
      <w:r w:rsidRPr="0067766C">
        <w:rPr>
          <w:rFonts w:cs="Arial"/>
          <w:b/>
          <w:sz w:val="22"/>
          <w:szCs w:val="22"/>
        </w:rPr>
        <w:t>Item 2</w:t>
      </w:r>
      <w:r w:rsidRPr="0067766C">
        <w:rPr>
          <w:rFonts w:cs="Arial"/>
          <w:b/>
          <w:sz w:val="22"/>
          <w:szCs w:val="22"/>
        </w:rPr>
        <w:tab/>
      </w:r>
      <w:r w:rsidRPr="0067766C">
        <w:rPr>
          <w:rFonts w:cs="Arial"/>
          <w:b/>
          <w:sz w:val="22"/>
          <w:szCs w:val="22"/>
        </w:rPr>
        <w:tab/>
        <w:t>Date of Material Change</w:t>
      </w:r>
    </w:p>
    <w:p w14:paraId="37A62D7F" w14:textId="6CE9031E" w:rsidR="00F21723" w:rsidRPr="0067766C" w:rsidRDefault="0023017D" w:rsidP="00F21723">
      <w:pPr>
        <w:pStyle w:val="Body"/>
        <w:spacing w:before="100" w:beforeAutospacing="1" w:after="100" w:afterAutospacing="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March 4</w:t>
      </w:r>
      <w:r w:rsidR="00FE1D83" w:rsidRPr="0067766C">
        <w:rPr>
          <w:rFonts w:cs="Arial"/>
          <w:sz w:val="22"/>
          <w:szCs w:val="22"/>
        </w:rPr>
        <w:t>, 2021</w:t>
      </w:r>
    </w:p>
    <w:p w14:paraId="7D2C361A" w14:textId="77777777" w:rsidR="00F21723" w:rsidRPr="0067766C" w:rsidRDefault="00F21723" w:rsidP="00F21723">
      <w:pPr>
        <w:pStyle w:val="Body"/>
        <w:spacing w:before="100" w:beforeAutospacing="1" w:after="100" w:afterAutospacing="1"/>
        <w:jc w:val="both"/>
        <w:rPr>
          <w:rFonts w:cs="Arial"/>
          <w:sz w:val="22"/>
          <w:szCs w:val="22"/>
        </w:rPr>
      </w:pPr>
      <w:r w:rsidRPr="0067766C">
        <w:rPr>
          <w:rFonts w:cs="Arial"/>
          <w:b/>
          <w:sz w:val="22"/>
          <w:szCs w:val="22"/>
        </w:rPr>
        <w:t>Item 3</w:t>
      </w:r>
      <w:r w:rsidRPr="0067766C">
        <w:rPr>
          <w:rFonts w:cs="Arial"/>
          <w:b/>
          <w:sz w:val="22"/>
          <w:szCs w:val="22"/>
        </w:rPr>
        <w:tab/>
      </w:r>
      <w:r w:rsidRPr="0067766C">
        <w:rPr>
          <w:rFonts w:cs="Arial"/>
          <w:b/>
          <w:sz w:val="22"/>
          <w:szCs w:val="22"/>
        </w:rPr>
        <w:tab/>
        <w:t>News Releases</w:t>
      </w:r>
    </w:p>
    <w:p w14:paraId="242482E6" w14:textId="4726B6B6" w:rsidR="00F21723" w:rsidRPr="0067766C" w:rsidRDefault="00F21723" w:rsidP="00F21723">
      <w:pPr>
        <w:pStyle w:val="Body"/>
        <w:spacing w:before="100" w:beforeAutospacing="1" w:after="100" w:afterAutospacing="1"/>
        <w:jc w:val="both"/>
        <w:rPr>
          <w:rFonts w:cs="Arial"/>
          <w:sz w:val="22"/>
          <w:szCs w:val="22"/>
        </w:rPr>
      </w:pPr>
      <w:r w:rsidRPr="0067766C">
        <w:rPr>
          <w:rFonts w:cs="Arial"/>
          <w:sz w:val="22"/>
          <w:szCs w:val="22"/>
        </w:rPr>
        <w:t>A news release was issued by GameSquare Esports Inc. (“</w:t>
      </w:r>
      <w:r w:rsidRPr="0023017D">
        <w:rPr>
          <w:rFonts w:cs="Arial"/>
          <w:b/>
          <w:bCs/>
          <w:sz w:val="22"/>
          <w:szCs w:val="22"/>
        </w:rPr>
        <w:t>GameSquare</w:t>
      </w:r>
      <w:r w:rsidRPr="0067766C">
        <w:rPr>
          <w:rFonts w:cs="Arial"/>
          <w:sz w:val="22"/>
          <w:szCs w:val="22"/>
        </w:rPr>
        <w:t>” or the “</w:t>
      </w:r>
      <w:r w:rsidRPr="0023017D">
        <w:rPr>
          <w:rFonts w:cs="Arial"/>
          <w:b/>
          <w:bCs/>
          <w:sz w:val="22"/>
          <w:szCs w:val="22"/>
        </w:rPr>
        <w:t>Company</w:t>
      </w:r>
      <w:r w:rsidRPr="0067766C">
        <w:rPr>
          <w:rFonts w:cs="Arial"/>
          <w:sz w:val="22"/>
          <w:szCs w:val="22"/>
        </w:rPr>
        <w:t xml:space="preserve">”) on </w:t>
      </w:r>
      <w:r w:rsidR="0023017D">
        <w:rPr>
          <w:rFonts w:cs="Arial"/>
          <w:sz w:val="22"/>
          <w:szCs w:val="22"/>
        </w:rPr>
        <w:t>March 4</w:t>
      </w:r>
      <w:r w:rsidR="00FE1D83" w:rsidRPr="0067766C">
        <w:rPr>
          <w:rFonts w:cs="Arial"/>
          <w:sz w:val="22"/>
          <w:szCs w:val="22"/>
        </w:rPr>
        <w:t>, 2021</w:t>
      </w:r>
      <w:r w:rsidRPr="0067766C">
        <w:rPr>
          <w:rFonts w:cs="Arial"/>
          <w:sz w:val="22"/>
          <w:szCs w:val="22"/>
        </w:rPr>
        <w:t xml:space="preserve"> </w:t>
      </w:r>
      <w:r w:rsidRPr="0067766C">
        <w:rPr>
          <w:color w:val="000000"/>
          <w:sz w:val="22"/>
          <w:szCs w:val="22"/>
          <w:lang w:val="en-US"/>
        </w:rPr>
        <w:t>in respect of the material change and was disseminated through the facilities of GlobeNewswire and filed on SEDAR.</w:t>
      </w:r>
      <w:r w:rsidRPr="0067766C">
        <w:rPr>
          <w:rFonts w:cs="Arial"/>
          <w:sz w:val="22"/>
          <w:szCs w:val="22"/>
          <w:lang w:val="en-US"/>
        </w:rPr>
        <w:t xml:space="preserve"> </w:t>
      </w:r>
    </w:p>
    <w:p w14:paraId="27BE8A59" w14:textId="77777777" w:rsidR="00F21723" w:rsidRPr="0067766C" w:rsidRDefault="00F21723" w:rsidP="00F21723">
      <w:pPr>
        <w:pStyle w:val="Body"/>
        <w:spacing w:before="100" w:beforeAutospacing="1" w:after="100" w:afterAutospacing="1"/>
        <w:jc w:val="both"/>
        <w:rPr>
          <w:rFonts w:cs="Arial"/>
          <w:b/>
          <w:sz w:val="22"/>
          <w:szCs w:val="22"/>
        </w:rPr>
      </w:pPr>
      <w:r w:rsidRPr="0067766C">
        <w:rPr>
          <w:rFonts w:cs="Arial"/>
          <w:b/>
          <w:sz w:val="22"/>
          <w:szCs w:val="22"/>
        </w:rPr>
        <w:t>Item 4</w:t>
      </w:r>
      <w:r w:rsidRPr="0067766C">
        <w:rPr>
          <w:rFonts w:cs="Arial"/>
          <w:b/>
          <w:sz w:val="22"/>
          <w:szCs w:val="22"/>
        </w:rPr>
        <w:tab/>
      </w:r>
      <w:r w:rsidRPr="0067766C">
        <w:rPr>
          <w:rFonts w:cs="Arial"/>
          <w:b/>
          <w:sz w:val="22"/>
          <w:szCs w:val="22"/>
        </w:rPr>
        <w:tab/>
        <w:t>Summary of Material Changes</w:t>
      </w:r>
    </w:p>
    <w:p w14:paraId="77529630" w14:textId="1A080B0F" w:rsidR="009E46D2" w:rsidRPr="006975E6" w:rsidRDefault="00FE1D83" w:rsidP="0023017D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6975E6">
        <w:rPr>
          <w:sz w:val="22"/>
          <w:szCs w:val="22"/>
        </w:rPr>
        <w:t xml:space="preserve">The Company closed its </w:t>
      </w:r>
      <w:r w:rsidR="0023017D" w:rsidRPr="0023017D">
        <w:rPr>
          <w:sz w:val="22"/>
          <w:szCs w:val="22"/>
        </w:rPr>
        <w:t>"bought deal" private placement of an aggregate of 16,700,000 subscription receipts of the Company (the</w:t>
      </w:r>
      <w:r w:rsidR="0023017D">
        <w:rPr>
          <w:sz w:val="22"/>
          <w:szCs w:val="22"/>
        </w:rPr>
        <w:t xml:space="preserve"> </w:t>
      </w:r>
      <w:r w:rsidR="0023017D" w:rsidRPr="0023017D">
        <w:rPr>
          <w:sz w:val="22"/>
          <w:szCs w:val="22"/>
        </w:rPr>
        <w:t>“</w:t>
      </w:r>
      <w:r w:rsidR="0023017D" w:rsidRPr="0023017D">
        <w:rPr>
          <w:b/>
          <w:bCs/>
          <w:sz w:val="22"/>
          <w:szCs w:val="22"/>
        </w:rPr>
        <w:t>Subscription Receipts</w:t>
      </w:r>
      <w:r w:rsidR="0023017D" w:rsidRPr="0023017D">
        <w:rPr>
          <w:sz w:val="22"/>
          <w:szCs w:val="22"/>
        </w:rPr>
        <w:t>”) at a price of C$0.42 per Subscription Receipt</w:t>
      </w:r>
      <w:r w:rsidR="0023017D">
        <w:rPr>
          <w:sz w:val="22"/>
          <w:szCs w:val="22"/>
        </w:rPr>
        <w:t xml:space="preserve"> (the “</w:t>
      </w:r>
      <w:r w:rsidR="0023017D" w:rsidRPr="0023017D">
        <w:rPr>
          <w:b/>
          <w:bCs/>
          <w:sz w:val="22"/>
          <w:szCs w:val="22"/>
        </w:rPr>
        <w:t>Issuer Price</w:t>
      </w:r>
      <w:r w:rsidR="0023017D">
        <w:rPr>
          <w:sz w:val="22"/>
          <w:szCs w:val="22"/>
        </w:rPr>
        <w:t>”)</w:t>
      </w:r>
      <w:r w:rsidR="0023017D" w:rsidRPr="0023017D">
        <w:rPr>
          <w:sz w:val="22"/>
          <w:szCs w:val="22"/>
        </w:rPr>
        <w:t xml:space="preserve"> for aggregate gross proceeds to the</w:t>
      </w:r>
      <w:r w:rsidR="0023017D">
        <w:rPr>
          <w:sz w:val="22"/>
          <w:szCs w:val="22"/>
        </w:rPr>
        <w:t xml:space="preserve"> </w:t>
      </w:r>
      <w:r w:rsidR="0023017D" w:rsidRPr="0023017D">
        <w:rPr>
          <w:sz w:val="22"/>
          <w:szCs w:val="22"/>
        </w:rPr>
        <w:t>Company of C$7,014,000 (the “</w:t>
      </w:r>
      <w:r w:rsidR="0023017D" w:rsidRPr="0023017D">
        <w:rPr>
          <w:b/>
          <w:bCs/>
          <w:sz w:val="22"/>
          <w:szCs w:val="22"/>
        </w:rPr>
        <w:t>Offering</w:t>
      </w:r>
      <w:r w:rsidR="0023017D" w:rsidRPr="0023017D">
        <w:rPr>
          <w:sz w:val="22"/>
          <w:szCs w:val="22"/>
        </w:rPr>
        <w:t>”).</w:t>
      </w:r>
    </w:p>
    <w:p w14:paraId="31980335" w14:textId="77777777" w:rsidR="00FE1D83" w:rsidRPr="0067766C" w:rsidRDefault="00FE1D83" w:rsidP="009E46D2">
      <w:pPr>
        <w:autoSpaceDE w:val="0"/>
        <w:autoSpaceDN w:val="0"/>
        <w:adjustRightInd w:val="0"/>
        <w:spacing w:after="0"/>
        <w:jc w:val="both"/>
        <w:rPr>
          <w:rFonts w:eastAsiaTheme="minorHAnsi" w:cs="Arial"/>
          <w:sz w:val="22"/>
          <w:szCs w:val="22"/>
          <w:lang w:val="en-US"/>
        </w:rPr>
      </w:pPr>
    </w:p>
    <w:p w14:paraId="28DAC5B5" w14:textId="0CC33C44" w:rsidR="00F21723" w:rsidRPr="0067766C" w:rsidRDefault="00F21723" w:rsidP="0078518D">
      <w:pPr>
        <w:jc w:val="both"/>
        <w:rPr>
          <w:rFonts w:cs="Arial"/>
          <w:b/>
          <w:sz w:val="22"/>
          <w:szCs w:val="22"/>
        </w:rPr>
      </w:pPr>
      <w:r w:rsidRPr="0067766C">
        <w:rPr>
          <w:rFonts w:cs="Arial"/>
          <w:b/>
          <w:sz w:val="22"/>
          <w:szCs w:val="22"/>
        </w:rPr>
        <w:t>Item 5</w:t>
      </w:r>
      <w:r w:rsidRPr="0067766C">
        <w:rPr>
          <w:rFonts w:cs="Arial"/>
          <w:b/>
          <w:sz w:val="22"/>
          <w:szCs w:val="22"/>
        </w:rPr>
        <w:tab/>
      </w:r>
      <w:r w:rsidRPr="0067766C">
        <w:rPr>
          <w:rFonts w:cs="Arial"/>
          <w:b/>
          <w:sz w:val="22"/>
          <w:szCs w:val="22"/>
        </w:rPr>
        <w:tab/>
        <w:t>Full Description of Material Changes</w:t>
      </w:r>
    </w:p>
    <w:p w14:paraId="18FE20AD" w14:textId="638D2893" w:rsidR="0023017D" w:rsidRPr="006975E6" w:rsidRDefault="0023017D" w:rsidP="0023017D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6975E6">
        <w:rPr>
          <w:sz w:val="22"/>
          <w:szCs w:val="22"/>
        </w:rPr>
        <w:t xml:space="preserve">The Company closed its </w:t>
      </w:r>
      <w:r w:rsidRPr="0023017D">
        <w:rPr>
          <w:sz w:val="22"/>
          <w:szCs w:val="22"/>
        </w:rPr>
        <w:t xml:space="preserve">"bought deal" private placement of an aggregate of 16,700,000 </w:t>
      </w:r>
      <w:r>
        <w:rPr>
          <w:sz w:val="22"/>
          <w:szCs w:val="22"/>
        </w:rPr>
        <w:t>S</w:t>
      </w:r>
      <w:r w:rsidRPr="0023017D">
        <w:rPr>
          <w:sz w:val="22"/>
          <w:szCs w:val="22"/>
        </w:rPr>
        <w:t xml:space="preserve">ubscription </w:t>
      </w:r>
      <w:r>
        <w:rPr>
          <w:sz w:val="22"/>
          <w:szCs w:val="22"/>
        </w:rPr>
        <w:t>R</w:t>
      </w:r>
      <w:r w:rsidRPr="0023017D">
        <w:rPr>
          <w:sz w:val="22"/>
          <w:szCs w:val="22"/>
        </w:rPr>
        <w:t>eceipts at a price of C$0.42 per Subscription Receipt for aggregate gross proceeds to the</w:t>
      </w:r>
      <w:r>
        <w:rPr>
          <w:sz w:val="22"/>
          <w:szCs w:val="22"/>
        </w:rPr>
        <w:t xml:space="preserve"> </w:t>
      </w:r>
      <w:r w:rsidRPr="0023017D">
        <w:rPr>
          <w:sz w:val="22"/>
          <w:szCs w:val="22"/>
        </w:rPr>
        <w:t>Company of C$7,014,000.</w:t>
      </w:r>
    </w:p>
    <w:p w14:paraId="77C1AA7A" w14:textId="5BB5F2D8" w:rsidR="00FE1D83" w:rsidRPr="006975E6" w:rsidRDefault="00FE1D83" w:rsidP="0023017D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14:paraId="4EA3CB11" w14:textId="6E19520F" w:rsidR="0023017D" w:rsidRDefault="0023017D" w:rsidP="0023017D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23017D">
        <w:rPr>
          <w:sz w:val="22"/>
          <w:szCs w:val="22"/>
        </w:rPr>
        <w:t>The Offering was underwritten by a syndicate led by Canaccord Genuity Corp.</w:t>
      </w:r>
      <w:r>
        <w:rPr>
          <w:sz w:val="22"/>
          <w:szCs w:val="22"/>
        </w:rPr>
        <w:t xml:space="preserve"> </w:t>
      </w:r>
      <w:r w:rsidRPr="0023017D">
        <w:rPr>
          <w:sz w:val="22"/>
          <w:szCs w:val="22"/>
        </w:rPr>
        <w:t>(“</w:t>
      </w:r>
      <w:r w:rsidRPr="0023017D">
        <w:rPr>
          <w:b/>
          <w:bCs/>
          <w:sz w:val="22"/>
          <w:szCs w:val="22"/>
        </w:rPr>
        <w:t>Canaccord</w:t>
      </w:r>
      <w:r w:rsidRPr="0023017D">
        <w:rPr>
          <w:sz w:val="22"/>
          <w:szCs w:val="22"/>
        </w:rPr>
        <w:t>”) and including Echelon Wealth Partners Inc. and Eight Capital (collectively, the “</w:t>
      </w:r>
      <w:r w:rsidRPr="0023017D">
        <w:rPr>
          <w:b/>
          <w:bCs/>
          <w:sz w:val="22"/>
          <w:szCs w:val="22"/>
        </w:rPr>
        <w:t>Underwriters</w:t>
      </w:r>
      <w:r w:rsidRPr="0023017D">
        <w:rPr>
          <w:sz w:val="22"/>
          <w:szCs w:val="22"/>
        </w:rPr>
        <w:t xml:space="preserve">”). </w:t>
      </w:r>
    </w:p>
    <w:p w14:paraId="32252DCF" w14:textId="77777777" w:rsidR="0023017D" w:rsidRPr="0023017D" w:rsidRDefault="0023017D" w:rsidP="0023017D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14:paraId="1C5B382D" w14:textId="11CFBD45" w:rsidR="0023017D" w:rsidRDefault="0023017D" w:rsidP="0023017D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23017D">
        <w:rPr>
          <w:sz w:val="22"/>
          <w:szCs w:val="22"/>
        </w:rPr>
        <w:t>The net proceeds of the Offering shall be held in escrow and will be released to the Company on the date (the "</w:t>
      </w:r>
      <w:r w:rsidRPr="0023017D">
        <w:rPr>
          <w:b/>
          <w:bCs/>
          <w:sz w:val="22"/>
          <w:szCs w:val="22"/>
        </w:rPr>
        <w:t>Escrow</w:t>
      </w:r>
      <w:r w:rsidRPr="0023017D">
        <w:rPr>
          <w:b/>
          <w:bCs/>
          <w:sz w:val="22"/>
          <w:szCs w:val="22"/>
        </w:rPr>
        <w:t xml:space="preserve"> </w:t>
      </w:r>
      <w:r w:rsidRPr="0023017D">
        <w:rPr>
          <w:b/>
          <w:bCs/>
          <w:sz w:val="22"/>
          <w:szCs w:val="22"/>
        </w:rPr>
        <w:t>Release Date</w:t>
      </w:r>
      <w:r w:rsidRPr="0023017D">
        <w:rPr>
          <w:sz w:val="22"/>
          <w:szCs w:val="22"/>
        </w:rPr>
        <w:t>") on which certain escrow release conditions relating to the Company's proposed acquisition (the "</w:t>
      </w:r>
      <w:r w:rsidRPr="00E86970">
        <w:rPr>
          <w:b/>
          <w:bCs/>
          <w:sz w:val="22"/>
          <w:szCs w:val="22"/>
        </w:rPr>
        <w:t>Proposed</w:t>
      </w:r>
      <w:r w:rsidRPr="00E86970">
        <w:rPr>
          <w:b/>
          <w:bCs/>
          <w:sz w:val="22"/>
          <w:szCs w:val="22"/>
        </w:rPr>
        <w:t xml:space="preserve"> </w:t>
      </w:r>
      <w:r w:rsidRPr="00E86970">
        <w:rPr>
          <w:b/>
          <w:bCs/>
          <w:sz w:val="22"/>
          <w:szCs w:val="22"/>
        </w:rPr>
        <w:t>Acquisition</w:t>
      </w:r>
      <w:r w:rsidRPr="0023017D">
        <w:rPr>
          <w:sz w:val="22"/>
          <w:szCs w:val="22"/>
        </w:rPr>
        <w:t>") of Reciprocity Corp. ("</w:t>
      </w:r>
      <w:r w:rsidRPr="00E86970">
        <w:rPr>
          <w:b/>
          <w:bCs/>
          <w:sz w:val="22"/>
          <w:szCs w:val="22"/>
        </w:rPr>
        <w:t>Reciprocity</w:t>
      </w:r>
      <w:r w:rsidRPr="0023017D">
        <w:rPr>
          <w:sz w:val="22"/>
          <w:szCs w:val="22"/>
        </w:rPr>
        <w:t>") have been satisfied, including (</w:t>
      </w:r>
      <w:proofErr w:type="spellStart"/>
      <w:r w:rsidRPr="0023017D">
        <w:rPr>
          <w:sz w:val="22"/>
          <w:szCs w:val="22"/>
        </w:rPr>
        <w:t>i</w:t>
      </w:r>
      <w:proofErr w:type="spellEnd"/>
      <w:r w:rsidRPr="0023017D">
        <w:rPr>
          <w:sz w:val="22"/>
          <w:szCs w:val="22"/>
        </w:rPr>
        <w:t>) written confirmation from each of the</w:t>
      </w:r>
      <w:r>
        <w:rPr>
          <w:sz w:val="22"/>
          <w:szCs w:val="22"/>
        </w:rPr>
        <w:t xml:space="preserve"> </w:t>
      </w:r>
      <w:r w:rsidRPr="0023017D">
        <w:rPr>
          <w:sz w:val="22"/>
          <w:szCs w:val="22"/>
        </w:rPr>
        <w:t>Company and Reciprocity that all conditions to the completion of the Proposed Acquisition have been satisfied or waived; (ii)</w:t>
      </w:r>
      <w:r>
        <w:rPr>
          <w:sz w:val="22"/>
          <w:szCs w:val="22"/>
        </w:rPr>
        <w:t xml:space="preserve"> </w:t>
      </w:r>
      <w:r w:rsidRPr="0023017D">
        <w:rPr>
          <w:sz w:val="22"/>
          <w:szCs w:val="22"/>
        </w:rPr>
        <w:t>the receipt of all regulatory, shareholder and third-party approvals, if any, required in connection with the Proposed Acquisition;</w:t>
      </w:r>
      <w:r>
        <w:rPr>
          <w:sz w:val="22"/>
          <w:szCs w:val="22"/>
        </w:rPr>
        <w:t xml:space="preserve"> </w:t>
      </w:r>
      <w:r w:rsidRPr="0023017D">
        <w:rPr>
          <w:sz w:val="22"/>
          <w:szCs w:val="22"/>
        </w:rPr>
        <w:t>and (iii) the Company not being in breach or default of any of its covenants or obligations under the agreements relating to the</w:t>
      </w:r>
      <w:r>
        <w:rPr>
          <w:sz w:val="22"/>
          <w:szCs w:val="22"/>
        </w:rPr>
        <w:t xml:space="preserve"> </w:t>
      </w:r>
      <w:r w:rsidRPr="0023017D">
        <w:rPr>
          <w:sz w:val="22"/>
          <w:szCs w:val="22"/>
        </w:rPr>
        <w:t>Offering and having satisfied all conditions set out in the underwriting agreement to be entered into with the Underwriters in</w:t>
      </w:r>
      <w:r>
        <w:rPr>
          <w:sz w:val="22"/>
          <w:szCs w:val="22"/>
        </w:rPr>
        <w:t xml:space="preserve"> </w:t>
      </w:r>
      <w:r w:rsidRPr="0023017D">
        <w:rPr>
          <w:sz w:val="22"/>
          <w:szCs w:val="22"/>
        </w:rPr>
        <w:t>connection with the Offering. If the Escrow Release Date has not occurred by the date that is 90 days following the closing</w:t>
      </w:r>
      <w:r>
        <w:rPr>
          <w:sz w:val="22"/>
          <w:szCs w:val="22"/>
        </w:rPr>
        <w:t xml:space="preserve"> </w:t>
      </w:r>
      <w:r w:rsidRPr="0023017D">
        <w:rPr>
          <w:sz w:val="22"/>
          <w:szCs w:val="22"/>
        </w:rPr>
        <w:t>date of the Offering, subject to that date being extended by mutual agreement between the Company and Canaccord, on</w:t>
      </w:r>
      <w:r>
        <w:rPr>
          <w:sz w:val="22"/>
          <w:szCs w:val="22"/>
        </w:rPr>
        <w:t xml:space="preserve"> </w:t>
      </w:r>
      <w:r w:rsidRPr="0023017D">
        <w:rPr>
          <w:sz w:val="22"/>
          <w:szCs w:val="22"/>
        </w:rPr>
        <w:t>behalf of the Underwriters, then the Subscription Receipts will be cancelled and the proceeds of the Offering, together with</w:t>
      </w:r>
      <w:r>
        <w:rPr>
          <w:sz w:val="22"/>
          <w:szCs w:val="22"/>
        </w:rPr>
        <w:t xml:space="preserve"> </w:t>
      </w:r>
      <w:r w:rsidRPr="0023017D">
        <w:rPr>
          <w:sz w:val="22"/>
          <w:szCs w:val="22"/>
        </w:rPr>
        <w:t xml:space="preserve">each subscriber's </w:t>
      </w:r>
      <w:r w:rsidRPr="00E86970">
        <w:rPr>
          <w:i/>
          <w:iCs/>
          <w:sz w:val="22"/>
          <w:szCs w:val="22"/>
        </w:rPr>
        <w:t>pro rata</w:t>
      </w:r>
      <w:r w:rsidRPr="0023017D">
        <w:rPr>
          <w:sz w:val="22"/>
          <w:szCs w:val="22"/>
        </w:rPr>
        <w:t xml:space="preserve"> share of interest thereon, will be returned to the subscribers.</w:t>
      </w:r>
    </w:p>
    <w:p w14:paraId="699CC200" w14:textId="77777777" w:rsidR="0023017D" w:rsidRPr="0023017D" w:rsidRDefault="0023017D" w:rsidP="0023017D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14:paraId="7045EB11" w14:textId="77777777" w:rsidR="0023017D" w:rsidRDefault="0023017D" w:rsidP="0023017D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23017D">
        <w:rPr>
          <w:sz w:val="22"/>
          <w:szCs w:val="22"/>
        </w:rPr>
        <w:lastRenderedPageBreak/>
        <w:t>On the Escrow Release Date, each Subscription Receipt shall be automatically exercised, without payment of additional</w:t>
      </w:r>
      <w:r>
        <w:rPr>
          <w:sz w:val="22"/>
          <w:szCs w:val="22"/>
        </w:rPr>
        <w:t xml:space="preserve"> </w:t>
      </w:r>
      <w:r w:rsidRPr="0023017D">
        <w:rPr>
          <w:sz w:val="22"/>
          <w:szCs w:val="22"/>
        </w:rPr>
        <w:t>consideration on the part of the holder, into one unit of the Company (a "</w:t>
      </w:r>
      <w:r w:rsidRPr="00E86970">
        <w:rPr>
          <w:b/>
          <w:bCs/>
          <w:sz w:val="22"/>
          <w:szCs w:val="22"/>
        </w:rPr>
        <w:t>Unit</w:t>
      </w:r>
      <w:r w:rsidRPr="0023017D">
        <w:rPr>
          <w:sz w:val="22"/>
          <w:szCs w:val="22"/>
        </w:rPr>
        <w:t>"). Each Unit will be comprised of one common</w:t>
      </w:r>
      <w:r>
        <w:rPr>
          <w:sz w:val="22"/>
          <w:szCs w:val="22"/>
        </w:rPr>
        <w:t xml:space="preserve"> </w:t>
      </w:r>
      <w:r w:rsidRPr="0023017D">
        <w:rPr>
          <w:sz w:val="22"/>
          <w:szCs w:val="22"/>
        </w:rPr>
        <w:t>share of the Company (a "</w:t>
      </w:r>
      <w:r w:rsidRPr="00E86970">
        <w:rPr>
          <w:b/>
          <w:bCs/>
          <w:sz w:val="22"/>
          <w:szCs w:val="22"/>
        </w:rPr>
        <w:t>Common</w:t>
      </w:r>
      <w:r w:rsidRPr="0023017D">
        <w:rPr>
          <w:sz w:val="22"/>
          <w:szCs w:val="22"/>
        </w:rPr>
        <w:t xml:space="preserve"> </w:t>
      </w:r>
      <w:r w:rsidRPr="00E86970">
        <w:rPr>
          <w:b/>
          <w:bCs/>
          <w:sz w:val="22"/>
          <w:szCs w:val="22"/>
        </w:rPr>
        <w:t>Share</w:t>
      </w:r>
      <w:r w:rsidRPr="0023017D">
        <w:rPr>
          <w:sz w:val="22"/>
          <w:szCs w:val="22"/>
        </w:rPr>
        <w:t>") and one-half of one common share purchase warrant (each whole common share</w:t>
      </w:r>
      <w:r>
        <w:rPr>
          <w:sz w:val="22"/>
          <w:szCs w:val="22"/>
        </w:rPr>
        <w:t xml:space="preserve"> </w:t>
      </w:r>
      <w:r w:rsidRPr="0023017D">
        <w:rPr>
          <w:sz w:val="22"/>
          <w:szCs w:val="22"/>
        </w:rPr>
        <w:t>purchase warrant, a "</w:t>
      </w:r>
      <w:r w:rsidRPr="00E86970">
        <w:rPr>
          <w:b/>
          <w:bCs/>
          <w:sz w:val="22"/>
          <w:szCs w:val="22"/>
        </w:rPr>
        <w:t>Warrant</w:t>
      </w:r>
      <w:r w:rsidRPr="0023017D">
        <w:rPr>
          <w:sz w:val="22"/>
          <w:szCs w:val="22"/>
        </w:rPr>
        <w:t>"). Each Warrant will be exercisable to purchase one Common Share at an exercise price of</w:t>
      </w:r>
      <w:r>
        <w:rPr>
          <w:sz w:val="22"/>
          <w:szCs w:val="22"/>
        </w:rPr>
        <w:t xml:space="preserve"> </w:t>
      </w:r>
      <w:r w:rsidRPr="0023017D">
        <w:rPr>
          <w:sz w:val="22"/>
          <w:szCs w:val="22"/>
        </w:rPr>
        <w:t>C$0.60 for a period of 36 months from the Escrow Release Date, subject to a Warrant acceleration right exercisable by the</w:t>
      </w:r>
      <w:r>
        <w:rPr>
          <w:sz w:val="22"/>
          <w:szCs w:val="22"/>
        </w:rPr>
        <w:t xml:space="preserve"> </w:t>
      </w:r>
      <w:r w:rsidRPr="0023017D">
        <w:rPr>
          <w:sz w:val="22"/>
          <w:szCs w:val="22"/>
        </w:rPr>
        <w:t>Company if, at any time following the date that is four months and one day from the date of the closing of the Offering, the</w:t>
      </w:r>
      <w:r>
        <w:rPr>
          <w:sz w:val="22"/>
          <w:szCs w:val="22"/>
        </w:rPr>
        <w:t xml:space="preserve"> </w:t>
      </w:r>
      <w:r w:rsidRPr="0023017D">
        <w:rPr>
          <w:sz w:val="22"/>
          <w:szCs w:val="22"/>
        </w:rPr>
        <w:t>daily volume weighted average trading price of the Company's common shares on the Canadian Securities Exchange is</w:t>
      </w:r>
      <w:r>
        <w:rPr>
          <w:sz w:val="22"/>
          <w:szCs w:val="22"/>
        </w:rPr>
        <w:t xml:space="preserve"> </w:t>
      </w:r>
      <w:r w:rsidRPr="0023017D">
        <w:rPr>
          <w:sz w:val="22"/>
          <w:szCs w:val="22"/>
        </w:rPr>
        <w:t>greater than C$1.00 for the preceding five consecutive trading days.</w:t>
      </w:r>
    </w:p>
    <w:p w14:paraId="55D45DAE" w14:textId="77777777" w:rsidR="0023017D" w:rsidRDefault="0023017D" w:rsidP="0023017D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14:paraId="0C13ECFF" w14:textId="77777777" w:rsidR="0023017D" w:rsidRDefault="0023017D" w:rsidP="0023017D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23017D">
        <w:rPr>
          <w:sz w:val="22"/>
          <w:szCs w:val="22"/>
        </w:rPr>
        <w:t>The Company plans to use the net proceeds from the Offering to advance business operations in North America and Europe</w:t>
      </w:r>
      <w:r>
        <w:rPr>
          <w:sz w:val="22"/>
          <w:szCs w:val="22"/>
        </w:rPr>
        <w:t xml:space="preserve"> </w:t>
      </w:r>
      <w:r w:rsidRPr="0023017D">
        <w:rPr>
          <w:sz w:val="22"/>
          <w:szCs w:val="22"/>
        </w:rPr>
        <w:t>and for general corporate purposes.</w:t>
      </w:r>
    </w:p>
    <w:p w14:paraId="53909126" w14:textId="77777777" w:rsidR="0023017D" w:rsidRDefault="0023017D" w:rsidP="0023017D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14:paraId="4F7E012B" w14:textId="395A6B57" w:rsidR="0023017D" w:rsidRDefault="0023017D" w:rsidP="0023017D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23017D">
        <w:rPr>
          <w:sz w:val="22"/>
          <w:szCs w:val="22"/>
        </w:rPr>
        <w:t>The Subscription Receipts issued under the Offering and the securities of the Company to be exchanged for the Subscription</w:t>
      </w:r>
      <w:r>
        <w:rPr>
          <w:sz w:val="22"/>
          <w:szCs w:val="22"/>
        </w:rPr>
        <w:t xml:space="preserve"> </w:t>
      </w:r>
      <w:r w:rsidRPr="0023017D">
        <w:rPr>
          <w:sz w:val="22"/>
          <w:szCs w:val="22"/>
        </w:rPr>
        <w:t>Receipts on the Escrow Release Date will be subject to a statutory hold period expiring four months and one day from the</w:t>
      </w:r>
      <w:r>
        <w:rPr>
          <w:sz w:val="22"/>
          <w:szCs w:val="22"/>
        </w:rPr>
        <w:t xml:space="preserve"> </w:t>
      </w:r>
      <w:r w:rsidRPr="0023017D">
        <w:rPr>
          <w:sz w:val="22"/>
          <w:szCs w:val="22"/>
        </w:rPr>
        <w:t>closing date of the Offering.</w:t>
      </w:r>
    </w:p>
    <w:p w14:paraId="5CD4BD93" w14:textId="77777777" w:rsidR="0023017D" w:rsidRPr="0023017D" w:rsidRDefault="0023017D" w:rsidP="0023017D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14:paraId="0922D4D4" w14:textId="519BFD73" w:rsidR="0005356C" w:rsidRDefault="0023017D" w:rsidP="0023017D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23017D">
        <w:rPr>
          <w:sz w:val="22"/>
          <w:szCs w:val="22"/>
        </w:rPr>
        <w:t>As consideration for their services with respect to the Offering, the Underwriters shall be entitled to (</w:t>
      </w:r>
      <w:proofErr w:type="spellStart"/>
      <w:r w:rsidRPr="0023017D">
        <w:rPr>
          <w:sz w:val="22"/>
          <w:szCs w:val="22"/>
        </w:rPr>
        <w:t>i</w:t>
      </w:r>
      <w:proofErr w:type="spellEnd"/>
      <w:r w:rsidRPr="0023017D">
        <w:rPr>
          <w:sz w:val="22"/>
          <w:szCs w:val="22"/>
        </w:rPr>
        <w:t>) a cash commission of</w:t>
      </w:r>
      <w:r>
        <w:rPr>
          <w:sz w:val="22"/>
          <w:szCs w:val="22"/>
        </w:rPr>
        <w:t xml:space="preserve"> </w:t>
      </w:r>
      <w:r w:rsidRPr="0023017D">
        <w:rPr>
          <w:sz w:val="22"/>
          <w:szCs w:val="22"/>
        </w:rPr>
        <w:t>7% of the gross proceeds raised under the Offering, and (ii) warrants of the Company (the "</w:t>
      </w:r>
      <w:r w:rsidRPr="00E86970">
        <w:rPr>
          <w:b/>
          <w:bCs/>
          <w:sz w:val="22"/>
          <w:szCs w:val="22"/>
        </w:rPr>
        <w:t>Broker Warrants</w:t>
      </w:r>
      <w:r w:rsidRPr="0023017D">
        <w:rPr>
          <w:sz w:val="22"/>
          <w:szCs w:val="22"/>
        </w:rPr>
        <w:t>"), exercisable for</w:t>
      </w:r>
      <w:r>
        <w:rPr>
          <w:sz w:val="22"/>
          <w:szCs w:val="22"/>
        </w:rPr>
        <w:t xml:space="preserve"> </w:t>
      </w:r>
      <w:r w:rsidRPr="0023017D">
        <w:rPr>
          <w:sz w:val="22"/>
          <w:szCs w:val="22"/>
        </w:rPr>
        <w:t>a period of 36 months following the Escrow Release Date, to acquire in aggregate that number of Units which is equal to 7% of</w:t>
      </w:r>
      <w:r>
        <w:rPr>
          <w:sz w:val="22"/>
          <w:szCs w:val="22"/>
        </w:rPr>
        <w:t xml:space="preserve"> </w:t>
      </w:r>
      <w:r w:rsidRPr="0023017D">
        <w:rPr>
          <w:sz w:val="22"/>
          <w:szCs w:val="22"/>
        </w:rPr>
        <w:t>the number of Subscription Receipts sold under the Offering at an exercise price equal to the Issue Price</w:t>
      </w:r>
      <w:r>
        <w:rPr>
          <w:sz w:val="22"/>
          <w:szCs w:val="22"/>
        </w:rPr>
        <w:t>.</w:t>
      </w:r>
    </w:p>
    <w:p w14:paraId="685709A1" w14:textId="77777777" w:rsidR="0023017D" w:rsidRPr="0067766C" w:rsidRDefault="0023017D" w:rsidP="0023017D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  <w:lang w:val="en-US"/>
        </w:rPr>
      </w:pPr>
    </w:p>
    <w:p w14:paraId="46942D2B" w14:textId="77777777" w:rsidR="0005356C" w:rsidRPr="0067766C" w:rsidRDefault="00F21723" w:rsidP="0005356C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  <w:lang w:val="en-US"/>
        </w:rPr>
      </w:pPr>
      <w:proofErr w:type="spellStart"/>
      <w:r w:rsidRPr="0067766C">
        <w:rPr>
          <w:rFonts w:cs="Arial"/>
          <w:b/>
          <w:sz w:val="22"/>
          <w:szCs w:val="22"/>
        </w:rPr>
        <w:t>Item</w:t>
      </w:r>
      <w:proofErr w:type="spellEnd"/>
      <w:r w:rsidRPr="0067766C">
        <w:rPr>
          <w:rFonts w:cs="Arial"/>
          <w:b/>
          <w:sz w:val="22"/>
          <w:szCs w:val="22"/>
        </w:rPr>
        <w:t xml:space="preserve"> 6</w:t>
      </w:r>
      <w:r w:rsidRPr="0067766C">
        <w:rPr>
          <w:rFonts w:cs="Arial"/>
          <w:b/>
          <w:sz w:val="22"/>
          <w:szCs w:val="22"/>
        </w:rPr>
        <w:tab/>
      </w:r>
      <w:r w:rsidRPr="0067766C">
        <w:rPr>
          <w:rFonts w:cs="Arial"/>
          <w:b/>
          <w:sz w:val="22"/>
          <w:szCs w:val="22"/>
        </w:rPr>
        <w:tab/>
        <w:t>Reliance on subsection 7.1(2) of National Instrument 51-102</w:t>
      </w:r>
    </w:p>
    <w:p w14:paraId="304EDA7D" w14:textId="77777777" w:rsidR="0005356C" w:rsidRPr="0067766C" w:rsidRDefault="0005356C" w:rsidP="0005356C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  <w:lang w:val="en-US"/>
        </w:rPr>
      </w:pPr>
    </w:p>
    <w:p w14:paraId="052F84E6" w14:textId="3D95A104" w:rsidR="00F21723" w:rsidRPr="0067766C" w:rsidRDefault="00F21723" w:rsidP="0005356C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  <w:lang w:val="en-US"/>
        </w:rPr>
      </w:pPr>
      <w:r w:rsidRPr="0067766C">
        <w:rPr>
          <w:rFonts w:cs="Arial"/>
          <w:sz w:val="22"/>
          <w:szCs w:val="22"/>
        </w:rPr>
        <w:t>Not applicable.</w:t>
      </w:r>
    </w:p>
    <w:p w14:paraId="0B0A12E5" w14:textId="77777777" w:rsidR="00F21723" w:rsidRPr="0067766C" w:rsidRDefault="00F21723" w:rsidP="00F21723">
      <w:pPr>
        <w:pStyle w:val="Body"/>
        <w:keepNext/>
        <w:keepLines/>
        <w:spacing w:before="100" w:beforeAutospacing="1" w:after="100" w:afterAutospacing="1"/>
        <w:jc w:val="both"/>
        <w:rPr>
          <w:rFonts w:cs="Arial"/>
          <w:sz w:val="22"/>
          <w:szCs w:val="22"/>
        </w:rPr>
      </w:pPr>
      <w:r w:rsidRPr="0067766C">
        <w:rPr>
          <w:rFonts w:cs="Arial"/>
          <w:b/>
          <w:sz w:val="22"/>
          <w:szCs w:val="22"/>
        </w:rPr>
        <w:t>Item 7</w:t>
      </w:r>
      <w:r w:rsidRPr="0067766C">
        <w:rPr>
          <w:rFonts w:cs="Arial"/>
          <w:b/>
          <w:sz w:val="22"/>
          <w:szCs w:val="22"/>
        </w:rPr>
        <w:tab/>
      </w:r>
      <w:r w:rsidRPr="0067766C">
        <w:rPr>
          <w:rFonts w:cs="Arial"/>
          <w:b/>
          <w:sz w:val="22"/>
          <w:szCs w:val="22"/>
        </w:rPr>
        <w:tab/>
        <w:t>Omitted Information</w:t>
      </w:r>
    </w:p>
    <w:p w14:paraId="1C839C88" w14:textId="77777777" w:rsidR="00F21723" w:rsidRPr="0067766C" w:rsidRDefault="00F21723" w:rsidP="00F21723">
      <w:pPr>
        <w:pStyle w:val="Body"/>
        <w:keepNext/>
        <w:keepLines/>
        <w:spacing w:before="100" w:beforeAutospacing="1" w:after="100" w:afterAutospacing="1"/>
        <w:jc w:val="both"/>
        <w:rPr>
          <w:rFonts w:cs="Arial"/>
          <w:sz w:val="22"/>
          <w:szCs w:val="22"/>
        </w:rPr>
      </w:pPr>
      <w:r w:rsidRPr="0067766C">
        <w:rPr>
          <w:rFonts w:cs="Arial"/>
          <w:sz w:val="22"/>
          <w:szCs w:val="22"/>
        </w:rPr>
        <w:t>Not applicable.</w:t>
      </w:r>
    </w:p>
    <w:p w14:paraId="0018CFDF" w14:textId="77777777" w:rsidR="00F21723" w:rsidRPr="0067766C" w:rsidRDefault="00F21723" w:rsidP="00F21723">
      <w:pPr>
        <w:pStyle w:val="Body"/>
        <w:keepNext/>
        <w:keepLines/>
        <w:spacing w:before="100" w:beforeAutospacing="1" w:after="100" w:afterAutospacing="1"/>
        <w:jc w:val="both"/>
        <w:rPr>
          <w:rFonts w:cs="Arial"/>
          <w:sz w:val="22"/>
          <w:szCs w:val="22"/>
        </w:rPr>
      </w:pPr>
      <w:r w:rsidRPr="0067766C">
        <w:rPr>
          <w:rFonts w:cs="Arial"/>
          <w:b/>
          <w:sz w:val="22"/>
          <w:szCs w:val="22"/>
        </w:rPr>
        <w:t>Item 8</w:t>
      </w:r>
      <w:r w:rsidRPr="0067766C">
        <w:rPr>
          <w:rFonts w:cs="Arial"/>
          <w:b/>
          <w:sz w:val="22"/>
          <w:szCs w:val="22"/>
        </w:rPr>
        <w:tab/>
      </w:r>
      <w:r w:rsidRPr="0067766C">
        <w:rPr>
          <w:rFonts w:cs="Arial"/>
          <w:b/>
          <w:sz w:val="22"/>
          <w:szCs w:val="22"/>
        </w:rPr>
        <w:tab/>
        <w:t>Executive Officer</w:t>
      </w:r>
    </w:p>
    <w:p w14:paraId="52EB55E8" w14:textId="1B154534" w:rsidR="00F21723" w:rsidRPr="0067766C" w:rsidRDefault="00F21723" w:rsidP="00F21723">
      <w:pPr>
        <w:spacing w:after="0"/>
        <w:rPr>
          <w:rFonts w:cs="Arial"/>
          <w:sz w:val="22"/>
          <w:szCs w:val="22"/>
        </w:rPr>
      </w:pPr>
      <w:r w:rsidRPr="0067766C">
        <w:rPr>
          <w:rFonts w:cs="Arial"/>
          <w:sz w:val="22"/>
          <w:szCs w:val="22"/>
        </w:rPr>
        <w:t>Kevin Wright</w:t>
      </w:r>
    </w:p>
    <w:p w14:paraId="294B9274" w14:textId="17D4428A" w:rsidR="00F21723" w:rsidRPr="0067766C" w:rsidRDefault="00F21723" w:rsidP="00F21723">
      <w:pPr>
        <w:spacing w:after="0"/>
        <w:rPr>
          <w:rFonts w:cs="Arial"/>
          <w:sz w:val="22"/>
          <w:szCs w:val="22"/>
        </w:rPr>
      </w:pPr>
      <w:r w:rsidRPr="0067766C">
        <w:rPr>
          <w:rFonts w:cs="Arial"/>
          <w:sz w:val="22"/>
          <w:szCs w:val="22"/>
        </w:rPr>
        <w:t xml:space="preserve">President </w:t>
      </w:r>
    </w:p>
    <w:p w14:paraId="533E4634" w14:textId="5B5D4B57" w:rsidR="00F21723" w:rsidRPr="0067766C" w:rsidRDefault="00F21723" w:rsidP="00F21723">
      <w:pPr>
        <w:spacing w:after="0"/>
        <w:rPr>
          <w:rFonts w:cs="Arial"/>
          <w:sz w:val="22"/>
          <w:szCs w:val="22"/>
        </w:rPr>
      </w:pPr>
      <w:r w:rsidRPr="0067766C">
        <w:rPr>
          <w:rFonts w:cs="Arial"/>
          <w:sz w:val="22"/>
          <w:szCs w:val="22"/>
        </w:rPr>
        <w:t xml:space="preserve">Email: </w:t>
      </w:r>
      <w:hyperlink r:id="rId4" w:history="1">
        <w:r w:rsidRPr="0067766C">
          <w:rPr>
            <w:rStyle w:val="Hyperlink"/>
            <w:rFonts w:cs="Arial"/>
            <w:sz w:val="22"/>
            <w:szCs w:val="22"/>
          </w:rPr>
          <w:t>kevin@gamesquare.com</w:t>
        </w:r>
      </w:hyperlink>
    </w:p>
    <w:p w14:paraId="3D56CDD9" w14:textId="73CC0DBD" w:rsidR="00F21723" w:rsidRPr="0067766C" w:rsidRDefault="00F21723" w:rsidP="00F21723">
      <w:pPr>
        <w:spacing w:after="0"/>
        <w:rPr>
          <w:rFonts w:cs="Arial"/>
          <w:sz w:val="22"/>
          <w:szCs w:val="22"/>
        </w:rPr>
      </w:pPr>
      <w:r w:rsidRPr="0067766C">
        <w:rPr>
          <w:rFonts w:cs="Arial"/>
          <w:sz w:val="22"/>
          <w:szCs w:val="22"/>
        </w:rPr>
        <w:t>Phone: (</w:t>
      </w:r>
      <w:r w:rsidR="0010055F" w:rsidRPr="0067766C">
        <w:rPr>
          <w:rFonts w:cs="Arial"/>
          <w:sz w:val="22"/>
          <w:szCs w:val="22"/>
        </w:rPr>
        <w:t>416</w:t>
      </w:r>
      <w:r w:rsidRPr="0067766C">
        <w:rPr>
          <w:rFonts w:cs="Arial"/>
          <w:sz w:val="22"/>
          <w:szCs w:val="22"/>
        </w:rPr>
        <w:t xml:space="preserve">) </w:t>
      </w:r>
      <w:r w:rsidR="0010055F" w:rsidRPr="0067766C">
        <w:rPr>
          <w:rFonts w:cs="Arial"/>
          <w:sz w:val="22"/>
          <w:szCs w:val="22"/>
        </w:rPr>
        <w:t>861-2267</w:t>
      </w:r>
    </w:p>
    <w:p w14:paraId="17181F78" w14:textId="77777777" w:rsidR="00F21723" w:rsidRPr="0067766C" w:rsidRDefault="00F21723" w:rsidP="00F21723">
      <w:pPr>
        <w:spacing w:after="0"/>
        <w:rPr>
          <w:rFonts w:cs="Arial"/>
          <w:sz w:val="22"/>
          <w:szCs w:val="22"/>
        </w:rPr>
      </w:pPr>
    </w:p>
    <w:p w14:paraId="137C0BA0" w14:textId="77777777" w:rsidR="00F21723" w:rsidRPr="0067766C" w:rsidRDefault="00F21723" w:rsidP="00F21723">
      <w:pPr>
        <w:spacing w:after="0"/>
        <w:rPr>
          <w:rFonts w:cs="Arial"/>
          <w:sz w:val="22"/>
          <w:szCs w:val="22"/>
        </w:rPr>
      </w:pPr>
      <w:r w:rsidRPr="0067766C">
        <w:rPr>
          <w:rFonts w:cs="Arial"/>
          <w:b/>
          <w:sz w:val="22"/>
          <w:szCs w:val="22"/>
        </w:rPr>
        <w:t>Item 9</w:t>
      </w:r>
      <w:r w:rsidRPr="0067766C">
        <w:rPr>
          <w:rFonts w:cs="Arial"/>
          <w:b/>
          <w:sz w:val="22"/>
          <w:szCs w:val="22"/>
        </w:rPr>
        <w:tab/>
      </w:r>
      <w:r w:rsidRPr="0067766C">
        <w:rPr>
          <w:rFonts w:cs="Arial"/>
          <w:b/>
          <w:sz w:val="22"/>
          <w:szCs w:val="22"/>
        </w:rPr>
        <w:tab/>
        <w:t>Date of Report</w:t>
      </w:r>
    </w:p>
    <w:p w14:paraId="18D6A21D" w14:textId="1C3C0C0E" w:rsidR="00F21723" w:rsidRDefault="0023017D" w:rsidP="00F21723">
      <w:pPr>
        <w:pStyle w:val="Body"/>
        <w:spacing w:before="100" w:beforeAutospacing="1" w:after="100" w:afterAutospacing="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March 9</w:t>
      </w:r>
      <w:r w:rsidR="00FE1D83" w:rsidRPr="0067766C">
        <w:rPr>
          <w:rFonts w:cs="Arial"/>
          <w:sz w:val="22"/>
          <w:szCs w:val="22"/>
        </w:rPr>
        <w:t>, 2021</w:t>
      </w:r>
    </w:p>
    <w:p w14:paraId="46A74748" w14:textId="5526BDA2" w:rsidR="00E86970" w:rsidRPr="00E86970" w:rsidRDefault="00E86970" w:rsidP="00F21723">
      <w:pPr>
        <w:pStyle w:val="Body"/>
        <w:spacing w:before="100" w:beforeAutospacing="1" w:after="100" w:afterAutospacing="1"/>
        <w:jc w:val="both"/>
        <w:rPr>
          <w:rFonts w:cs="Arial"/>
          <w:i/>
          <w:iCs/>
          <w:sz w:val="22"/>
          <w:szCs w:val="22"/>
        </w:rPr>
      </w:pPr>
      <w:r w:rsidRPr="00E86970">
        <w:rPr>
          <w:i/>
          <w:iCs/>
        </w:rPr>
        <w:t>Forward-Looking Information</w:t>
      </w:r>
    </w:p>
    <w:p w14:paraId="115760A3" w14:textId="10BC39AB" w:rsidR="00944D13" w:rsidRPr="00E86970" w:rsidRDefault="00944D13" w:rsidP="00944D13">
      <w:pPr>
        <w:shd w:val="clear" w:color="auto" w:fill="FFFFFF"/>
        <w:spacing w:after="300"/>
        <w:jc w:val="both"/>
        <w:rPr>
          <w:i/>
          <w:iCs/>
          <w:sz w:val="22"/>
          <w:szCs w:val="22"/>
        </w:rPr>
      </w:pPr>
      <w:r w:rsidRPr="00E86970">
        <w:rPr>
          <w:i/>
          <w:iCs/>
          <w:sz w:val="22"/>
          <w:szCs w:val="22"/>
        </w:rPr>
        <w:t xml:space="preserve">This </w:t>
      </w:r>
      <w:r w:rsidRPr="00E86970">
        <w:rPr>
          <w:i/>
          <w:iCs/>
          <w:sz w:val="22"/>
          <w:szCs w:val="22"/>
        </w:rPr>
        <w:t>material change report</w:t>
      </w:r>
      <w:r w:rsidRPr="00E86970">
        <w:rPr>
          <w:i/>
          <w:iCs/>
          <w:sz w:val="22"/>
          <w:szCs w:val="22"/>
        </w:rPr>
        <w:t xml:space="preserve"> contains "forward-looking information" and "forward-looking statements" (collectively, "</w:t>
      </w:r>
      <w:r w:rsidRPr="00E86970">
        <w:rPr>
          <w:b/>
          <w:bCs/>
          <w:i/>
          <w:iCs/>
          <w:sz w:val="22"/>
          <w:szCs w:val="22"/>
        </w:rPr>
        <w:t>forward-looking</w:t>
      </w:r>
      <w:r w:rsidRPr="00E86970">
        <w:rPr>
          <w:b/>
          <w:bCs/>
          <w:i/>
          <w:iCs/>
          <w:sz w:val="22"/>
          <w:szCs w:val="22"/>
        </w:rPr>
        <w:t xml:space="preserve"> </w:t>
      </w:r>
      <w:r w:rsidRPr="00E86970">
        <w:rPr>
          <w:b/>
          <w:bCs/>
          <w:i/>
          <w:iCs/>
          <w:sz w:val="22"/>
          <w:szCs w:val="22"/>
        </w:rPr>
        <w:t>statements</w:t>
      </w:r>
      <w:r w:rsidRPr="00E86970">
        <w:rPr>
          <w:i/>
          <w:iCs/>
          <w:sz w:val="22"/>
          <w:szCs w:val="22"/>
        </w:rPr>
        <w:t>") within the meaning of the applicable Canadian securities legislation. All statements, other than statements of</w:t>
      </w:r>
      <w:r w:rsidRPr="00E86970">
        <w:rPr>
          <w:i/>
          <w:iCs/>
          <w:sz w:val="22"/>
          <w:szCs w:val="22"/>
        </w:rPr>
        <w:t xml:space="preserve"> </w:t>
      </w:r>
      <w:r w:rsidRPr="00E86970">
        <w:rPr>
          <w:i/>
          <w:iCs/>
          <w:sz w:val="22"/>
          <w:szCs w:val="22"/>
        </w:rPr>
        <w:t>historical fact, are forward-looking statements and are based on expectations, estimates and projections as at the date of this</w:t>
      </w:r>
      <w:r w:rsidRPr="00E86970">
        <w:rPr>
          <w:i/>
          <w:iCs/>
          <w:sz w:val="22"/>
          <w:szCs w:val="22"/>
        </w:rPr>
        <w:t xml:space="preserve"> </w:t>
      </w:r>
      <w:r w:rsidRPr="00E86970">
        <w:rPr>
          <w:i/>
          <w:iCs/>
          <w:sz w:val="22"/>
          <w:szCs w:val="22"/>
        </w:rPr>
        <w:t>material change report. Any statement that involves discussions with respect to predictions, expectations, beliefs, plans, projections,</w:t>
      </w:r>
      <w:r w:rsidRPr="00E86970">
        <w:rPr>
          <w:i/>
          <w:iCs/>
          <w:sz w:val="22"/>
          <w:szCs w:val="22"/>
        </w:rPr>
        <w:t xml:space="preserve"> </w:t>
      </w:r>
      <w:r w:rsidRPr="00E86970">
        <w:rPr>
          <w:i/>
          <w:iCs/>
          <w:sz w:val="22"/>
          <w:szCs w:val="22"/>
        </w:rPr>
        <w:t>objectives, assumptions, future events or performance (often but not always using phrases such as "expects", or "does not</w:t>
      </w:r>
      <w:r w:rsidRPr="00E86970">
        <w:rPr>
          <w:i/>
          <w:iCs/>
          <w:sz w:val="22"/>
          <w:szCs w:val="22"/>
        </w:rPr>
        <w:t xml:space="preserve"> </w:t>
      </w:r>
      <w:r w:rsidRPr="00E86970">
        <w:rPr>
          <w:i/>
          <w:iCs/>
          <w:sz w:val="22"/>
          <w:szCs w:val="22"/>
        </w:rPr>
        <w:t xml:space="preserve">expect", "is </w:t>
      </w:r>
      <w:r w:rsidRPr="00E86970">
        <w:rPr>
          <w:i/>
          <w:iCs/>
          <w:sz w:val="22"/>
          <w:szCs w:val="22"/>
        </w:rPr>
        <w:lastRenderedPageBreak/>
        <w:t>expected", "anticipates" or "does not anticipate", "plans", "budget", "scheduled", "forecasts", "estimates",</w:t>
      </w:r>
      <w:r w:rsidRPr="00E86970">
        <w:rPr>
          <w:i/>
          <w:iCs/>
          <w:sz w:val="22"/>
          <w:szCs w:val="22"/>
        </w:rPr>
        <w:t xml:space="preserve"> </w:t>
      </w:r>
      <w:r w:rsidRPr="00E86970">
        <w:rPr>
          <w:i/>
          <w:iCs/>
          <w:sz w:val="22"/>
          <w:szCs w:val="22"/>
        </w:rPr>
        <w:t>"believes" or "intends" or variations of such words and phrases or stating that certain actions, events or results "may" or</w:t>
      </w:r>
      <w:r w:rsidRPr="00E86970">
        <w:rPr>
          <w:i/>
          <w:iCs/>
          <w:sz w:val="22"/>
          <w:szCs w:val="22"/>
        </w:rPr>
        <w:t xml:space="preserve"> </w:t>
      </w:r>
      <w:r w:rsidRPr="00E86970">
        <w:rPr>
          <w:i/>
          <w:iCs/>
          <w:sz w:val="22"/>
          <w:szCs w:val="22"/>
        </w:rPr>
        <w:t>"could", "would", "might" or "will" be taken to occur or be achieved) are not statements of historical fact and may be forward-</w:t>
      </w:r>
      <w:r w:rsidRPr="00E86970">
        <w:rPr>
          <w:i/>
          <w:iCs/>
          <w:sz w:val="22"/>
          <w:szCs w:val="22"/>
        </w:rPr>
        <w:t xml:space="preserve"> </w:t>
      </w:r>
      <w:r w:rsidRPr="00E86970">
        <w:rPr>
          <w:i/>
          <w:iCs/>
          <w:sz w:val="22"/>
          <w:szCs w:val="22"/>
        </w:rPr>
        <w:t>looking statements. In this material change report, forward-looking statements relate, among other things, the completion of the</w:t>
      </w:r>
      <w:r w:rsidRPr="00E86970">
        <w:rPr>
          <w:i/>
          <w:iCs/>
          <w:sz w:val="22"/>
          <w:szCs w:val="22"/>
        </w:rPr>
        <w:t xml:space="preserve"> </w:t>
      </w:r>
      <w:r w:rsidRPr="00E86970">
        <w:rPr>
          <w:i/>
          <w:iCs/>
          <w:sz w:val="22"/>
          <w:szCs w:val="22"/>
        </w:rPr>
        <w:t>acquisition of Reciprocity Corp., the use of proceeds of the Offering, the Company's ability to execute its business plan and</w:t>
      </w:r>
      <w:r w:rsidRPr="00E86970">
        <w:rPr>
          <w:i/>
          <w:iCs/>
          <w:sz w:val="22"/>
          <w:szCs w:val="22"/>
        </w:rPr>
        <w:t xml:space="preserve"> </w:t>
      </w:r>
      <w:r w:rsidRPr="00E86970">
        <w:rPr>
          <w:i/>
          <w:iCs/>
          <w:sz w:val="22"/>
          <w:szCs w:val="22"/>
        </w:rPr>
        <w:t xml:space="preserve">the business, </w:t>
      </w:r>
      <w:proofErr w:type="gramStart"/>
      <w:r w:rsidRPr="00E86970">
        <w:rPr>
          <w:i/>
          <w:iCs/>
          <w:sz w:val="22"/>
          <w:szCs w:val="22"/>
        </w:rPr>
        <w:t>strategy</w:t>
      </w:r>
      <w:proofErr w:type="gramEnd"/>
      <w:r w:rsidRPr="00E86970">
        <w:rPr>
          <w:i/>
          <w:iCs/>
          <w:sz w:val="22"/>
          <w:szCs w:val="22"/>
        </w:rPr>
        <w:t xml:space="preserve"> and operations of the Company. Forward-looking statements are necessarily based upon </w:t>
      </w:r>
      <w:proofErr w:type="gramStart"/>
      <w:r w:rsidRPr="00E86970">
        <w:rPr>
          <w:i/>
          <w:iCs/>
          <w:sz w:val="22"/>
          <w:szCs w:val="22"/>
        </w:rPr>
        <w:t>a number of</w:t>
      </w:r>
      <w:proofErr w:type="gramEnd"/>
      <w:r w:rsidRPr="00E86970">
        <w:rPr>
          <w:i/>
          <w:iCs/>
          <w:sz w:val="22"/>
          <w:szCs w:val="22"/>
        </w:rPr>
        <w:t xml:space="preserve"> </w:t>
      </w:r>
      <w:r w:rsidRPr="00E86970">
        <w:rPr>
          <w:i/>
          <w:iCs/>
          <w:sz w:val="22"/>
          <w:szCs w:val="22"/>
        </w:rPr>
        <w:t>estimates and assumptions that, while considered reasonable, are subject to known and unknown risks, uncertainties, and</w:t>
      </w:r>
      <w:r w:rsidRPr="00E86970">
        <w:rPr>
          <w:i/>
          <w:iCs/>
          <w:sz w:val="22"/>
          <w:szCs w:val="22"/>
        </w:rPr>
        <w:t xml:space="preserve"> </w:t>
      </w:r>
      <w:r w:rsidRPr="00E86970">
        <w:rPr>
          <w:i/>
          <w:iCs/>
          <w:sz w:val="22"/>
          <w:szCs w:val="22"/>
        </w:rPr>
        <w:t>other factors which may cause the actual results and future events to differ materially from those expressed or implied by such</w:t>
      </w:r>
      <w:r w:rsidRPr="00E86970">
        <w:rPr>
          <w:i/>
          <w:iCs/>
          <w:sz w:val="22"/>
          <w:szCs w:val="22"/>
        </w:rPr>
        <w:t xml:space="preserve"> </w:t>
      </w:r>
      <w:r w:rsidRPr="00E86970">
        <w:rPr>
          <w:i/>
          <w:iCs/>
          <w:sz w:val="22"/>
          <w:szCs w:val="22"/>
        </w:rPr>
        <w:t xml:space="preserve">forward-looking statements. Such factors include, but are not limited </w:t>
      </w:r>
      <w:proofErr w:type="gramStart"/>
      <w:r w:rsidRPr="00E86970">
        <w:rPr>
          <w:i/>
          <w:iCs/>
          <w:sz w:val="22"/>
          <w:szCs w:val="22"/>
        </w:rPr>
        <w:t>to:</w:t>
      </w:r>
      <w:proofErr w:type="gramEnd"/>
      <w:r w:rsidRPr="00E86970">
        <w:rPr>
          <w:i/>
          <w:iCs/>
          <w:sz w:val="22"/>
          <w:szCs w:val="22"/>
        </w:rPr>
        <w:t xml:space="preserve"> general business, economic, competitive, political and</w:t>
      </w:r>
      <w:r w:rsidRPr="00E86970">
        <w:rPr>
          <w:i/>
          <w:iCs/>
          <w:sz w:val="22"/>
          <w:szCs w:val="22"/>
        </w:rPr>
        <w:t xml:space="preserve"> </w:t>
      </w:r>
      <w:r w:rsidRPr="00E86970">
        <w:rPr>
          <w:i/>
          <w:iCs/>
          <w:sz w:val="22"/>
          <w:szCs w:val="22"/>
        </w:rPr>
        <w:t>social uncertainties. There can be no assurance that such statements will prove to be accurate, as actual results and future</w:t>
      </w:r>
      <w:r w:rsidRPr="00E86970">
        <w:rPr>
          <w:i/>
          <w:iCs/>
          <w:sz w:val="22"/>
          <w:szCs w:val="22"/>
        </w:rPr>
        <w:t xml:space="preserve"> </w:t>
      </w:r>
      <w:r w:rsidRPr="00E86970">
        <w:rPr>
          <w:i/>
          <w:iCs/>
          <w:sz w:val="22"/>
          <w:szCs w:val="22"/>
        </w:rPr>
        <w:t>events could differ materially from those anticipated in such statements. Accordingly, readers should not place undue reliance</w:t>
      </w:r>
      <w:r w:rsidRPr="00E86970">
        <w:rPr>
          <w:i/>
          <w:iCs/>
          <w:sz w:val="22"/>
          <w:szCs w:val="22"/>
        </w:rPr>
        <w:t xml:space="preserve"> </w:t>
      </w:r>
      <w:r w:rsidRPr="00E86970">
        <w:rPr>
          <w:i/>
          <w:iCs/>
          <w:sz w:val="22"/>
          <w:szCs w:val="22"/>
        </w:rPr>
        <w:t>on the forward-looking statements and information contained in this material change report. Except as required by law, GameSquare</w:t>
      </w:r>
      <w:r w:rsidRPr="00E86970">
        <w:rPr>
          <w:i/>
          <w:iCs/>
          <w:sz w:val="22"/>
          <w:szCs w:val="22"/>
        </w:rPr>
        <w:t xml:space="preserve"> </w:t>
      </w:r>
      <w:r w:rsidRPr="00E86970">
        <w:rPr>
          <w:i/>
          <w:iCs/>
          <w:sz w:val="22"/>
          <w:szCs w:val="22"/>
        </w:rPr>
        <w:t>assumes no obligation to update the forward-looking statements of beliefs, opinions, projections, or other factors, should they</w:t>
      </w:r>
      <w:r w:rsidRPr="00E86970">
        <w:rPr>
          <w:i/>
          <w:iCs/>
          <w:sz w:val="22"/>
          <w:szCs w:val="22"/>
        </w:rPr>
        <w:t xml:space="preserve"> </w:t>
      </w:r>
      <w:r w:rsidRPr="00E86970">
        <w:rPr>
          <w:i/>
          <w:iCs/>
          <w:sz w:val="22"/>
          <w:szCs w:val="22"/>
        </w:rPr>
        <w:t>change, except as required by law</w:t>
      </w:r>
      <w:r w:rsidRPr="00E86970">
        <w:rPr>
          <w:i/>
          <w:iCs/>
          <w:sz w:val="22"/>
          <w:szCs w:val="22"/>
        </w:rPr>
        <w:t>.</w:t>
      </w:r>
    </w:p>
    <w:sectPr w:rsidR="00944D13" w:rsidRPr="00E86970" w:rsidSect="0005356C">
      <w:pgSz w:w="12240" w:h="15840"/>
      <w:pgMar w:top="1080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23"/>
    <w:rsid w:val="000255DC"/>
    <w:rsid w:val="0005356C"/>
    <w:rsid w:val="0007506F"/>
    <w:rsid w:val="000A6940"/>
    <w:rsid w:val="000C466B"/>
    <w:rsid w:val="0010055F"/>
    <w:rsid w:val="00123561"/>
    <w:rsid w:val="0023017D"/>
    <w:rsid w:val="002B7E75"/>
    <w:rsid w:val="003B0E09"/>
    <w:rsid w:val="004306C6"/>
    <w:rsid w:val="005170FE"/>
    <w:rsid w:val="00543761"/>
    <w:rsid w:val="00591F41"/>
    <w:rsid w:val="0059382E"/>
    <w:rsid w:val="005B4F80"/>
    <w:rsid w:val="0067766C"/>
    <w:rsid w:val="006975E6"/>
    <w:rsid w:val="0078518D"/>
    <w:rsid w:val="00836309"/>
    <w:rsid w:val="00944D13"/>
    <w:rsid w:val="0097432F"/>
    <w:rsid w:val="00977CF8"/>
    <w:rsid w:val="009E46D2"/>
    <w:rsid w:val="00AA1400"/>
    <w:rsid w:val="00B5279D"/>
    <w:rsid w:val="00B54725"/>
    <w:rsid w:val="00BA22EC"/>
    <w:rsid w:val="00BE02A7"/>
    <w:rsid w:val="00BE429C"/>
    <w:rsid w:val="00BF2DA1"/>
    <w:rsid w:val="00E86970"/>
    <w:rsid w:val="00ED4D80"/>
    <w:rsid w:val="00F21723"/>
    <w:rsid w:val="00F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3CC73"/>
  <w15:chartTrackingRefBased/>
  <w15:docId w15:val="{989CCB7E-8652-4C21-BE2B-DC22E8BF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723"/>
    <w:pPr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F21723"/>
    <w:pPr>
      <w:spacing w:after="180"/>
    </w:pPr>
  </w:style>
  <w:style w:type="paragraph" w:customStyle="1" w:styleId="BodyText">
    <w:name w:val="#BodyText"/>
    <w:basedOn w:val="Normal"/>
    <w:qFormat/>
    <w:rsid w:val="00F21723"/>
    <w:pPr>
      <w:jc w:val="both"/>
    </w:pPr>
    <w:rPr>
      <w:sz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F217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7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6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vin@gamesqu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Atin</dc:creator>
  <cp:keywords/>
  <dc:description/>
  <cp:lastModifiedBy>Aaron Atin</cp:lastModifiedBy>
  <cp:revision>5</cp:revision>
  <dcterms:created xsi:type="dcterms:W3CDTF">2021-02-23T17:48:00Z</dcterms:created>
  <dcterms:modified xsi:type="dcterms:W3CDTF">2021-03-09T14:11:00Z</dcterms:modified>
</cp:coreProperties>
</file>