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FDD2C" w14:textId="77777777" w:rsidR="00007218" w:rsidRPr="00C00574" w:rsidRDefault="00007218" w:rsidP="00007218">
      <w:pPr>
        <w:pStyle w:val="Body"/>
        <w:spacing w:before="100" w:beforeAutospacing="1" w:after="100" w:afterAutospacing="1"/>
        <w:jc w:val="center"/>
        <w:rPr>
          <w:rFonts w:cs="Arial"/>
          <w:b/>
          <w:sz w:val="22"/>
          <w:szCs w:val="22"/>
        </w:rPr>
      </w:pPr>
      <w:bookmarkStart w:id="0" w:name="DocsID"/>
      <w:bookmarkStart w:id="1" w:name="_GoBack"/>
      <w:bookmarkEnd w:id="0"/>
      <w:bookmarkEnd w:id="1"/>
      <w:r w:rsidRPr="00C00574">
        <w:rPr>
          <w:rFonts w:cs="Arial"/>
          <w:b/>
          <w:sz w:val="22"/>
          <w:szCs w:val="22"/>
        </w:rPr>
        <w:t>FORM 51-102F3</w:t>
      </w:r>
    </w:p>
    <w:p w14:paraId="3A74AFE2" w14:textId="77777777" w:rsidR="00007218" w:rsidRPr="00C00574" w:rsidRDefault="00007218" w:rsidP="00007218">
      <w:pPr>
        <w:pStyle w:val="Body"/>
        <w:spacing w:before="100" w:beforeAutospacing="1" w:after="100" w:afterAutospacing="1"/>
        <w:jc w:val="center"/>
        <w:rPr>
          <w:rFonts w:cs="Arial"/>
          <w:b/>
          <w:sz w:val="22"/>
          <w:szCs w:val="22"/>
        </w:rPr>
      </w:pPr>
      <w:r w:rsidRPr="00C00574">
        <w:rPr>
          <w:rFonts w:cs="Arial"/>
          <w:b/>
          <w:sz w:val="22"/>
          <w:szCs w:val="22"/>
        </w:rPr>
        <w:t>MATERIAL CHANGE REPORT</w:t>
      </w:r>
    </w:p>
    <w:p w14:paraId="298C5535" w14:textId="77777777" w:rsidR="00007218" w:rsidRPr="00C00574" w:rsidRDefault="00007218" w:rsidP="00007218">
      <w:pPr>
        <w:pStyle w:val="Body"/>
        <w:spacing w:before="100" w:beforeAutospacing="1" w:after="100" w:afterAutospacing="1"/>
        <w:rPr>
          <w:rFonts w:cs="Arial"/>
          <w:b/>
          <w:sz w:val="22"/>
          <w:szCs w:val="22"/>
        </w:rPr>
      </w:pPr>
    </w:p>
    <w:p w14:paraId="07AD9F82" w14:textId="77777777" w:rsidR="00007218" w:rsidRPr="00C00574" w:rsidRDefault="00007218" w:rsidP="00007218">
      <w:pPr>
        <w:pStyle w:val="Body"/>
        <w:spacing w:after="0"/>
        <w:rPr>
          <w:rFonts w:cs="Arial"/>
          <w:sz w:val="22"/>
          <w:szCs w:val="22"/>
        </w:rPr>
      </w:pPr>
      <w:r w:rsidRPr="00C00574">
        <w:rPr>
          <w:rFonts w:cs="Arial"/>
          <w:b/>
          <w:sz w:val="22"/>
          <w:szCs w:val="22"/>
        </w:rPr>
        <w:t>Item 1</w:t>
      </w:r>
      <w:r w:rsidRPr="00C00574">
        <w:rPr>
          <w:rFonts w:cs="Arial"/>
          <w:b/>
          <w:sz w:val="22"/>
          <w:szCs w:val="22"/>
        </w:rPr>
        <w:tab/>
      </w:r>
      <w:r w:rsidRPr="00C00574">
        <w:rPr>
          <w:rFonts w:cs="Arial"/>
          <w:b/>
          <w:sz w:val="22"/>
          <w:szCs w:val="22"/>
        </w:rPr>
        <w:tab/>
        <w:t>Name and Address of Company</w:t>
      </w:r>
    </w:p>
    <w:p w14:paraId="2ACCFC1E" w14:textId="77777777" w:rsidR="00007218" w:rsidRPr="00C00574" w:rsidRDefault="00007218" w:rsidP="00007218">
      <w:pPr>
        <w:pStyle w:val="Body"/>
        <w:spacing w:after="0"/>
        <w:rPr>
          <w:rFonts w:cs="Arial"/>
          <w:sz w:val="22"/>
          <w:szCs w:val="22"/>
        </w:rPr>
      </w:pPr>
    </w:p>
    <w:p w14:paraId="14F0E617" w14:textId="77777777" w:rsidR="00007218" w:rsidRPr="00A3635F" w:rsidRDefault="00A73E95" w:rsidP="00007218">
      <w:pPr>
        <w:pStyle w:val="Body"/>
        <w:spacing w:after="0"/>
        <w:rPr>
          <w:rFonts w:cs="Arial"/>
          <w:sz w:val="22"/>
          <w:szCs w:val="22"/>
        </w:rPr>
      </w:pPr>
      <w:r>
        <w:rPr>
          <w:rFonts w:cs="Arial"/>
          <w:sz w:val="22"/>
          <w:szCs w:val="22"/>
        </w:rPr>
        <w:t>EarthRenew Inc.</w:t>
      </w:r>
      <w:r w:rsidR="00007218" w:rsidRPr="00A3635F">
        <w:rPr>
          <w:rFonts w:cs="Arial"/>
          <w:sz w:val="22"/>
          <w:szCs w:val="22"/>
        </w:rPr>
        <w:t xml:space="preserve"> (“</w:t>
      </w:r>
      <w:r>
        <w:rPr>
          <w:rFonts w:cs="Arial"/>
          <w:sz w:val="22"/>
          <w:szCs w:val="22"/>
        </w:rPr>
        <w:t>EarthRenew</w:t>
      </w:r>
      <w:r w:rsidR="00007218" w:rsidRPr="00A3635F">
        <w:rPr>
          <w:rFonts w:cs="Arial"/>
          <w:sz w:val="22"/>
          <w:szCs w:val="22"/>
        </w:rPr>
        <w:t>” or the “Company”)</w:t>
      </w:r>
      <w:r w:rsidR="00007218" w:rsidRPr="00A3635F">
        <w:rPr>
          <w:rFonts w:cs="Arial"/>
          <w:sz w:val="22"/>
          <w:szCs w:val="22"/>
        </w:rPr>
        <w:br/>
        <w:t>65 Queen Street West</w:t>
      </w:r>
    </w:p>
    <w:p w14:paraId="78B7B600" w14:textId="77777777" w:rsidR="00007218" w:rsidRPr="00A3635F" w:rsidRDefault="00007218" w:rsidP="00007218">
      <w:pPr>
        <w:pStyle w:val="Body"/>
        <w:spacing w:after="0"/>
        <w:rPr>
          <w:rFonts w:cs="Arial"/>
          <w:sz w:val="22"/>
          <w:szCs w:val="22"/>
        </w:rPr>
      </w:pPr>
      <w:r w:rsidRPr="00A3635F">
        <w:rPr>
          <w:rFonts w:cs="Arial"/>
          <w:sz w:val="22"/>
          <w:szCs w:val="22"/>
        </w:rPr>
        <w:t>Suite 800</w:t>
      </w:r>
    </w:p>
    <w:p w14:paraId="3ACE204D" w14:textId="77777777" w:rsidR="00007218" w:rsidRDefault="00007218" w:rsidP="00007218">
      <w:pPr>
        <w:pStyle w:val="Body"/>
        <w:spacing w:after="0"/>
        <w:rPr>
          <w:rFonts w:cs="Arial"/>
          <w:sz w:val="22"/>
          <w:szCs w:val="22"/>
        </w:rPr>
      </w:pPr>
      <w:r>
        <w:rPr>
          <w:rFonts w:cs="Arial"/>
          <w:sz w:val="22"/>
          <w:szCs w:val="22"/>
        </w:rPr>
        <w:t>Toronto, ON M5H 2M5</w:t>
      </w:r>
    </w:p>
    <w:p w14:paraId="10B9FF05" w14:textId="77777777" w:rsidR="00007218" w:rsidRPr="00FC01D7" w:rsidRDefault="00007218" w:rsidP="00007218">
      <w:pPr>
        <w:pStyle w:val="Body"/>
        <w:spacing w:after="0"/>
        <w:rPr>
          <w:rFonts w:cs="Arial"/>
          <w:sz w:val="22"/>
          <w:szCs w:val="22"/>
        </w:rPr>
      </w:pPr>
    </w:p>
    <w:p w14:paraId="4A791C83" w14:textId="77777777" w:rsidR="00007218" w:rsidRPr="00C00574" w:rsidRDefault="00007218" w:rsidP="00007218">
      <w:pPr>
        <w:pStyle w:val="Body"/>
        <w:spacing w:after="0"/>
        <w:rPr>
          <w:rFonts w:cs="Arial"/>
          <w:sz w:val="22"/>
          <w:szCs w:val="22"/>
        </w:rPr>
      </w:pPr>
      <w:r w:rsidRPr="00C00574">
        <w:rPr>
          <w:rFonts w:cs="Arial"/>
          <w:b/>
          <w:sz w:val="22"/>
          <w:szCs w:val="22"/>
        </w:rPr>
        <w:t>Item 2</w:t>
      </w:r>
      <w:r w:rsidRPr="00C00574">
        <w:rPr>
          <w:rFonts w:cs="Arial"/>
          <w:b/>
          <w:sz w:val="22"/>
          <w:szCs w:val="22"/>
        </w:rPr>
        <w:tab/>
      </w:r>
      <w:r w:rsidRPr="00C00574">
        <w:rPr>
          <w:rFonts w:cs="Arial"/>
          <w:b/>
          <w:sz w:val="22"/>
          <w:szCs w:val="22"/>
        </w:rPr>
        <w:tab/>
        <w:t>Date of Material Change</w:t>
      </w:r>
    </w:p>
    <w:p w14:paraId="2347A230" w14:textId="77777777" w:rsidR="00007218" w:rsidRPr="00C00574" w:rsidRDefault="00007218" w:rsidP="00007218">
      <w:pPr>
        <w:pStyle w:val="Body"/>
        <w:spacing w:after="0"/>
        <w:rPr>
          <w:rFonts w:cs="Arial"/>
          <w:sz w:val="22"/>
          <w:szCs w:val="22"/>
        </w:rPr>
      </w:pPr>
    </w:p>
    <w:p w14:paraId="0E25C1B0" w14:textId="4658CE05" w:rsidR="00007218" w:rsidRPr="00C00574" w:rsidRDefault="00DE49E8" w:rsidP="00007218">
      <w:pPr>
        <w:pStyle w:val="Body"/>
        <w:spacing w:after="0"/>
        <w:rPr>
          <w:rFonts w:cs="Arial"/>
          <w:sz w:val="22"/>
          <w:szCs w:val="22"/>
        </w:rPr>
      </w:pPr>
      <w:r>
        <w:rPr>
          <w:rFonts w:cs="Arial"/>
          <w:sz w:val="22"/>
          <w:szCs w:val="22"/>
        </w:rPr>
        <w:t>July 24, 2020</w:t>
      </w:r>
    </w:p>
    <w:p w14:paraId="598443E5" w14:textId="77777777" w:rsidR="00007218" w:rsidRPr="00C00574" w:rsidRDefault="00007218" w:rsidP="00007218">
      <w:pPr>
        <w:pStyle w:val="Body"/>
        <w:spacing w:after="0"/>
        <w:rPr>
          <w:rFonts w:cs="Arial"/>
          <w:sz w:val="22"/>
          <w:szCs w:val="22"/>
        </w:rPr>
      </w:pPr>
    </w:p>
    <w:p w14:paraId="422D828E" w14:textId="77777777" w:rsidR="00007218" w:rsidRPr="00C00574" w:rsidRDefault="00007218" w:rsidP="00007218">
      <w:pPr>
        <w:pStyle w:val="Body"/>
        <w:spacing w:after="0"/>
        <w:rPr>
          <w:rFonts w:cs="Arial"/>
          <w:sz w:val="22"/>
          <w:szCs w:val="22"/>
        </w:rPr>
      </w:pPr>
      <w:r w:rsidRPr="00C00574">
        <w:rPr>
          <w:rFonts w:cs="Arial"/>
          <w:b/>
          <w:sz w:val="22"/>
          <w:szCs w:val="22"/>
        </w:rPr>
        <w:t>Item 3</w:t>
      </w:r>
      <w:r w:rsidRPr="00C00574">
        <w:rPr>
          <w:rFonts w:cs="Arial"/>
          <w:b/>
          <w:sz w:val="22"/>
          <w:szCs w:val="22"/>
        </w:rPr>
        <w:tab/>
      </w:r>
      <w:r w:rsidRPr="00C00574">
        <w:rPr>
          <w:rFonts w:cs="Arial"/>
          <w:b/>
          <w:sz w:val="22"/>
          <w:szCs w:val="22"/>
        </w:rPr>
        <w:tab/>
        <w:t>News Release</w:t>
      </w:r>
    </w:p>
    <w:p w14:paraId="66F65DAC" w14:textId="77777777" w:rsidR="00007218" w:rsidRPr="00C00574" w:rsidRDefault="00007218" w:rsidP="00007218">
      <w:pPr>
        <w:pStyle w:val="Body"/>
        <w:spacing w:after="0"/>
        <w:rPr>
          <w:rFonts w:cs="Arial"/>
          <w:sz w:val="22"/>
          <w:szCs w:val="22"/>
        </w:rPr>
      </w:pPr>
    </w:p>
    <w:p w14:paraId="14747265" w14:textId="188F7349" w:rsidR="00007218" w:rsidRPr="00FC01D7" w:rsidRDefault="00007218" w:rsidP="0024086B">
      <w:pPr>
        <w:pStyle w:val="Body"/>
        <w:spacing w:after="0"/>
        <w:jc w:val="both"/>
        <w:rPr>
          <w:rFonts w:cs="Arial"/>
          <w:sz w:val="22"/>
          <w:szCs w:val="22"/>
        </w:rPr>
      </w:pPr>
      <w:r w:rsidRPr="00C00574">
        <w:rPr>
          <w:rFonts w:cs="Arial"/>
          <w:sz w:val="22"/>
          <w:szCs w:val="22"/>
        </w:rPr>
        <w:t xml:space="preserve">A news </w:t>
      </w:r>
      <w:r w:rsidRPr="00FC01D7">
        <w:rPr>
          <w:rFonts w:cs="Arial"/>
          <w:sz w:val="22"/>
          <w:szCs w:val="22"/>
        </w:rPr>
        <w:t xml:space="preserve">release was issued by the </w:t>
      </w:r>
      <w:r w:rsidR="00A73E95">
        <w:rPr>
          <w:rFonts w:cs="Arial"/>
          <w:sz w:val="22"/>
          <w:szCs w:val="22"/>
        </w:rPr>
        <w:t>Company</w:t>
      </w:r>
      <w:r w:rsidRPr="00FC01D7">
        <w:rPr>
          <w:rFonts w:cs="Arial"/>
          <w:sz w:val="22"/>
          <w:szCs w:val="22"/>
        </w:rPr>
        <w:t xml:space="preserve"> on </w:t>
      </w:r>
      <w:r w:rsidR="00DE49E8">
        <w:rPr>
          <w:rFonts w:cs="Arial"/>
          <w:sz w:val="22"/>
          <w:szCs w:val="22"/>
        </w:rPr>
        <w:t>July 24, 2020</w:t>
      </w:r>
      <w:r w:rsidRPr="00FC01D7">
        <w:rPr>
          <w:rFonts w:cs="Arial"/>
          <w:sz w:val="22"/>
          <w:szCs w:val="22"/>
        </w:rPr>
        <w:t xml:space="preserve"> and subsequently filed on SEDAR.</w:t>
      </w:r>
    </w:p>
    <w:p w14:paraId="5255372D" w14:textId="77777777" w:rsidR="00007218" w:rsidRPr="00FC01D7" w:rsidRDefault="00007218" w:rsidP="00007218">
      <w:pPr>
        <w:pStyle w:val="Body"/>
        <w:spacing w:after="0"/>
        <w:rPr>
          <w:rFonts w:cs="Arial"/>
          <w:sz w:val="22"/>
          <w:szCs w:val="22"/>
        </w:rPr>
      </w:pPr>
    </w:p>
    <w:p w14:paraId="2A3292D0" w14:textId="77777777" w:rsidR="00007218" w:rsidRPr="00FC01D7" w:rsidRDefault="00007218" w:rsidP="00007218">
      <w:pPr>
        <w:pStyle w:val="Body"/>
        <w:spacing w:after="0"/>
        <w:jc w:val="both"/>
        <w:rPr>
          <w:rFonts w:cs="Arial"/>
          <w:sz w:val="22"/>
          <w:szCs w:val="22"/>
        </w:rPr>
      </w:pPr>
      <w:r w:rsidRPr="00FC01D7">
        <w:rPr>
          <w:rFonts w:cs="Arial"/>
          <w:b/>
          <w:sz w:val="22"/>
          <w:szCs w:val="22"/>
        </w:rPr>
        <w:t>Item 4</w:t>
      </w:r>
      <w:r w:rsidRPr="00FC01D7">
        <w:rPr>
          <w:rFonts w:cs="Arial"/>
          <w:b/>
          <w:sz w:val="22"/>
          <w:szCs w:val="22"/>
        </w:rPr>
        <w:tab/>
      </w:r>
      <w:r w:rsidRPr="00FC01D7">
        <w:rPr>
          <w:rFonts w:cs="Arial"/>
          <w:b/>
          <w:sz w:val="22"/>
          <w:szCs w:val="22"/>
        </w:rPr>
        <w:tab/>
        <w:t>Summary of Material Change</w:t>
      </w:r>
    </w:p>
    <w:p w14:paraId="71370AC1" w14:textId="77777777" w:rsidR="00007218" w:rsidRPr="00FC01D7" w:rsidRDefault="00007218" w:rsidP="00007218">
      <w:pPr>
        <w:pStyle w:val="Body"/>
        <w:spacing w:after="0"/>
        <w:jc w:val="both"/>
        <w:rPr>
          <w:rFonts w:cs="Arial"/>
          <w:sz w:val="22"/>
          <w:szCs w:val="22"/>
        </w:rPr>
      </w:pPr>
    </w:p>
    <w:p w14:paraId="67A47C1B" w14:textId="3E2857E6" w:rsidR="00720591" w:rsidRPr="00720591" w:rsidRDefault="00007218" w:rsidP="0024086B">
      <w:pPr>
        <w:pStyle w:val="NormalWeb"/>
        <w:jc w:val="both"/>
        <w:rPr>
          <w:rFonts w:ascii="Arial" w:hAnsi="Arial" w:cs="Arial"/>
          <w:sz w:val="22"/>
          <w:szCs w:val="22"/>
        </w:rPr>
      </w:pPr>
      <w:r w:rsidRPr="00720591">
        <w:rPr>
          <w:rFonts w:ascii="Arial" w:hAnsi="Arial" w:cs="Arial"/>
          <w:sz w:val="22"/>
          <w:szCs w:val="22"/>
        </w:rPr>
        <w:t xml:space="preserve">On </w:t>
      </w:r>
      <w:r w:rsidR="00DE49E8">
        <w:rPr>
          <w:rFonts w:ascii="Arial" w:hAnsi="Arial" w:cs="Arial"/>
          <w:sz w:val="22"/>
          <w:szCs w:val="22"/>
        </w:rPr>
        <w:t>July 24, 2020</w:t>
      </w:r>
      <w:r w:rsidRPr="00720591">
        <w:rPr>
          <w:rFonts w:ascii="Arial" w:hAnsi="Arial" w:cs="Arial"/>
          <w:sz w:val="22"/>
          <w:szCs w:val="22"/>
        </w:rPr>
        <w:t xml:space="preserve">, </w:t>
      </w:r>
      <w:r w:rsidR="00A73E95" w:rsidRPr="00720591">
        <w:rPr>
          <w:rFonts w:ascii="Arial" w:hAnsi="Arial" w:cs="Arial"/>
          <w:sz w:val="22"/>
          <w:szCs w:val="22"/>
        </w:rPr>
        <w:t>EarthRenew</w:t>
      </w:r>
      <w:r w:rsidRPr="00720591">
        <w:rPr>
          <w:rFonts w:ascii="Arial" w:hAnsi="Arial" w:cs="Arial"/>
          <w:sz w:val="22"/>
          <w:szCs w:val="22"/>
        </w:rPr>
        <w:t xml:space="preserve"> </w:t>
      </w:r>
      <w:r w:rsidR="00720591" w:rsidRPr="00720591">
        <w:rPr>
          <w:rFonts w:ascii="Arial" w:hAnsi="Arial" w:cs="Arial"/>
          <w:sz w:val="22"/>
          <w:szCs w:val="22"/>
        </w:rPr>
        <w:t>announced that it has closed its first tranche of a previously announced non-brokered private placement financing</w:t>
      </w:r>
      <w:r w:rsidR="00720591">
        <w:rPr>
          <w:rFonts w:ascii="Arial" w:hAnsi="Arial" w:cs="Arial"/>
          <w:sz w:val="22"/>
          <w:szCs w:val="22"/>
        </w:rPr>
        <w:t>.</w:t>
      </w:r>
    </w:p>
    <w:p w14:paraId="2C3A0A86" w14:textId="77777777" w:rsidR="00007218" w:rsidRDefault="00007218" w:rsidP="00720591">
      <w:pPr>
        <w:spacing w:after="0"/>
        <w:jc w:val="both"/>
        <w:rPr>
          <w:rFonts w:cs="Arial"/>
          <w:b/>
          <w:sz w:val="22"/>
          <w:szCs w:val="22"/>
        </w:rPr>
      </w:pPr>
    </w:p>
    <w:p w14:paraId="74D966A2" w14:textId="564E6C6C" w:rsidR="00DE49E8" w:rsidRDefault="00007218" w:rsidP="00DE49E8">
      <w:pPr>
        <w:pStyle w:val="Body"/>
        <w:spacing w:after="0"/>
        <w:jc w:val="both"/>
        <w:rPr>
          <w:rFonts w:cs="Arial"/>
          <w:b/>
          <w:sz w:val="22"/>
          <w:szCs w:val="22"/>
        </w:rPr>
      </w:pPr>
      <w:r w:rsidRPr="00C00574">
        <w:rPr>
          <w:rFonts w:cs="Arial"/>
          <w:b/>
          <w:sz w:val="22"/>
          <w:szCs w:val="22"/>
        </w:rPr>
        <w:t>Item 5</w:t>
      </w:r>
      <w:r w:rsidRPr="00C00574">
        <w:rPr>
          <w:rFonts w:cs="Arial"/>
          <w:b/>
          <w:sz w:val="22"/>
          <w:szCs w:val="22"/>
        </w:rPr>
        <w:tab/>
      </w:r>
      <w:r w:rsidRPr="00C00574">
        <w:rPr>
          <w:rFonts w:cs="Arial"/>
          <w:b/>
          <w:sz w:val="22"/>
          <w:szCs w:val="22"/>
        </w:rPr>
        <w:tab/>
        <w:t>Full Description of Material Change</w:t>
      </w:r>
    </w:p>
    <w:p w14:paraId="19A24E4B" w14:textId="77777777" w:rsidR="00DE49E8" w:rsidRDefault="00DE49E8" w:rsidP="00DE49E8">
      <w:pPr>
        <w:pStyle w:val="Body"/>
        <w:spacing w:after="0"/>
        <w:jc w:val="both"/>
        <w:rPr>
          <w:rFonts w:cs="Arial"/>
          <w:sz w:val="22"/>
          <w:szCs w:val="22"/>
        </w:rPr>
      </w:pPr>
    </w:p>
    <w:p w14:paraId="1F11C311" w14:textId="02A24BAC" w:rsidR="00DE49E8" w:rsidRPr="00250F40" w:rsidRDefault="00720591" w:rsidP="00DE49E8">
      <w:pPr>
        <w:spacing w:after="120"/>
        <w:jc w:val="both"/>
        <w:textAlignment w:val="baseline"/>
        <w:outlineLvl w:val="5"/>
        <w:rPr>
          <w:rFonts w:cs="Arial"/>
          <w:bCs/>
          <w:sz w:val="22"/>
          <w:szCs w:val="22"/>
        </w:rPr>
      </w:pPr>
      <w:r w:rsidRPr="00250F40">
        <w:rPr>
          <w:rFonts w:cs="Arial"/>
          <w:sz w:val="22"/>
          <w:szCs w:val="22"/>
        </w:rPr>
        <w:t xml:space="preserve">EarthRenew Inc. announced </w:t>
      </w:r>
      <w:r w:rsidR="00DE49E8" w:rsidRPr="00250F40">
        <w:rPr>
          <w:rFonts w:cs="Arial"/>
          <w:bCs/>
          <w:sz w:val="22"/>
          <w:szCs w:val="22"/>
        </w:rPr>
        <w:t>that it has closed its first tranche of a previously announced non-brokered private placement financing of units (each, a “</w:t>
      </w:r>
      <w:r w:rsidR="00DE49E8" w:rsidRPr="00250F40">
        <w:rPr>
          <w:rFonts w:cs="Arial"/>
          <w:b/>
          <w:sz w:val="22"/>
          <w:szCs w:val="22"/>
        </w:rPr>
        <w:t>Unit</w:t>
      </w:r>
      <w:r w:rsidR="00DE49E8" w:rsidRPr="00250F40">
        <w:rPr>
          <w:rFonts w:cs="Arial"/>
          <w:bCs/>
          <w:sz w:val="22"/>
          <w:szCs w:val="22"/>
        </w:rPr>
        <w:t>”) at a price of $0.30 per Unit (the “</w:t>
      </w:r>
      <w:r w:rsidR="00DE49E8" w:rsidRPr="00250F40">
        <w:rPr>
          <w:rFonts w:cs="Arial"/>
          <w:b/>
          <w:sz w:val="22"/>
          <w:szCs w:val="22"/>
        </w:rPr>
        <w:t>Offering</w:t>
      </w:r>
      <w:r w:rsidR="00DE49E8" w:rsidRPr="00250F40">
        <w:rPr>
          <w:rFonts w:cs="Arial"/>
          <w:bCs/>
          <w:sz w:val="22"/>
          <w:szCs w:val="22"/>
        </w:rPr>
        <w:t>”) for gross proceeds of $2,093,352 (the “</w:t>
      </w:r>
      <w:r w:rsidR="00DE49E8" w:rsidRPr="00250F40">
        <w:rPr>
          <w:rFonts w:cs="Arial"/>
          <w:b/>
          <w:sz w:val="22"/>
          <w:szCs w:val="22"/>
        </w:rPr>
        <w:t>First</w:t>
      </w:r>
      <w:r w:rsidR="00DE49E8" w:rsidRPr="00250F40">
        <w:rPr>
          <w:rFonts w:cs="Arial"/>
          <w:bCs/>
          <w:sz w:val="22"/>
          <w:szCs w:val="22"/>
        </w:rPr>
        <w:t xml:space="preserve"> </w:t>
      </w:r>
      <w:r w:rsidR="00DE49E8" w:rsidRPr="00250F40">
        <w:rPr>
          <w:rFonts w:cs="Arial"/>
          <w:b/>
          <w:sz w:val="22"/>
          <w:szCs w:val="22"/>
        </w:rPr>
        <w:t>Tranche</w:t>
      </w:r>
      <w:r w:rsidR="00DE49E8" w:rsidRPr="00250F40">
        <w:rPr>
          <w:rFonts w:cs="Arial"/>
          <w:bCs/>
          <w:sz w:val="22"/>
          <w:szCs w:val="22"/>
        </w:rPr>
        <w:t xml:space="preserve">”). For more information on the Offering, please see the Company’s press release dated June 9, 2020, which is available under the Company’s profiles on SEDAR at </w:t>
      </w:r>
      <w:hyperlink r:id="rId7" w:history="1">
        <w:r w:rsidR="00DE49E8" w:rsidRPr="00250F40">
          <w:rPr>
            <w:rStyle w:val="Hyperlink"/>
            <w:rFonts w:cs="Arial"/>
            <w:bCs/>
            <w:sz w:val="22"/>
            <w:szCs w:val="22"/>
          </w:rPr>
          <w:t>www.sedar.com</w:t>
        </w:r>
      </w:hyperlink>
      <w:r w:rsidR="00DE49E8" w:rsidRPr="00250F40">
        <w:rPr>
          <w:rFonts w:cs="Arial"/>
          <w:bCs/>
          <w:sz w:val="22"/>
          <w:szCs w:val="22"/>
        </w:rPr>
        <w:t xml:space="preserve"> and www.thecse.com. </w:t>
      </w:r>
    </w:p>
    <w:p w14:paraId="07751A07" w14:textId="77777777" w:rsidR="00DE49E8" w:rsidRPr="00250F40" w:rsidRDefault="00DE49E8" w:rsidP="00DE49E8">
      <w:pPr>
        <w:spacing w:after="120"/>
        <w:jc w:val="both"/>
        <w:textAlignment w:val="baseline"/>
        <w:outlineLvl w:val="5"/>
        <w:rPr>
          <w:rFonts w:cs="Arial"/>
          <w:bCs/>
          <w:sz w:val="22"/>
          <w:szCs w:val="22"/>
        </w:rPr>
      </w:pPr>
      <w:r w:rsidRPr="00250F40">
        <w:rPr>
          <w:rFonts w:cs="Arial"/>
          <w:bCs/>
          <w:sz w:val="22"/>
          <w:szCs w:val="22"/>
        </w:rPr>
        <w:t>Pursuant to the First Tranche, EarthRenew issued 6,977,840 Units at a price of $0.30 per Unit. Each Unit consists of one common share of the Company (each, a “</w:t>
      </w:r>
      <w:r w:rsidRPr="00250F40">
        <w:rPr>
          <w:rFonts w:cs="Arial"/>
          <w:b/>
          <w:sz w:val="22"/>
          <w:szCs w:val="22"/>
        </w:rPr>
        <w:t>Common</w:t>
      </w:r>
      <w:r w:rsidRPr="00250F40">
        <w:rPr>
          <w:rFonts w:cs="Arial"/>
          <w:bCs/>
          <w:sz w:val="22"/>
          <w:szCs w:val="22"/>
        </w:rPr>
        <w:t xml:space="preserve"> </w:t>
      </w:r>
      <w:r w:rsidRPr="00250F40">
        <w:rPr>
          <w:rFonts w:cs="Arial"/>
          <w:b/>
          <w:sz w:val="22"/>
          <w:szCs w:val="22"/>
        </w:rPr>
        <w:t>Share</w:t>
      </w:r>
      <w:r w:rsidRPr="00250F40">
        <w:rPr>
          <w:rFonts w:cs="Arial"/>
          <w:bCs/>
          <w:sz w:val="22"/>
          <w:szCs w:val="22"/>
        </w:rPr>
        <w:t>”) and one-half of one Common Share purchase warrant (each whole warrant, a “</w:t>
      </w:r>
      <w:r w:rsidRPr="00250F40">
        <w:rPr>
          <w:rFonts w:cs="Arial"/>
          <w:b/>
          <w:sz w:val="22"/>
          <w:szCs w:val="22"/>
        </w:rPr>
        <w:t>Warrant</w:t>
      </w:r>
      <w:r w:rsidRPr="00250F40">
        <w:rPr>
          <w:rFonts w:cs="Arial"/>
          <w:bCs/>
          <w:sz w:val="22"/>
          <w:szCs w:val="22"/>
        </w:rPr>
        <w:t>”), entitling the holder to acquire one additional Common Share at an exercise price of $0.45 for a period of 24 months from issuance. If at any time after four months and one day from the closing of the First Tranche, the Common Shares trade at $0.90 per Common Share or higher on the Canadian Securities Exchange (“</w:t>
      </w:r>
      <w:r w:rsidRPr="00250F40">
        <w:rPr>
          <w:rFonts w:cs="Arial"/>
          <w:b/>
          <w:sz w:val="22"/>
          <w:szCs w:val="22"/>
        </w:rPr>
        <w:t>CSE</w:t>
      </w:r>
      <w:r w:rsidRPr="00250F40">
        <w:rPr>
          <w:rFonts w:cs="Arial"/>
          <w:bCs/>
          <w:sz w:val="22"/>
          <w:szCs w:val="22"/>
        </w:rPr>
        <w:t>”) for a period of 30 consecutive days, the Company will have the right (but not the obligation) to accelerate the expiry date of the Warrants to the date that is 30 days after the Company issues a news release announcing that it has elected to exercise this acceleration right.  The securities issued in connection with the First Tranche are subject to a statutory four month hold period, which expires on November 25, 2020. Finder’s fees were paid in accordance with the policies of the CSE to Haywood Securities Inc. and PI Financial Corp. consisting of cash commissions equal to $17,923.50 and $61,600.01, respectively, and 59,745 and 205,333 finder warrants (“</w:t>
      </w:r>
      <w:r w:rsidRPr="00250F40">
        <w:rPr>
          <w:rFonts w:cs="Arial"/>
          <w:b/>
          <w:sz w:val="22"/>
          <w:szCs w:val="22"/>
        </w:rPr>
        <w:t>Finder</w:t>
      </w:r>
      <w:r w:rsidRPr="00250F40">
        <w:rPr>
          <w:rFonts w:cs="Arial"/>
          <w:bCs/>
          <w:sz w:val="22"/>
          <w:szCs w:val="22"/>
        </w:rPr>
        <w:t xml:space="preserve"> </w:t>
      </w:r>
      <w:r w:rsidRPr="00250F40">
        <w:rPr>
          <w:rFonts w:cs="Arial"/>
          <w:b/>
          <w:sz w:val="22"/>
          <w:szCs w:val="22"/>
        </w:rPr>
        <w:t>Warrants</w:t>
      </w:r>
      <w:r w:rsidRPr="00250F40">
        <w:rPr>
          <w:rFonts w:cs="Arial"/>
          <w:bCs/>
          <w:sz w:val="22"/>
          <w:szCs w:val="22"/>
        </w:rPr>
        <w:t xml:space="preserve">”), respectively. Each Finder Warrant entitles the </w:t>
      </w:r>
      <w:r w:rsidRPr="00250F40">
        <w:rPr>
          <w:rFonts w:cs="Arial"/>
          <w:bCs/>
          <w:sz w:val="22"/>
          <w:szCs w:val="22"/>
        </w:rPr>
        <w:lastRenderedPageBreak/>
        <w:t xml:space="preserve">holder thereof to purchase one Common Share at a price of $0.45 per Common Share for a period of 24 months, expiring on July 24, 2022. </w:t>
      </w:r>
    </w:p>
    <w:p w14:paraId="32743085" w14:textId="749828C1" w:rsidR="00DE49E8" w:rsidRPr="00250F40" w:rsidRDefault="00DE49E8" w:rsidP="00DE49E8">
      <w:pPr>
        <w:spacing w:after="120"/>
        <w:jc w:val="both"/>
        <w:textAlignment w:val="baseline"/>
        <w:outlineLvl w:val="5"/>
        <w:rPr>
          <w:rFonts w:cs="Arial"/>
          <w:bCs/>
          <w:sz w:val="22"/>
          <w:szCs w:val="22"/>
        </w:rPr>
      </w:pPr>
      <w:r w:rsidRPr="00250F40">
        <w:rPr>
          <w:rFonts w:cs="Arial"/>
          <w:bCs/>
          <w:sz w:val="22"/>
          <w:szCs w:val="22"/>
        </w:rPr>
        <w:t xml:space="preserve">The net proceeds of the First Tranche are expected to be used for costs incurred for capital equipment purchases, engineering and construction costs for the redevelopment of the Strathmore facility, feasibility studies on future projects, field and research trials, market development activities, working capital for the ramp-up of our operations at the Strathmore facility and general corporate purposes. The Company is working diligently towards closing the second and final tranche of the Offering as soon as practicable. </w:t>
      </w:r>
    </w:p>
    <w:p w14:paraId="698F3967" w14:textId="282C4CC8" w:rsidR="00DE49E8" w:rsidRPr="00250F40" w:rsidRDefault="00DE49E8" w:rsidP="00DE49E8">
      <w:pPr>
        <w:jc w:val="both"/>
        <w:rPr>
          <w:rFonts w:cs="Arial"/>
          <w:color w:val="000000"/>
          <w:sz w:val="22"/>
          <w:szCs w:val="22"/>
          <w:lang w:val="en-US"/>
        </w:rPr>
      </w:pPr>
      <w:r w:rsidRPr="00250F40">
        <w:rPr>
          <w:rFonts w:cs="Arial"/>
          <w:color w:val="000000"/>
          <w:sz w:val="22"/>
          <w:szCs w:val="22"/>
          <w:lang w:val="en-US"/>
        </w:rPr>
        <w:t>The following officers and directors, who are “related parties” within the meaning of Multilateral Instrument 61-101 (“</w:t>
      </w:r>
      <w:r w:rsidRPr="0024086B">
        <w:rPr>
          <w:rFonts w:cs="Arial"/>
          <w:b/>
          <w:bCs/>
          <w:color w:val="000000"/>
          <w:sz w:val="22"/>
          <w:szCs w:val="22"/>
          <w:lang w:val="en-US"/>
        </w:rPr>
        <w:t>MI</w:t>
      </w:r>
      <w:r w:rsidRPr="00250F40">
        <w:rPr>
          <w:rFonts w:cs="Arial"/>
          <w:color w:val="000000"/>
          <w:sz w:val="22"/>
          <w:szCs w:val="22"/>
          <w:lang w:val="en-US"/>
        </w:rPr>
        <w:t xml:space="preserve"> </w:t>
      </w:r>
      <w:r w:rsidRPr="0024086B">
        <w:rPr>
          <w:rFonts w:cs="Arial"/>
          <w:b/>
          <w:bCs/>
          <w:color w:val="000000"/>
          <w:sz w:val="22"/>
          <w:szCs w:val="22"/>
          <w:lang w:val="en-US"/>
        </w:rPr>
        <w:t>61-101</w:t>
      </w:r>
      <w:r w:rsidRPr="00250F40">
        <w:rPr>
          <w:rFonts w:cs="Arial"/>
          <w:color w:val="000000"/>
          <w:sz w:val="22"/>
          <w:szCs w:val="22"/>
          <w:lang w:val="en-US"/>
        </w:rPr>
        <w:t xml:space="preserve">”), subscribed for an aggregate of </w:t>
      </w:r>
      <w:r w:rsidR="00250F40" w:rsidRPr="00250F40">
        <w:rPr>
          <w:rFonts w:cs="Arial"/>
          <w:color w:val="000000"/>
          <w:sz w:val="22"/>
          <w:szCs w:val="22"/>
          <w:lang w:val="en-US"/>
        </w:rPr>
        <w:t>3,696,667</w:t>
      </w:r>
      <w:r w:rsidRPr="00250F40">
        <w:rPr>
          <w:rFonts w:cs="Arial"/>
          <w:color w:val="000000"/>
          <w:sz w:val="22"/>
          <w:szCs w:val="22"/>
          <w:lang w:val="en-US"/>
        </w:rPr>
        <w:t xml:space="preserve"> Units pursuant to the First Tranche (the “</w:t>
      </w:r>
      <w:r w:rsidRPr="0024086B">
        <w:rPr>
          <w:rFonts w:cs="Arial"/>
          <w:b/>
          <w:bCs/>
          <w:color w:val="000000"/>
          <w:sz w:val="22"/>
          <w:szCs w:val="22"/>
          <w:lang w:val="en-US"/>
        </w:rPr>
        <w:t>Insider</w:t>
      </w:r>
      <w:r w:rsidRPr="00250F40">
        <w:rPr>
          <w:rFonts w:cs="Arial"/>
          <w:color w:val="000000"/>
          <w:sz w:val="22"/>
          <w:szCs w:val="22"/>
          <w:lang w:val="en-US"/>
        </w:rPr>
        <w:t xml:space="preserve"> </w:t>
      </w:r>
      <w:r w:rsidRPr="0024086B">
        <w:rPr>
          <w:rFonts w:cs="Arial"/>
          <w:b/>
          <w:bCs/>
          <w:color w:val="000000"/>
          <w:sz w:val="22"/>
          <w:szCs w:val="22"/>
          <w:lang w:val="en-US"/>
        </w:rPr>
        <w:t>Participation</w:t>
      </w:r>
      <w:r w:rsidRPr="00250F40">
        <w:rPr>
          <w:rFonts w:cs="Arial"/>
          <w:color w:val="000000"/>
          <w:sz w:val="22"/>
          <w:szCs w:val="22"/>
          <w:lang w:val="en-US"/>
        </w:rPr>
        <w:t xml:space="preserve">”):  </w:t>
      </w:r>
    </w:p>
    <w:tbl>
      <w:tblPr>
        <w:tblW w:w="3983" w:type="dxa"/>
        <w:tblInd w:w="1499" w:type="dxa"/>
        <w:tblCellMar>
          <w:left w:w="0" w:type="dxa"/>
          <w:right w:w="0" w:type="dxa"/>
        </w:tblCellMar>
        <w:tblLook w:val="04A0" w:firstRow="1" w:lastRow="0" w:firstColumn="1" w:lastColumn="0" w:noHBand="0" w:noVBand="1"/>
      </w:tblPr>
      <w:tblGrid>
        <w:gridCol w:w="7861"/>
      </w:tblGrid>
      <w:tr w:rsidR="00DE49E8" w:rsidRPr="00250F40" w14:paraId="1A618ED4" w14:textId="77777777" w:rsidTr="008672AA">
        <w:trPr>
          <w:trHeight w:val="300"/>
        </w:trPr>
        <w:tc>
          <w:tcPr>
            <w:tcW w:w="0" w:type="auto"/>
            <w:noWrap/>
            <w:tcMar>
              <w:top w:w="15" w:type="dxa"/>
              <w:left w:w="15" w:type="dxa"/>
              <w:bottom w:w="0" w:type="dxa"/>
              <w:right w:w="15" w:type="dxa"/>
            </w:tcMar>
            <w:vAlign w:val="bottom"/>
            <w:hideMark/>
          </w:tcPr>
          <w:p w14:paraId="369A0AEC" w14:textId="198CA16D" w:rsidR="00DE49E8" w:rsidRPr="00250F40" w:rsidRDefault="00250F40" w:rsidP="00DE49E8">
            <w:pPr>
              <w:numPr>
                <w:ilvl w:val="0"/>
                <w:numId w:val="1"/>
              </w:numPr>
              <w:spacing w:after="0"/>
              <w:rPr>
                <w:rFonts w:cs="Arial"/>
                <w:color w:val="000000"/>
                <w:sz w:val="22"/>
                <w:szCs w:val="22"/>
              </w:rPr>
            </w:pPr>
            <w:r w:rsidRPr="00250F40">
              <w:rPr>
                <w:rFonts w:cs="Arial"/>
                <w:color w:val="000000"/>
                <w:sz w:val="22"/>
                <w:szCs w:val="22"/>
              </w:rPr>
              <w:t>Christ Best – 30,000</w:t>
            </w:r>
            <w:r w:rsidR="00DE49E8" w:rsidRPr="00250F40">
              <w:rPr>
                <w:rFonts w:cs="Arial"/>
                <w:color w:val="000000"/>
                <w:sz w:val="22"/>
                <w:szCs w:val="22"/>
              </w:rPr>
              <w:t xml:space="preserve"> Units</w:t>
            </w:r>
            <w:r w:rsidR="00FA2C88">
              <w:rPr>
                <w:rFonts w:cs="Arial"/>
                <w:color w:val="000000"/>
                <w:sz w:val="22"/>
                <w:szCs w:val="22"/>
              </w:rPr>
              <w:t xml:space="preserve"> (post-closing of the First Tranche, Chris Best will hold 30,000 common shares and 15,000 warrants, representing approximately </w:t>
            </w:r>
            <w:r w:rsidR="00237174">
              <w:rPr>
                <w:rFonts w:cs="Arial"/>
                <w:color w:val="000000"/>
                <w:sz w:val="22"/>
                <w:szCs w:val="22"/>
              </w:rPr>
              <w:t>0.06</w:t>
            </w:r>
            <w:r w:rsidR="00FA2C88">
              <w:rPr>
                <w:rFonts w:cs="Arial"/>
                <w:color w:val="000000"/>
                <w:sz w:val="22"/>
                <w:szCs w:val="22"/>
              </w:rPr>
              <w:t xml:space="preserve">% and </w:t>
            </w:r>
            <w:r w:rsidR="00237174">
              <w:rPr>
                <w:rFonts w:cs="Arial"/>
                <w:color w:val="000000"/>
                <w:sz w:val="22"/>
                <w:szCs w:val="22"/>
              </w:rPr>
              <w:t>0.09</w:t>
            </w:r>
            <w:r w:rsidR="00FA2C88">
              <w:rPr>
                <w:rFonts w:cs="Arial"/>
                <w:color w:val="000000"/>
                <w:sz w:val="22"/>
                <w:szCs w:val="22"/>
              </w:rPr>
              <w:t xml:space="preserve">% of the Company’s issued </w:t>
            </w:r>
            <w:r w:rsidR="00237174">
              <w:rPr>
                <w:rFonts w:cs="Arial"/>
                <w:color w:val="000000"/>
                <w:sz w:val="22"/>
                <w:szCs w:val="22"/>
              </w:rPr>
              <w:t xml:space="preserve">and </w:t>
            </w:r>
            <w:r w:rsidR="00FA2C88">
              <w:rPr>
                <w:rFonts w:cs="Arial"/>
                <w:color w:val="000000"/>
                <w:sz w:val="22"/>
                <w:szCs w:val="22"/>
              </w:rPr>
              <w:t xml:space="preserve">outstanding shares on an undiluted and partially diluted basis, respectively) </w:t>
            </w:r>
          </w:p>
          <w:p w14:paraId="4EA1C5CB" w14:textId="60422A4A" w:rsidR="00DE49E8" w:rsidRPr="00250F40" w:rsidRDefault="00250F40" w:rsidP="00DE49E8">
            <w:pPr>
              <w:numPr>
                <w:ilvl w:val="0"/>
                <w:numId w:val="1"/>
              </w:numPr>
              <w:spacing w:after="0"/>
              <w:rPr>
                <w:rFonts w:cs="Arial"/>
                <w:color w:val="000000"/>
                <w:sz w:val="22"/>
                <w:szCs w:val="22"/>
              </w:rPr>
            </w:pPr>
            <w:r w:rsidRPr="00250F40">
              <w:rPr>
                <w:rFonts w:cs="Arial"/>
                <w:color w:val="000000"/>
                <w:sz w:val="22"/>
                <w:szCs w:val="22"/>
              </w:rPr>
              <w:t>Keith Driver- 333,333</w:t>
            </w:r>
            <w:r w:rsidR="00DE49E8" w:rsidRPr="00250F40">
              <w:rPr>
                <w:rFonts w:cs="Arial"/>
                <w:color w:val="000000"/>
                <w:sz w:val="22"/>
                <w:szCs w:val="22"/>
              </w:rPr>
              <w:t xml:space="preserve"> Units</w:t>
            </w:r>
            <w:r w:rsidR="00FA2C88">
              <w:rPr>
                <w:rFonts w:cs="Arial"/>
                <w:color w:val="000000"/>
                <w:sz w:val="22"/>
                <w:szCs w:val="22"/>
              </w:rPr>
              <w:t xml:space="preserve"> (post-closing of the First Tranche, Keith </w:t>
            </w:r>
            <w:r w:rsidR="00BA1272">
              <w:rPr>
                <w:rFonts w:cs="Arial"/>
                <w:color w:val="000000"/>
                <w:sz w:val="22"/>
                <w:szCs w:val="22"/>
              </w:rPr>
              <w:t>Driver</w:t>
            </w:r>
            <w:r w:rsidR="00FA2C88">
              <w:rPr>
                <w:rFonts w:cs="Arial"/>
                <w:color w:val="000000"/>
                <w:sz w:val="22"/>
                <w:szCs w:val="22"/>
              </w:rPr>
              <w:t xml:space="preserve"> will hold </w:t>
            </w:r>
            <w:r w:rsidR="00FA2C88" w:rsidRPr="00FA2C88">
              <w:rPr>
                <w:rFonts w:cs="Arial"/>
                <w:color w:val="000000"/>
                <w:sz w:val="22"/>
                <w:szCs w:val="22"/>
              </w:rPr>
              <w:t xml:space="preserve">1,878,787 </w:t>
            </w:r>
            <w:r w:rsidR="00FA2C88">
              <w:rPr>
                <w:rFonts w:cs="Arial"/>
                <w:color w:val="000000"/>
                <w:sz w:val="22"/>
                <w:szCs w:val="22"/>
              </w:rPr>
              <w:t xml:space="preserve">common shares and 166,666 warrants, representing approximately </w:t>
            </w:r>
            <w:r w:rsidR="00237174">
              <w:rPr>
                <w:rFonts w:cs="Arial"/>
                <w:color w:val="000000"/>
                <w:sz w:val="22"/>
                <w:szCs w:val="22"/>
              </w:rPr>
              <w:t>3.65</w:t>
            </w:r>
            <w:r w:rsidR="00FA2C88">
              <w:rPr>
                <w:rFonts w:cs="Arial"/>
                <w:color w:val="000000"/>
                <w:sz w:val="22"/>
                <w:szCs w:val="22"/>
              </w:rPr>
              <w:t xml:space="preserve">% and </w:t>
            </w:r>
            <w:r w:rsidR="00237174">
              <w:rPr>
                <w:rFonts w:cs="Arial"/>
                <w:color w:val="000000"/>
                <w:sz w:val="22"/>
                <w:szCs w:val="22"/>
              </w:rPr>
              <w:t>3.97</w:t>
            </w:r>
            <w:r w:rsidR="00FA2C88">
              <w:rPr>
                <w:rFonts w:cs="Arial"/>
                <w:color w:val="000000"/>
                <w:sz w:val="22"/>
                <w:szCs w:val="22"/>
              </w:rPr>
              <w:t xml:space="preserve">% of the Company’s issued </w:t>
            </w:r>
            <w:r w:rsidR="00237174">
              <w:rPr>
                <w:rFonts w:cs="Arial"/>
                <w:color w:val="000000"/>
                <w:sz w:val="22"/>
                <w:szCs w:val="22"/>
              </w:rPr>
              <w:t xml:space="preserve">and </w:t>
            </w:r>
            <w:r w:rsidR="00FA2C88">
              <w:rPr>
                <w:rFonts w:cs="Arial"/>
                <w:color w:val="000000"/>
                <w:sz w:val="22"/>
                <w:szCs w:val="22"/>
              </w:rPr>
              <w:t>outstanding shares on an undiluted and partially diluted basis, respectively)</w:t>
            </w:r>
          </w:p>
          <w:p w14:paraId="2F2DD038" w14:textId="63E0B45D" w:rsidR="00DE49E8" w:rsidRPr="00250F40" w:rsidRDefault="00DE49E8" w:rsidP="00DE49E8">
            <w:pPr>
              <w:numPr>
                <w:ilvl w:val="0"/>
                <w:numId w:val="1"/>
              </w:numPr>
              <w:spacing w:after="0"/>
              <w:rPr>
                <w:rFonts w:cs="Arial"/>
                <w:color w:val="000000"/>
                <w:sz w:val="22"/>
                <w:szCs w:val="22"/>
              </w:rPr>
            </w:pPr>
            <w:r w:rsidRPr="00250F40">
              <w:rPr>
                <w:rFonts w:cs="Arial"/>
                <w:color w:val="000000"/>
                <w:sz w:val="22"/>
                <w:szCs w:val="22"/>
              </w:rPr>
              <w:t xml:space="preserve">Catherine Stretch </w:t>
            </w:r>
            <w:r w:rsidR="00250F40" w:rsidRPr="00250F40">
              <w:rPr>
                <w:rFonts w:cs="Arial"/>
                <w:color w:val="000000"/>
                <w:sz w:val="22"/>
                <w:szCs w:val="22"/>
              </w:rPr>
              <w:t>–</w:t>
            </w:r>
            <w:r w:rsidRPr="00250F40">
              <w:rPr>
                <w:rFonts w:cs="Arial"/>
                <w:color w:val="000000"/>
                <w:sz w:val="22"/>
                <w:szCs w:val="22"/>
              </w:rPr>
              <w:t xml:space="preserve"> </w:t>
            </w:r>
            <w:r w:rsidR="00250F40" w:rsidRPr="00250F40">
              <w:rPr>
                <w:rFonts w:cs="Arial"/>
                <w:color w:val="000000"/>
                <w:sz w:val="22"/>
                <w:szCs w:val="22"/>
              </w:rPr>
              <w:t>166,667</w:t>
            </w:r>
            <w:r w:rsidRPr="00250F40">
              <w:rPr>
                <w:rFonts w:cs="Arial"/>
                <w:color w:val="000000"/>
                <w:sz w:val="22"/>
                <w:szCs w:val="22"/>
              </w:rPr>
              <w:t xml:space="preserve"> Units</w:t>
            </w:r>
            <w:r w:rsidR="00FA2C88">
              <w:rPr>
                <w:rFonts w:cs="Arial"/>
                <w:color w:val="000000"/>
                <w:sz w:val="22"/>
                <w:szCs w:val="22"/>
              </w:rPr>
              <w:t xml:space="preserve"> (post-closing of the First Tranche, Catherine Stretch will hold </w:t>
            </w:r>
            <w:r w:rsidR="00FA2C88" w:rsidRPr="00FA2C88">
              <w:rPr>
                <w:rFonts w:cs="Arial"/>
                <w:color w:val="000000"/>
                <w:sz w:val="22"/>
                <w:szCs w:val="22"/>
              </w:rPr>
              <w:t>1,962,968</w:t>
            </w:r>
            <w:r w:rsidR="00FA2C88" w:rsidRPr="00FA2C88">
              <w:rPr>
                <w:rFonts w:cs="Arial"/>
                <w:color w:val="000000"/>
                <w:sz w:val="22"/>
                <w:szCs w:val="22"/>
              </w:rPr>
              <w:tab/>
            </w:r>
            <w:r w:rsidR="00FA2C88">
              <w:rPr>
                <w:rFonts w:cs="Arial"/>
                <w:color w:val="000000"/>
                <w:sz w:val="22"/>
                <w:szCs w:val="22"/>
              </w:rPr>
              <w:t xml:space="preserve"> common shares and </w:t>
            </w:r>
            <w:r w:rsidR="00FA2C88" w:rsidRPr="00FA2C88">
              <w:rPr>
                <w:rFonts w:cs="Arial"/>
                <w:color w:val="000000"/>
                <w:sz w:val="22"/>
                <w:szCs w:val="22"/>
              </w:rPr>
              <w:t xml:space="preserve">83,333 </w:t>
            </w:r>
            <w:r w:rsidR="00FA2C88">
              <w:rPr>
                <w:rFonts w:cs="Arial"/>
                <w:color w:val="000000"/>
                <w:sz w:val="22"/>
                <w:szCs w:val="22"/>
              </w:rPr>
              <w:t xml:space="preserve">warrants, representing approximately </w:t>
            </w:r>
            <w:r w:rsidR="00237174">
              <w:rPr>
                <w:rFonts w:cs="Arial"/>
                <w:color w:val="000000"/>
                <w:sz w:val="22"/>
                <w:szCs w:val="22"/>
              </w:rPr>
              <w:t>3.81</w:t>
            </w:r>
            <w:r w:rsidR="00FA2C88">
              <w:rPr>
                <w:rFonts w:cs="Arial"/>
                <w:color w:val="000000"/>
                <w:sz w:val="22"/>
                <w:szCs w:val="22"/>
              </w:rPr>
              <w:t xml:space="preserve">% and </w:t>
            </w:r>
            <w:r w:rsidR="00237174">
              <w:rPr>
                <w:rFonts w:cs="Arial"/>
                <w:color w:val="000000"/>
                <w:sz w:val="22"/>
                <w:szCs w:val="22"/>
              </w:rPr>
              <w:t>3.98</w:t>
            </w:r>
            <w:r w:rsidR="00FA2C88">
              <w:rPr>
                <w:rFonts w:cs="Arial"/>
                <w:color w:val="000000"/>
                <w:sz w:val="22"/>
                <w:szCs w:val="22"/>
              </w:rPr>
              <w:t xml:space="preserve">% of the Company’s issued </w:t>
            </w:r>
            <w:r w:rsidR="00237174">
              <w:rPr>
                <w:rFonts w:cs="Arial"/>
                <w:color w:val="000000"/>
                <w:sz w:val="22"/>
                <w:szCs w:val="22"/>
              </w:rPr>
              <w:t xml:space="preserve">and </w:t>
            </w:r>
            <w:r w:rsidR="00FA2C88">
              <w:rPr>
                <w:rFonts w:cs="Arial"/>
                <w:color w:val="000000"/>
                <w:sz w:val="22"/>
                <w:szCs w:val="22"/>
              </w:rPr>
              <w:t>outstanding shares on an undiluted and partially diluted basis, respectively)</w:t>
            </w:r>
          </w:p>
          <w:p w14:paraId="0B99B529" w14:textId="6C9017EA" w:rsidR="00DE49E8" w:rsidRPr="00250F40" w:rsidRDefault="00250F40" w:rsidP="00DE49E8">
            <w:pPr>
              <w:numPr>
                <w:ilvl w:val="0"/>
                <w:numId w:val="1"/>
              </w:numPr>
              <w:spacing w:after="0"/>
              <w:rPr>
                <w:rFonts w:cs="Arial"/>
                <w:color w:val="000000"/>
                <w:sz w:val="22"/>
                <w:szCs w:val="22"/>
              </w:rPr>
            </w:pPr>
            <w:r w:rsidRPr="00250F40">
              <w:rPr>
                <w:rFonts w:cs="Arial"/>
                <w:color w:val="000000"/>
                <w:sz w:val="22"/>
                <w:szCs w:val="22"/>
              </w:rPr>
              <w:t>Fred Leigh – 2,833,334</w:t>
            </w:r>
            <w:r w:rsidR="00DE49E8" w:rsidRPr="00250F40">
              <w:rPr>
                <w:rFonts w:cs="Arial"/>
                <w:color w:val="000000"/>
                <w:sz w:val="22"/>
                <w:szCs w:val="22"/>
              </w:rPr>
              <w:t xml:space="preserve"> Units</w:t>
            </w:r>
            <w:r w:rsidR="00FA2C88">
              <w:rPr>
                <w:rFonts w:cs="Arial"/>
                <w:color w:val="000000"/>
                <w:sz w:val="22"/>
                <w:szCs w:val="22"/>
              </w:rPr>
              <w:t xml:space="preserve"> (post-closing of the First Tranche, Fred Leigh will hold </w:t>
            </w:r>
            <w:r w:rsidR="00FA2C88" w:rsidRPr="00FA2C88">
              <w:rPr>
                <w:rFonts w:cs="Arial"/>
                <w:color w:val="000000"/>
                <w:sz w:val="22"/>
                <w:szCs w:val="22"/>
              </w:rPr>
              <w:t>6</w:t>
            </w:r>
            <w:r w:rsidR="00FA2C88">
              <w:rPr>
                <w:rFonts w:cs="Arial"/>
                <w:color w:val="000000"/>
                <w:sz w:val="22"/>
                <w:szCs w:val="22"/>
              </w:rPr>
              <w:t>,</w:t>
            </w:r>
            <w:r w:rsidR="00FA2C88" w:rsidRPr="00FA2C88">
              <w:rPr>
                <w:rFonts w:cs="Arial"/>
                <w:color w:val="000000"/>
                <w:sz w:val="22"/>
                <w:szCs w:val="22"/>
              </w:rPr>
              <w:t>406</w:t>
            </w:r>
            <w:r w:rsidR="00FA2C88">
              <w:rPr>
                <w:rFonts w:cs="Arial"/>
                <w:color w:val="000000"/>
                <w:sz w:val="22"/>
                <w:szCs w:val="22"/>
              </w:rPr>
              <w:t>,</w:t>
            </w:r>
            <w:r w:rsidR="00FA2C88" w:rsidRPr="00FA2C88">
              <w:rPr>
                <w:rFonts w:cs="Arial"/>
                <w:color w:val="000000"/>
                <w:sz w:val="22"/>
                <w:szCs w:val="22"/>
              </w:rPr>
              <w:t xml:space="preserve">854 </w:t>
            </w:r>
            <w:r w:rsidR="00FA2C88">
              <w:rPr>
                <w:rFonts w:cs="Arial"/>
                <w:color w:val="000000"/>
                <w:sz w:val="22"/>
                <w:szCs w:val="22"/>
              </w:rPr>
              <w:t xml:space="preserve">common shares and </w:t>
            </w:r>
            <w:r w:rsidR="00B11D36" w:rsidRPr="00B11D36">
              <w:rPr>
                <w:rFonts w:cs="Arial"/>
                <w:color w:val="000000"/>
                <w:sz w:val="22"/>
                <w:szCs w:val="22"/>
              </w:rPr>
              <w:t>1,416,667</w:t>
            </w:r>
            <w:r w:rsidR="00B11D36">
              <w:rPr>
                <w:rFonts w:cs="Arial"/>
                <w:color w:val="000000"/>
                <w:sz w:val="22"/>
                <w:szCs w:val="22"/>
              </w:rPr>
              <w:t xml:space="preserve"> </w:t>
            </w:r>
            <w:r w:rsidR="00FA2C88">
              <w:rPr>
                <w:rFonts w:cs="Arial"/>
                <w:color w:val="000000"/>
                <w:sz w:val="22"/>
                <w:szCs w:val="22"/>
              </w:rPr>
              <w:t xml:space="preserve">warrants, representing approximately </w:t>
            </w:r>
            <w:r w:rsidR="00237174">
              <w:rPr>
                <w:rFonts w:cs="Arial"/>
                <w:color w:val="000000"/>
                <w:sz w:val="22"/>
                <w:szCs w:val="22"/>
              </w:rPr>
              <w:t>12.45</w:t>
            </w:r>
            <w:r w:rsidR="00FA2C88">
              <w:rPr>
                <w:rFonts w:cs="Arial"/>
                <w:color w:val="000000"/>
                <w:sz w:val="22"/>
                <w:szCs w:val="22"/>
              </w:rPr>
              <w:t xml:space="preserve">% and </w:t>
            </w:r>
            <w:r w:rsidR="00237174">
              <w:rPr>
                <w:rFonts w:cs="Arial"/>
                <w:color w:val="000000"/>
                <w:sz w:val="22"/>
                <w:szCs w:val="22"/>
              </w:rPr>
              <w:t>12.72</w:t>
            </w:r>
            <w:r w:rsidR="00FA2C88">
              <w:rPr>
                <w:rFonts w:cs="Arial"/>
                <w:color w:val="000000"/>
                <w:sz w:val="22"/>
                <w:szCs w:val="22"/>
              </w:rPr>
              <w:t xml:space="preserve">% of the Company’s issued </w:t>
            </w:r>
            <w:r w:rsidR="00237174">
              <w:rPr>
                <w:rFonts w:cs="Arial"/>
                <w:color w:val="000000"/>
                <w:sz w:val="22"/>
                <w:szCs w:val="22"/>
              </w:rPr>
              <w:t xml:space="preserve">and </w:t>
            </w:r>
            <w:r w:rsidR="00FA2C88">
              <w:rPr>
                <w:rFonts w:cs="Arial"/>
                <w:color w:val="000000"/>
                <w:sz w:val="22"/>
                <w:szCs w:val="22"/>
              </w:rPr>
              <w:t>outstanding shares on an undiluted and partially diluted basis, respectively)</w:t>
            </w:r>
          </w:p>
          <w:p w14:paraId="106F56CC" w14:textId="1562B08A" w:rsidR="00DE49E8" w:rsidRPr="00250F40" w:rsidRDefault="00250F40" w:rsidP="00250F40">
            <w:pPr>
              <w:numPr>
                <w:ilvl w:val="0"/>
                <w:numId w:val="1"/>
              </w:numPr>
              <w:spacing w:after="0"/>
              <w:rPr>
                <w:rFonts w:cs="Arial"/>
                <w:color w:val="000000"/>
                <w:sz w:val="22"/>
                <w:szCs w:val="22"/>
              </w:rPr>
            </w:pPr>
            <w:r w:rsidRPr="00250F40">
              <w:rPr>
                <w:rFonts w:cs="Arial"/>
                <w:color w:val="000000"/>
                <w:sz w:val="22"/>
                <w:szCs w:val="22"/>
              </w:rPr>
              <w:t>Ryan Ptolemy – 333,333</w:t>
            </w:r>
            <w:r w:rsidR="00DE49E8" w:rsidRPr="00250F40">
              <w:rPr>
                <w:rFonts w:cs="Arial"/>
                <w:color w:val="000000"/>
                <w:sz w:val="22"/>
                <w:szCs w:val="22"/>
              </w:rPr>
              <w:t xml:space="preserve"> Units</w:t>
            </w:r>
            <w:r w:rsidR="00FA2C88">
              <w:rPr>
                <w:rFonts w:cs="Arial"/>
                <w:color w:val="000000"/>
                <w:sz w:val="22"/>
                <w:szCs w:val="22"/>
              </w:rPr>
              <w:t xml:space="preserve"> (post-closing of the First Tranche, Ryan Ptolemy will hold </w:t>
            </w:r>
            <w:r w:rsidR="00FA2C88" w:rsidRPr="00FA2C88">
              <w:rPr>
                <w:rFonts w:cs="Arial"/>
                <w:color w:val="000000"/>
                <w:sz w:val="22"/>
                <w:szCs w:val="22"/>
              </w:rPr>
              <w:t>834</w:t>
            </w:r>
            <w:r w:rsidR="00FA2C88">
              <w:rPr>
                <w:rFonts w:cs="Arial"/>
                <w:color w:val="000000"/>
                <w:sz w:val="22"/>
                <w:szCs w:val="22"/>
              </w:rPr>
              <w:t>,</w:t>
            </w:r>
            <w:r w:rsidR="00FA2C88" w:rsidRPr="00FA2C88">
              <w:rPr>
                <w:rFonts w:cs="Arial"/>
                <w:color w:val="000000"/>
                <w:sz w:val="22"/>
                <w:szCs w:val="22"/>
              </w:rPr>
              <w:t xml:space="preserve">999 </w:t>
            </w:r>
            <w:r w:rsidR="00FA2C88">
              <w:rPr>
                <w:rFonts w:cs="Arial"/>
                <w:color w:val="000000"/>
                <w:sz w:val="22"/>
                <w:szCs w:val="22"/>
              </w:rPr>
              <w:t xml:space="preserve">common shares and </w:t>
            </w:r>
            <w:r w:rsidR="00FA2C88" w:rsidRPr="00FA2C88">
              <w:rPr>
                <w:rFonts w:cs="Arial"/>
                <w:color w:val="000000"/>
                <w:sz w:val="22"/>
                <w:szCs w:val="22"/>
              </w:rPr>
              <w:t>166,66</w:t>
            </w:r>
            <w:r w:rsidR="00FA2C88">
              <w:rPr>
                <w:rFonts w:cs="Arial"/>
                <w:color w:val="000000"/>
                <w:sz w:val="22"/>
                <w:szCs w:val="22"/>
              </w:rPr>
              <w:t xml:space="preserve">6 warrants, representing approximately </w:t>
            </w:r>
            <w:r w:rsidR="00237174">
              <w:rPr>
                <w:rFonts w:cs="Arial"/>
                <w:color w:val="000000"/>
                <w:sz w:val="22"/>
                <w:szCs w:val="22"/>
              </w:rPr>
              <w:t>1.62</w:t>
            </w:r>
            <w:r w:rsidR="00FA2C88">
              <w:rPr>
                <w:rFonts w:cs="Arial"/>
                <w:color w:val="000000"/>
                <w:sz w:val="22"/>
                <w:szCs w:val="22"/>
              </w:rPr>
              <w:t xml:space="preserve">% and </w:t>
            </w:r>
            <w:r w:rsidR="00237174">
              <w:rPr>
                <w:rFonts w:cs="Arial"/>
                <w:color w:val="000000"/>
                <w:sz w:val="22"/>
                <w:szCs w:val="22"/>
              </w:rPr>
              <w:t>1.95</w:t>
            </w:r>
            <w:r w:rsidR="00FA2C88">
              <w:rPr>
                <w:rFonts w:cs="Arial"/>
                <w:color w:val="000000"/>
                <w:sz w:val="22"/>
                <w:szCs w:val="22"/>
              </w:rPr>
              <w:t>% of the Company’s issued</w:t>
            </w:r>
            <w:r w:rsidR="00237174">
              <w:rPr>
                <w:rFonts w:cs="Arial"/>
                <w:color w:val="000000"/>
                <w:sz w:val="22"/>
                <w:szCs w:val="22"/>
              </w:rPr>
              <w:t xml:space="preserve"> and</w:t>
            </w:r>
            <w:r w:rsidR="00FA2C88">
              <w:rPr>
                <w:rFonts w:cs="Arial"/>
                <w:color w:val="000000"/>
                <w:sz w:val="22"/>
                <w:szCs w:val="22"/>
              </w:rPr>
              <w:t xml:space="preserve"> outstanding shares on an undiluted and partially diluted basis, respectively)</w:t>
            </w:r>
          </w:p>
        </w:tc>
      </w:tr>
    </w:tbl>
    <w:p w14:paraId="0C606855" w14:textId="583DD2AE" w:rsidR="00DE49E8" w:rsidRDefault="00DE49E8" w:rsidP="00DE49E8">
      <w:pPr>
        <w:spacing w:after="120"/>
        <w:jc w:val="both"/>
        <w:textAlignment w:val="baseline"/>
        <w:outlineLvl w:val="5"/>
        <w:rPr>
          <w:rFonts w:cs="Arial"/>
          <w:bCs/>
          <w:sz w:val="22"/>
          <w:szCs w:val="22"/>
        </w:rPr>
      </w:pPr>
    </w:p>
    <w:p w14:paraId="729C6BAA" w14:textId="064496BB" w:rsidR="00FA2C88" w:rsidRPr="00FA2C88" w:rsidRDefault="00FA2C88" w:rsidP="00FA2C88">
      <w:pPr>
        <w:spacing w:after="120"/>
        <w:jc w:val="both"/>
        <w:textAlignment w:val="baseline"/>
        <w:outlineLvl w:val="5"/>
        <w:rPr>
          <w:rFonts w:cs="Arial"/>
          <w:bCs/>
          <w:sz w:val="22"/>
          <w:szCs w:val="22"/>
        </w:rPr>
      </w:pPr>
      <w:r w:rsidRPr="00FA2C88">
        <w:rPr>
          <w:rFonts w:cs="Arial"/>
          <w:bCs/>
          <w:sz w:val="22"/>
          <w:szCs w:val="22"/>
        </w:rPr>
        <w:t xml:space="preserve">Although pursuant to </w:t>
      </w:r>
      <w:r>
        <w:rPr>
          <w:rFonts w:cs="Arial"/>
          <w:bCs/>
          <w:sz w:val="22"/>
          <w:szCs w:val="22"/>
        </w:rPr>
        <w:t>MI 61-101</w:t>
      </w:r>
      <w:r w:rsidRPr="00FA2C88">
        <w:rPr>
          <w:rFonts w:cs="Arial"/>
          <w:bCs/>
          <w:sz w:val="22"/>
          <w:szCs w:val="22"/>
        </w:rPr>
        <w:t xml:space="preserve"> the Insider Participation constitutes a “related party transaction”, the Company is relying on exemptions from the formal valuation and minority shareholder approval requirements of MI 61-101 pursuant to exemptions contained in sections 5.5(a) and 5.7(1)(a) of MI 61-101 on the basis that the value of </w:t>
      </w:r>
      <w:r>
        <w:rPr>
          <w:rFonts w:cs="Arial"/>
          <w:bCs/>
          <w:sz w:val="22"/>
          <w:szCs w:val="22"/>
        </w:rPr>
        <w:t>each</w:t>
      </w:r>
      <w:r w:rsidRPr="00FA2C88">
        <w:rPr>
          <w:rFonts w:cs="Arial"/>
          <w:bCs/>
          <w:sz w:val="22"/>
          <w:szCs w:val="22"/>
        </w:rPr>
        <w:t xml:space="preserve"> subscription is less than 25% of the Company’s market capitalization, as determined in accordance with MI-61-101. To the knowledge of the Company, there have been no prior valuations of the Company (as contemplated under MI 61-101) in the 24-month period prior to the date of this report that relate to the subject matter of or that are otherwise relevant to the </w:t>
      </w:r>
      <w:r>
        <w:rPr>
          <w:rFonts w:cs="Arial"/>
          <w:bCs/>
          <w:sz w:val="22"/>
          <w:szCs w:val="22"/>
        </w:rPr>
        <w:t>First Tranche</w:t>
      </w:r>
      <w:r w:rsidRPr="00FA2C88">
        <w:rPr>
          <w:rFonts w:cs="Arial"/>
          <w:bCs/>
          <w:sz w:val="22"/>
          <w:szCs w:val="22"/>
        </w:rPr>
        <w:t xml:space="preserve"> or the Insider Participation.</w:t>
      </w:r>
    </w:p>
    <w:p w14:paraId="7E3B41E6" w14:textId="42A62F20" w:rsidR="00FA2C88" w:rsidRDefault="00FA2C88" w:rsidP="00FA2C88">
      <w:pPr>
        <w:spacing w:after="120"/>
        <w:jc w:val="both"/>
        <w:textAlignment w:val="baseline"/>
        <w:outlineLvl w:val="5"/>
        <w:rPr>
          <w:rFonts w:cs="Arial"/>
          <w:bCs/>
          <w:sz w:val="22"/>
          <w:szCs w:val="22"/>
        </w:rPr>
      </w:pPr>
      <w:r w:rsidRPr="00FA2C88">
        <w:rPr>
          <w:rFonts w:cs="Arial"/>
          <w:bCs/>
          <w:sz w:val="22"/>
          <w:szCs w:val="22"/>
        </w:rPr>
        <w:t xml:space="preserve">The disinterested members of the Company’s board of directors determined that the </w:t>
      </w:r>
      <w:r>
        <w:rPr>
          <w:rFonts w:cs="Arial"/>
          <w:bCs/>
          <w:sz w:val="22"/>
          <w:szCs w:val="22"/>
        </w:rPr>
        <w:t>First Tranche</w:t>
      </w:r>
      <w:r w:rsidRPr="00FA2C88">
        <w:rPr>
          <w:rFonts w:cs="Arial"/>
          <w:bCs/>
          <w:sz w:val="22"/>
          <w:szCs w:val="22"/>
        </w:rPr>
        <w:t xml:space="preserve"> and the Insider Participation were in the Company’s best interests and were fair to the minority security holders, and unanimously approved the transactions. No special committee was </w:t>
      </w:r>
      <w:r w:rsidRPr="00FA2C88">
        <w:rPr>
          <w:rFonts w:cs="Arial"/>
          <w:bCs/>
          <w:sz w:val="22"/>
          <w:szCs w:val="22"/>
        </w:rPr>
        <w:lastRenderedPageBreak/>
        <w:t xml:space="preserve">established in connection with the </w:t>
      </w:r>
      <w:r>
        <w:rPr>
          <w:rFonts w:cs="Arial"/>
          <w:bCs/>
          <w:sz w:val="22"/>
          <w:szCs w:val="22"/>
        </w:rPr>
        <w:t>First Tranche</w:t>
      </w:r>
      <w:r w:rsidRPr="00FA2C88">
        <w:rPr>
          <w:rFonts w:cs="Arial"/>
          <w:bCs/>
          <w:sz w:val="22"/>
          <w:szCs w:val="22"/>
        </w:rPr>
        <w:t xml:space="preserve"> or the Insider Participation, and no materially contrary view or abstention was expressed or made by any director. The Company did not file a material change report more than 21 days before closing the </w:t>
      </w:r>
      <w:r>
        <w:rPr>
          <w:rFonts w:cs="Arial"/>
          <w:bCs/>
          <w:sz w:val="22"/>
          <w:szCs w:val="22"/>
        </w:rPr>
        <w:t>First Tranche</w:t>
      </w:r>
      <w:r w:rsidRPr="00FA2C88">
        <w:rPr>
          <w:rFonts w:cs="Arial"/>
          <w:bCs/>
          <w:sz w:val="22"/>
          <w:szCs w:val="22"/>
        </w:rPr>
        <w:t xml:space="preserve"> as the details of the abovementioned Insider Participation were not settled until shortly prior to closing, and the Company wished to close the </w:t>
      </w:r>
      <w:r>
        <w:rPr>
          <w:rFonts w:cs="Arial"/>
          <w:bCs/>
          <w:sz w:val="22"/>
          <w:szCs w:val="22"/>
        </w:rPr>
        <w:t>First Tranche</w:t>
      </w:r>
      <w:r w:rsidRPr="00FA2C88">
        <w:rPr>
          <w:rFonts w:cs="Arial"/>
          <w:bCs/>
          <w:sz w:val="22"/>
          <w:szCs w:val="22"/>
        </w:rPr>
        <w:t xml:space="preserve"> on an expedited basis.</w:t>
      </w:r>
    </w:p>
    <w:p w14:paraId="5CD399A9" w14:textId="77777777" w:rsidR="00DE49E8" w:rsidRPr="00250F40" w:rsidRDefault="00DE49E8" w:rsidP="00DE49E8">
      <w:pPr>
        <w:spacing w:after="120"/>
        <w:jc w:val="both"/>
        <w:textAlignment w:val="baseline"/>
        <w:outlineLvl w:val="5"/>
        <w:rPr>
          <w:rFonts w:cs="Arial"/>
          <w:bCs/>
          <w:sz w:val="22"/>
          <w:szCs w:val="22"/>
        </w:rPr>
      </w:pPr>
    </w:p>
    <w:p w14:paraId="03F9B4BE" w14:textId="77777777" w:rsidR="00007218" w:rsidRPr="00250F40" w:rsidRDefault="00007218" w:rsidP="00007218">
      <w:pPr>
        <w:pStyle w:val="Body"/>
        <w:keepNext/>
        <w:keepLines/>
        <w:spacing w:after="0"/>
        <w:rPr>
          <w:rFonts w:cs="Arial"/>
          <w:sz w:val="22"/>
          <w:szCs w:val="22"/>
        </w:rPr>
      </w:pPr>
      <w:r w:rsidRPr="00250F40">
        <w:rPr>
          <w:rFonts w:cs="Arial"/>
          <w:b/>
          <w:sz w:val="22"/>
          <w:szCs w:val="22"/>
        </w:rPr>
        <w:t>Item 6</w:t>
      </w:r>
      <w:r w:rsidRPr="00250F40">
        <w:rPr>
          <w:rFonts w:cs="Arial"/>
          <w:b/>
          <w:sz w:val="22"/>
          <w:szCs w:val="22"/>
        </w:rPr>
        <w:tab/>
      </w:r>
      <w:r w:rsidRPr="00250F40">
        <w:rPr>
          <w:rFonts w:cs="Arial"/>
          <w:b/>
          <w:sz w:val="22"/>
          <w:szCs w:val="22"/>
        </w:rPr>
        <w:tab/>
        <w:t>Reliance on subsection 7.1(2) or (3) of National Instrument 51-102</w:t>
      </w:r>
    </w:p>
    <w:p w14:paraId="1D977C7F" w14:textId="77777777" w:rsidR="00007218" w:rsidRPr="00250F40" w:rsidRDefault="00007218" w:rsidP="00007218">
      <w:pPr>
        <w:pStyle w:val="Body"/>
        <w:keepNext/>
        <w:keepLines/>
        <w:spacing w:after="0"/>
        <w:rPr>
          <w:rFonts w:cs="Arial"/>
          <w:sz w:val="22"/>
          <w:szCs w:val="22"/>
        </w:rPr>
      </w:pPr>
    </w:p>
    <w:p w14:paraId="578FD2B3" w14:textId="77777777" w:rsidR="00007218" w:rsidRPr="00250F40" w:rsidRDefault="00007218" w:rsidP="00007218">
      <w:pPr>
        <w:pStyle w:val="Body"/>
        <w:keepNext/>
        <w:keepLines/>
        <w:spacing w:after="0"/>
        <w:rPr>
          <w:rFonts w:cs="Arial"/>
          <w:sz w:val="22"/>
          <w:szCs w:val="22"/>
        </w:rPr>
      </w:pPr>
      <w:r w:rsidRPr="00250F40">
        <w:rPr>
          <w:rFonts w:cs="Arial"/>
          <w:sz w:val="22"/>
          <w:szCs w:val="22"/>
        </w:rPr>
        <w:t>Not applicable.</w:t>
      </w:r>
    </w:p>
    <w:p w14:paraId="43931091" w14:textId="77777777" w:rsidR="00007218" w:rsidRPr="00250F40" w:rsidRDefault="00007218" w:rsidP="00007218">
      <w:pPr>
        <w:pStyle w:val="Body"/>
        <w:spacing w:after="0"/>
        <w:rPr>
          <w:rFonts w:cs="Arial"/>
          <w:sz w:val="22"/>
          <w:szCs w:val="22"/>
        </w:rPr>
      </w:pPr>
    </w:p>
    <w:p w14:paraId="7BEF67F5" w14:textId="77777777" w:rsidR="00007218" w:rsidRPr="00250F40" w:rsidRDefault="00007218" w:rsidP="00007218">
      <w:pPr>
        <w:pStyle w:val="Body"/>
        <w:spacing w:after="0"/>
        <w:rPr>
          <w:rFonts w:cs="Arial"/>
          <w:sz w:val="22"/>
          <w:szCs w:val="22"/>
        </w:rPr>
      </w:pPr>
      <w:r w:rsidRPr="00250F40">
        <w:rPr>
          <w:rFonts w:cs="Arial"/>
          <w:b/>
          <w:sz w:val="22"/>
          <w:szCs w:val="22"/>
        </w:rPr>
        <w:t>Item 7</w:t>
      </w:r>
      <w:r w:rsidRPr="00250F40">
        <w:rPr>
          <w:rFonts w:cs="Arial"/>
          <w:b/>
          <w:sz w:val="22"/>
          <w:szCs w:val="22"/>
        </w:rPr>
        <w:tab/>
      </w:r>
      <w:r w:rsidRPr="00250F40">
        <w:rPr>
          <w:rFonts w:cs="Arial"/>
          <w:b/>
          <w:sz w:val="22"/>
          <w:szCs w:val="22"/>
        </w:rPr>
        <w:tab/>
        <w:t>Omitted Information</w:t>
      </w:r>
    </w:p>
    <w:p w14:paraId="2A7427AD" w14:textId="77777777" w:rsidR="00007218" w:rsidRPr="00250F40" w:rsidRDefault="00007218" w:rsidP="00007218">
      <w:pPr>
        <w:pStyle w:val="Body"/>
        <w:spacing w:after="0"/>
        <w:rPr>
          <w:rFonts w:cs="Arial"/>
          <w:sz w:val="22"/>
          <w:szCs w:val="22"/>
        </w:rPr>
      </w:pPr>
    </w:p>
    <w:p w14:paraId="4522F37C" w14:textId="77777777" w:rsidR="00007218" w:rsidRPr="00250F40" w:rsidRDefault="00007218" w:rsidP="00007218">
      <w:pPr>
        <w:pStyle w:val="Body"/>
        <w:spacing w:after="0"/>
        <w:rPr>
          <w:rFonts w:cs="Arial"/>
          <w:sz w:val="22"/>
          <w:szCs w:val="22"/>
        </w:rPr>
      </w:pPr>
      <w:r w:rsidRPr="00250F40">
        <w:rPr>
          <w:rFonts w:cs="Arial"/>
          <w:sz w:val="22"/>
          <w:szCs w:val="22"/>
        </w:rPr>
        <w:t>Not applicable.</w:t>
      </w:r>
    </w:p>
    <w:p w14:paraId="68E3BB81" w14:textId="77777777" w:rsidR="00007218" w:rsidRPr="00250F40" w:rsidRDefault="00007218" w:rsidP="00007218">
      <w:pPr>
        <w:pStyle w:val="Body"/>
        <w:spacing w:after="0"/>
        <w:rPr>
          <w:rFonts w:cs="Arial"/>
          <w:sz w:val="22"/>
          <w:szCs w:val="22"/>
        </w:rPr>
      </w:pPr>
    </w:p>
    <w:p w14:paraId="039D2D71" w14:textId="77777777" w:rsidR="00007218" w:rsidRPr="00250F40" w:rsidRDefault="00007218" w:rsidP="00007218">
      <w:pPr>
        <w:pStyle w:val="Body"/>
        <w:keepNext/>
        <w:keepLines/>
        <w:spacing w:after="0"/>
        <w:rPr>
          <w:rFonts w:cs="Arial"/>
          <w:sz w:val="22"/>
          <w:szCs w:val="22"/>
        </w:rPr>
      </w:pPr>
      <w:r w:rsidRPr="00250F40">
        <w:rPr>
          <w:rFonts w:cs="Arial"/>
          <w:b/>
          <w:sz w:val="22"/>
          <w:szCs w:val="22"/>
        </w:rPr>
        <w:t>Item 8</w:t>
      </w:r>
      <w:r w:rsidRPr="00250F40">
        <w:rPr>
          <w:rFonts w:cs="Arial"/>
          <w:b/>
          <w:sz w:val="22"/>
          <w:szCs w:val="22"/>
        </w:rPr>
        <w:tab/>
      </w:r>
      <w:r w:rsidRPr="00250F40">
        <w:rPr>
          <w:rFonts w:cs="Arial"/>
          <w:b/>
          <w:sz w:val="22"/>
          <w:szCs w:val="22"/>
        </w:rPr>
        <w:tab/>
        <w:t>Executive Officer</w:t>
      </w:r>
    </w:p>
    <w:p w14:paraId="3FE4F8E8" w14:textId="77777777" w:rsidR="00007218" w:rsidRPr="00250F40" w:rsidRDefault="00007218" w:rsidP="00007218">
      <w:pPr>
        <w:pStyle w:val="Body"/>
        <w:keepNext/>
        <w:keepLines/>
        <w:spacing w:after="0"/>
        <w:rPr>
          <w:rFonts w:cs="Arial"/>
          <w:sz w:val="22"/>
          <w:szCs w:val="22"/>
        </w:rPr>
      </w:pPr>
    </w:p>
    <w:p w14:paraId="4E2DA03E" w14:textId="77777777" w:rsidR="00007218" w:rsidRPr="00250F40" w:rsidRDefault="00A73E95" w:rsidP="00007218">
      <w:pPr>
        <w:autoSpaceDE w:val="0"/>
        <w:autoSpaceDN w:val="0"/>
        <w:adjustRightInd w:val="0"/>
        <w:spacing w:after="0"/>
        <w:rPr>
          <w:rFonts w:cs="Arial"/>
          <w:sz w:val="22"/>
          <w:szCs w:val="22"/>
          <w:lang w:eastAsia="en-CA"/>
        </w:rPr>
      </w:pPr>
      <w:r w:rsidRPr="00250F40">
        <w:rPr>
          <w:rFonts w:cs="Arial"/>
          <w:sz w:val="22"/>
          <w:szCs w:val="22"/>
          <w:lang w:eastAsia="en-CA"/>
        </w:rPr>
        <w:t>Keith Driver</w:t>
      </w:r>
      <w:r w:rsidR="00007218" w:rsidRPr="00250F40">
        <w:rPr>
          <w:rFonts w:cs="Arial"/>
          <w:sz w:val="22"/>
          <w:szCs w:val="22"/>
        </w:rPr>
        <w:t>, Chief Executive Officer</w:t>
      </w:r>
      <w:r w:rsidR="00BB4923" w:rsidRPr="00250F40">
        <w:rPr>
          <w:rFonts w:cs="Arial"/>
          <w:sz w:val="22"/>
          <w:szCs w:val="22"/>
        </w:rPr>
        <w:t xml:space="preserve"> - 403.860.8623</w:t>
      </w:r>
    </w:p>
    <w:p w14:paraId="47693AB2" w14:textId="77777777" w:rsidR="00007218" w:rsidRPr="00250F40" w:rsidRDefault="00007218" w:rsidP="00007218">
      <w:pPr>
        <w:pStyle w:val="Body"/>
        <w:spacing w:after="0"/>
        <w:rPr>
          <w:rFonts w:cs="Arial"/>
          <w:b/>
          <w:sz w:val="22"/>
          <w:szCs w:val="22"/>
        </w:rPr>
      </w:pPr>
    </w:p>
    <w:p w14:paraId="2AFDA624" w14:textId="77777777" w:rsidR="00007218" w:rsidRPr="00250F40" w:rsidRDefault="00007218" w:rsidP="00007218">
      <w:pPr>
        <w:pStyle w:val="Body"/>
        <w:spacing w:after="0"/>
        <w:rPr>
          <w:rFonts w:cs="Arial"/>
          <w:sz w:val="22"/>
          <w:szCs w:val="22"/>
        </w:rPr>
      </w:pPr>
      <w:r w:rsidRPr="00250F40">
        <w:rPr>
          <w:rFonts w:cs="Arial"/>
          <w:b/>
          <w:sz w:val="22"/>
          <w:szCs w:val="22"/>
        </w:rPr>
        <w:t>Item 9</w:t>
      </w:r>
      <w:r w:rsidRPr="00250F40">
        <w:rPr>
          <w:rFonts w:cs="Arial"/>
          <w:b/>
          <w:sz w:val="22"/>
          <w:szCs w:val="22"/>
        </w:rPr>
        <w:tab/>
      </w:r>
      <w:r w:rsidRPr="00250F40">
        <w:rPr>
          <w:rFonts w:cs="Arial"/>
          <w:b/>
          <w:sz w:val="22"/>
          <w:szCs w:val="22"/>
        </w:rPr>
        <w:tab/>
        <w:t>Date of Report</w:t>
      </w:r>
    </w:p>
    <w:p w14:paraId="5FDB86FF" w14:textId="77777777" w:rsidR="00007218" w:rsidRPr="00250F40" w:rsidRDefault="00007218" w:rsidP="00007218">
      <w:pPr>
        <w:pStyle w:val="Body"/>
        <w:spacing w:after="0"/>
        <w:rPr>
          <w:rFonts w:cs="Arial"/>
          <w:sz w:val="22"/>
          <w:szCs w:val="22"/>
        </w:rPr>
      </w:pPr>
    </w:p>
    <w:p w14:paraId="03D6CF44" w14:textId="1057438D" w:rsidR="00007218" w:rsidRPr="00250F40" w:rsidRDefault="00250F40" w:rsidP="00007218">
      <w:pPr>
        <w:pStyle w:val="Body"/>
        <w:spacing w:after="0"/>
        <w:rPr>
          <w:rFonts w:cs="Arial"/>
          <w:sz w:val="22"/>
          <w:szCs w:val="22"/>
        </w:rPr>
      </w:pPr>
      <w:r>
        <w:rPr>
          <w:rFonts w:cs="Arial"/>
          <w:sz w:val="22"/>
          <w:szCs w:val="22"/>
        </w:rPr>
        <w:t xml:space="preserve">August </w:t>
      </w:r>
      <w:r w:rsidR="00FA2C88">
        <w:rPr>
          <w:rFonts w:cs="Arial"/>
          <w:sz w:val="22"/>
          <w:szCs w:val="22"/>
        </w:rPr>
        <w:t>3</w:t>
      </w:r>
      <w:r w:rsidR="00DE49E8" w:rsidRPr="00250F40">
        <w:rPr>
          <w:rFonts w:cs="Arial"/>
          <w:sz w:val="22"/>
          <w:szCs w:val="22"/>
        </w:rPr>
        <w:t>, 2020</w:t>
      </w:r>
    </w:p>
    <w:p w14:paraId="62DA0305" w14:textId="77777777" w:rsidR="00007218" w:rsidRPr="00FC01D7" w:rsidRDefault="00007218" w:rsidP="00007218">
      <w:pPr>
        <w:spacing w:after="0"/>
        <w:jc w:val="both"/>
        <w:rPr>
          <w:rFonts w:cs="Arial"/>
          <w:sz w:val="22"/>
          <w:szCs w:val="22"/>
        </w:rPr>
      </w:pPr>
    </w:p>
    <w:p w14:paraId="60B2D42B" w14:textId="77777777" w:rsidR="00720591" w:rsidRPr="00720591" w:rsidRDefault="00720591" w:rsidP="00720591">
      <w:pPr>
        <w:pStyle w:val="NormalWeb"/>
        <w:jc w:val="both"/>
        <w:rPr>
          <w:rFonts w:ascii="Arial" w:hAnsi="Arial" w:cs="Arial"/>
          <w:sz w:val="20"/>
          <w:szCs w:val="20"/>
        </w:rPr>
      </w:pPr>
      <w:r w:rsidRPr="00720591">
        <w:rPr>
          <w:rFonts w:ascii="Arial" w:hAnsi="Arial" w:cs="Arial"/>
          <w:sz w:val="20"/>
          <w:szCs w:val="20"/>
        </w:rPr>
        <w:t xml:space="preserve">This material change report contains “forward-looking information” within the meaning of applicable Canadian securities legislation. Forward-looking information includes, but is not limited to, statements with respect to the Offering, such as the expected use of the net proceeds of the First Tranche. Generally, forward-looking information can be identified by the use of forward-looking terminology such as “plans”, “expects” or “does not expect”, “is expected”, “budget”, “scheduled”, “estimates”, “forecasts”, “intends”, “anticipates” or “does not anticipate”, or “believes”, or variations of such words and phrases or statements that certain actions, events or results “may”, “could”, “would”, “might” or “will be taken”, “occur” or “be achieved”. Forward-looking information is subject to known and unknown risks, uncertainties and other factors that may cause the actual results, level of activity, performance or achievements of the Company to be materially different from those expressed or implied by such forward-looking information, including but not limited to: general business, economic, competitive, geopolitical and social uncertainties; regulatory risks; and other risks of the energy, fertilizer and cryptocurrency industries. Although the Company has attempted to identify important factors that could cause actual results to differ materially from those contained in forward-looking information, there may be other factors that cause results not to be as anticipated, estimated or intended. There can be no assurance that such information will prove to be accurate, as actual results and future events could differ materially from those anticipated in such statements. Accordingly, readers should not place undue reliance on forward-looking information. The Company does not undertake to update any forward-looking information, except in accordance with applicable securities laws. </w:t>
      </w:r>
    </w:p>
    <w:p w14:paraId="47827167" w14:textId="77777777" w:rsidR="00B603F7" w:rsidRDefault="00B603F7"/>
    <w:sectPr w:rsidR="00B603F7" w:rsidSect="007E034D">
      <w:headerReference w:type="default" r:id="rId8"/>
      <w:footerReference w:type="default" r:id="rId9"/>
      <w:footerReference w:type="first" r:id="rId10"/>
      <w:pgSz w:w="12240" w:h="15840" w:code="1"/>
      <w:pgMar w:top="1440" w:right="1440" w:bottom="1440" w:left="1440" w:header="706" w:footer="706"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0F1B9" w14:textId="77777777" w:rsidR="009301E9" w:rsidRDefault="009301E9">
      <w:pPr>
        <w:spacing w:after="0"/>
      </w:pPr>
      <w:r>
        <w:separator/>
      </w:r>
    </w:p>
  </w:endnote>
  <w:endnote w:type="continuationSeparator" w:id="0">
    <w:p w14:paraId="700DBD74" w14:textId="77777777" w:rsidR="009301E9" w:rsidRDefault="009301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65561" w14:textId="06F59902" w:rsidR="00D279D7" w:rsidRDefault="00835E01">
    <w:pPr>
      <w:pStyle w:val="Footer"/>
    </w:pPr>
    <w:r>
      <w:rPr>
        <w:noProof/>
        <w:sz w:val="20"/>
      </w:rPr>
      <mc:AlternateContent>
        <mc:Choice Requires="wps">
          <w:drawing>
            <wp:anchor distT="0" distB="0" distL="114300" distR="114300" simplePos="0" relativeHeight="251659264" behindDoc="0" locked="0" layoutInCell="0" allowOverlap="1" wp14:anchorId="31DE3128" wp14:editId="47AB0542">
              <wp:simplePos x="0" y="0"/>
              <wp:positionH relativeFrom="margin">
                <wp:posOffset>0</wp:posOffset>
              </wp:positionH>
              <wp:positionV relativeFrom="page">
                <wp:align>bottom</wp:align>
              </wp:positionV>
              <wp:extent cx="59436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noFill/>
                      <a:ln>
                        <a:noFill/>
                      </a:ln>
                    </wps:spPr>
                    <wps:txbx>
                      <w:txbxContent>
                        <w:p w14:paraId="7DA7DF0D" w14:textId="1314DF16" w:rsidR="00D279D7" w:rsidRDefault="0024086B">
                          <w:pPr>
                            <w:pStyle w:val="DocsID"/>
                            <w:rPr>
                              <w:color w:val="FFFFFF"/>
                            </w:rPr>
                          </w:pPr>
                        </w:p>
                      </w:txbxContent>
                    </wps:txbx>
                    <wps:bodyPr rot="0" vert="horz" wrap="square" lIns="0" tIns="0" rIns="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E3128" id="_x0000_t202" coordsize="21600,21600" o:spt="202" path="m,l,21600r21600,l21600,xe">
              <v:stroke joinstyle="miter"/>
              <v:path gradientshapeok="t" o:connecttype="rect"/>
            </v:shapetype>
            <v:shape id="Text Box 2" o:spid="_x0000_s1026" type="#_x0000_t202" style="position:absolute;margin-left:0;margin-top:0;width:468pt;height:36pt;z-index:251659264;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" o:allowincell="f" filled="f" stroked="f">
              <v:textbox inset="0,0,0,14.4pt">
                <w:txbxContent>
                  <w:p w14:paraId="7DA7DF0D" w14:textId="1314DF16" w:rsidR="00D279D7" w:rsidRDefault="0024086B">
                    <w:pPr>
                      <w:pStyle w:val="DocsID"/>
                      <w:rPr>
                        <w:color w:val="FFFFFF"/>
                      </w:rPr>
                    </w:pP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EFD12" w14:textId="372BC4C6" w:rsidR="00D279D7" w:rsidRDefault="00835E01">
    <w:pPr>
      <w:pStyle w:val="Footer"/>
    </w:pPr>
    <w:r>
      <w:rPr>
        <w:noProof/>
        <w:sz w:val="20"/>
      </w:rPr>
      <mc:AlternateContent>
        <mc:Choice Requires="wps">
          <w:drawing>
            <wp:anchor distT="0" distB="0" distL="114300" distR="114300" simplePos="0" relativeHeight="251660288" behindDoc="0" locked="0" layoutInCell="0" allowOverlap="1" wp14:anchorId="3410A572" wp14:editId="18F98338">
              <wp:simplePos x="0" y="0"/>
              <wp:positionH relativeFrom="margin">
                <wp:posOffset>0</wp:posOffset>
              </wp:positionH>
              <wp:positionV relativeFrom="page">
                <wp:align>bottom</wp:align>
              </wp:positionV>
              <wp:extent cx="59436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noFill/>
                      <a:ln>
                        <a:noFill/>
                      </a:ln>
                    </wps:spPr>
                    <wps:txbx>
                      <w:txbxContent>
                        <w:p w14:paraId="204BFECF" w14:textId="6F7FECEF" w:rsidR="00D279D7" w:rsidRDefault="0024086B">
                          <w:pPr>
                            <w:pStyle w:val="DocsID"/>
                            <w:rPr>
                              <w:color w:val="FFFFFF"/>
                            </w:rPr>
                          </w:pPr>
                        </w:p>
                      </w:txbxContent>
                    </wps:txbx>
                    <wps:bodyPr rot="0" vert="horz" wrap="square" lIns="0" tIns="0" rIns="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0A572" id="_x0000_t202" coordsize="21600,21600" o:spt="202" path="m,l,21600r21600,l21600,xe">
              <v:stroke joinstyle="miter"/>
              <v:path gradientshapeok="t" o:connecttype="rect"/>
            </v:shapetype>
            <v:shape id="Text Box 1" o:spid="_x0000_s1027" type="#_x0000_t202" style="position:absolute;margin-left:0;margin-top:0;width:468pt;height:36pt;z-index:251660288;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" o:allowincell="f" filled="f" stroked="f">
              <v:textbox inset="0,0,0,14.4pt">
                <w:txbxContent>
                  <w:p w14:paraId="204BFECF" w14:textId="6F7FECEF" w:rsidR="00D279D7" w:rsidRDefault="0024086B">
                    <w:pPr>
                      <w:pStyle w:val="DocsID"/>
                      <w:rPr>
                        <w:color w:val="FFFFFF"/>
                      </w:rPr>
                    </w:pP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8CB5C" w14:textId="77777777" w:rsidR="009301E9" w:rsidRDefault="009301E9">
      <w:pPr>
        <w:spacing w:after="0"/>
      </w:pPr>
      <w:r>
        <w:separator/>
      </w:r>
    </w:p>
  </w:footnote>
  <w:footnote w:type="continuationSeparator" w:id="0">
    <w:p w14:paraId="514515EC" w14:textId="77777777" w:rsidR="009301E9" w:rsidRDefault="009301E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9851D" w14:textId="77777777" w:rsidR="00D279D7" w:rsidRDefault="00082143">
    <w:pPr>
      <w:pStyle w:val="Header"/>
      <w:tabs>
        <w:tab w:val="clear" w:pos="4320"/>
        <w:tab w:val="clear" w:pos="8640"/>
      </w:tabs>
      <w:jc w:val="center"/>
    </w:pPr>
    <w:r>
      <w:rPr>
        <w:rStyle w:val="PageNumber"/>
      </w:rPr>
      <w:t xml:space="preserve">- </w:t>
    </w:r>
    <w:r w:rsidR="00F00E90">
      <w:rPr>
        <w:rStyle w:val="PageNumber"/>
      </w:rPr>
      <w:fldChar w:fldCharType="begin"/>
    </w:r>
    <w:r>
      <w:rPr>
        <w:rStyle w:val="PageNumber"/>
      </w:rPr>
      <w:instrText xml:space="preserve"> PAGE </w:instrText>
    </w:r>
    <w:r w:rsidR="00F00E90">
      <w:rPr>
        <w:rStyle w:val="PageNumber"/>
      </w:rPr>
      <w:fldChar w:fldCharType="separate"/>
    </w:r>
    <w:r w:rsidR="00720591">
      <w:rPr>
        <w:rStyle w:val="PageNumber"/>
        <w:noProof/>
      </w:rPr>
      <w:t>2</w:t>
    </w:r>
    <w:r w:rsidR="00F00E90">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626424"/>
    <w:multiLevelType w:val="hybridMultilevel"/>
    <w:tmpl w:val="125809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218"/>
    <w:rsid w:val="00007218"/>
    <w:rsid w:val="00082143"/>
    <w:rsid w:val="001B5057"/>
    <w:rsid w:val="002247D6"/>
    <w:rsid w:val="00237174"/>
    <w:rsid w:val="0024086B"/>
    <w:rsid w:val="00250F40"/>
    <w:rsid w:val="003C02FE"/>
    <w:rsid w:val="00720591"/>
    <w:rsid w:val="00835E01"/>
    <w:rsid w:val="008C5182"/>
    <w:rsid w:val="009301E9"/>
    <w:rsid w:val="00A73E95"/>
    <w:rsid w:val="00B11D36"/>
    <w:rsid w:val="00B603F7"/>
    <w:rsid w:val="00BA1272"/>
    <w:rsid w:val="00BB4923"/>
    <w:rsid w:val="00DC4710"/>
    <w:rsid w:val="00DE49E8"/>
    <w:rsid w:val="00F00E90"/>
    <w:rsid w:val="00FA2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276ADD"/>
  <w15:docId w15:val="{28028A13-4528-4C85-AFF7-108E9912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218"/>
    <w:pPr>
      <w:spacing w:after="240" w:line="240" w:lineRule="auto"/>
    </w:pPr>
    <w:rPr>
      <w:rFonts w:ascii="Arial" w:eastAsia="Times New Roman" w:hAnsi="Arial" w:cs="Times New Roman"/>
      <w:sz w:val="24"/>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7218"/>
    <w:pPr>
      <w:tabs>
        <w:tab w:val="center" w:pos="4320"/>
        <w:tab w:val="right" w:pos="8640"/>
      </w:tabs>
    </w:pPr>
  </w:style>
  <w:style w:type="character" w:customStyle="1" w:styleId="HeaderChar">
    <w:name w:val="Header Char"/>
    <w:basedOn w:val="DefaultParagraphFont"/>
    <w:link w:val="Header"/>
    <w:rsid w:val="00007218"/>
    <w:rPr>
      <w:rFonts w:ascii="Arial" w:eastAsia="Times New Roman" w:hAnsi="Arial" w:cs="Times New Roman"/>
      <w:sz w:val="24"/>
      <w:szCs w:val="20"/>
      <w:lang w:val="en-CA"/>
    </w:rPr>
  </w:style>
  <w:style w:type="paragraph" w:styleId="Footer">
    <w:name w:val="footer"/>
    <w:basedOn w:val="Normal"/>
    <w:link w:val="FooterChar"/>
    <w:rsid w:val="00007218"/>
    <w:pPr>
      <w:tabs>
        <w:tab w:val="center" w:pos="4320"/>
        <w:tab w:val="right" w:pos="8640"/>
      </w:tabs>
    </w:pPr>
  </w:style>
  <w:style w:type="character" w:customStyle="1" w:styleId="FooterChar">
    <w:name w:val="Footer Char"/>
    <w:basedOn w:val="DefaultParagraphFont"/>
    <w:link w:val="Footer"/>
    <w:rsid w:val="00007218"/>
    <w:rPr>
      <w:rFonts w:ascii="Arial" w:eastAsia="Times New Roman" w:hAnsi="Arial" w:cs="Times New Roman"/>
      <w:sz w:val="24"/>
      <w:szCs w:val="20"/>
      <w:lang w:val="en-CA"/>
    </w:rPr>
  </w:style>
  <w:style w:type="character" w:styleId="PageNumber">
    <w:name w:val="page number"/>
    <w:basedOn w:val="DefaultParagraphFont"/>
    <w:rsid w:val="00007218"/>
  </w:style>
  <w:style w:type="paragraph" w:customStyle="1" w:styleId="DocsID">
    <w:name w:val="DocsID"/>
    <w:rsid w:val="00007218"/>
    <w:pPr>
      <w:widowControl w:val="0"/>
      <w:spacing w:before="20" w:after="0" w:line="140" w:lineRule="exact"/>
    </w:pPr>
    <w:rPr>
      <w:rFonts w:ascii="Arial" w:eastAsia="Times New Roman" w:hAnsi="Arial" w:cs="Times New Roman"/>
      <w:color w:val="000080"/>
      <w:sz w:val="16"/>
      <w:szCs w:val="16"/>
    </w:rPr>
  </w:style>
  <w:style w:type="paragraph" w:customStyle="1" w:styleId="Body">
    <w:name w:val="Body"/>
    <w:basedOn w:val="Normal"/>
    <w:rsid w:val="00007218"/>
    <w:pPr>
      <w:spacing w:after="180"/>
    </w:pPr>
  </w:style>
  <w:style w:type="paragraph" w:styleId="NormalWeb">
    <w:name w:val="Normal (Web)"/>
    <w:basedOn w:val="Normal"/>
    <w:uiPriority w:val="99"/>
    <w:unhideWhenUsed/>
    <w:rsid w:val="00720591"/>
    <w:pPr>
      <w:spacing w:before="100" w:beforeAutospacing="1" w:after="100" w:afterAutospacing="1"/>
    </w:pPr>
    <w:rPr>
      <w:rFonts w:ascii="Times New Roman" w:hAnsi="Times New Roman"/>
      <w:szCs w:val="24"/>
      <w:lang w:val="en-US"/>
    </w:rPr>
  </w:style>
  <w:style w:type="character" w:styleId="Hyperlink">
    <w:name w:val="Hyperlink"/>
    <w:basedOn w:val="DefaultParagraphFont"/>
    <w:uiPriority w:val="99"/>
    <w:semiHidden/>
    <w:unhideWhenUsed/>
    <w:rsid w:val="00DE49E8"/>
    <w:rPr>
      <w:color w:val="0563C1" w:themeColor="hyperlink"/>
      <w:u w:val="single"/>
    </w:rPr>
  </w:style>
  <w:style w:type="paragraph" w:styleId="BalloonText">
    <w:name w:val="Balloon Text"/>
    <w:basedOn w:val="Normal"/>
    <w:link w:val="BalloonTextChar"/>
    <w:uiPriority w:val="99"/>
    <w:semiHidden/>
    <w:unhideWhenUsed/>
    <w:rsid w:val="00FA2C8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C88"/>
    <w:rPr>
      <w:rFonts w:ascii="Segoe UI" w:eastAsia="Times New Roman"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7187">
      <w:bodyDiv w:val="1"/>
      <w:marLeft w:val="0"/>
      <w:marRight w:val="0"/>
      <w:marTop w:val="0"/>
      <w:marBottom w:val="0"/>
      <w:divBdr>
        <w:top w:val="none" w:sz="0" w:space="0" w:color="auto"/>
        <w:left w:val="none" w:sz="0" w:space="0" w:color="auto"/>
        <w:bottom w:val="none" w:sz="0" w:space="0" w:color="auto"/>
        <w:right w:val="none" w:sz="0" w:space="0" w:color="auto"/>
      </w:divBdr>
    </w:div>
    <w:div w:id="1358657906">
      <w:bodyDiv w:val="1"/>
      <w:marLeft w:val="0"/>
      <w:marRight w:val="0"/>
      <w:marTop w:val="0"/>
      <w:marBottom w:val="0"/>
      <w:divBdr>
        <w:top w:val="none" w:sz="0" w:space="0" w:color="auto"/>
        <w:left w:val="none" w:sz="0" w:space="0" w:color="auto"/>
        <w:bottom w:val="none" w:sz="0" w:space="0" w:color="auto"/>
        <w:right w:val="none" w:sz="0" w:space="0" w:color="auto"/>
      </w:divBdr>
    </w:div>
    <w:div w:id="1438410338">
      <w:bodyDiv w:val="1"/>
      <w:marLeft w:val="0"/>
      <w:marRight w:val="0"/>
      <w:marTop w:val="0"/>
      <w:marBottom w:val="0"/>
      <w:divBdr>
        <w:top w:val="none" w:sz="0" w:space="0" w:color="auto"/>
        <w:left w:val="none" w:sz="0" w:space="0" w:color="auto"/>
        <w:bottom w:val="none" w:sz="0" w:space="0" w:color="auto"/>
        <w:right w:val="none" w:sz="0" w:space="0" w:color="auto"/>
      </w:divBdr>
    </w:div>
    <w:div w:id="1560045895">
      <w:bodyDiv w:val="1"/>
      <w:marLeft w:val="0"/>
      <w:marRight w:val="0"/>
      <w:marTop w:val="0"/>
      <w:marBottom w:val="0"/>
      <w:divBdr>
        <w:top w:val="none" w:sz="0" w:space="0" w:color="auto"/>
        <w:left w:val="none" w:sz="0" w:space="0" w:color="auto"/>
        <w:bottom w:val="none" w:sz="0" w:space="0" w:color="auto"/>
        <w:right w:val="none" w:sz="0" w:space="0" w:color="auto"/>
      </w:divBdr>
    </w:div>
    <w:div w:id="1627932067">
      <w:bodyDiv w:val="1"/>
      <w:marLeft w:val="0"/>
      <w:marRight w:val="0"/>
      <w:marTop w:val="0"/>
      <w:marBottom w:val="0"/>
      <w:divBdr>
        <w:top w:val="none" w:sz="0" w:space="0" w:color="auto"/>
        <w:left w:val="none" w:sz="0" w:space="0" w:color="auto"/>
        <w:bottom w:val="none" w:sz="0" w:space="0" w:color="auto"/>
        <w:right w:val="none" w:sz="0" w:space="0" w:color="auto"/>
      </w:divBdr>
    </w:div>
    <w:div w:id="1741782934">
      <w:bodyDiv w:val="1"/>
      <w:marLeft w:val="0"/>
      <w:marRight w:val="0"/>
      <w:marTop w:val="0"/>
      <w:marBottom w:val="0"/>
      <w:divBdr>
        <w:top w:val="none" w:sz="0" w:space="0" w:color="auto"/>
        <w:left w:val="none" w:sz="0" w:space="0" w:color="auto"/>
        <w:bottom w:val="none" w:sz="0" w:space="0" w:color="auto"/>
        <w:right w:val="none" w:sz="0" w:space="0" w:color="auto"/>
      </w:divBdr>
    </w:div>
    <w:div w:id="179768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da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1241</Words>
  <Characters>7074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Aaron Atin</dc:creator>
  <cp:lastModifiedBy>Wanda Roque</cp:lastModifiedBy>
  <cp:revision>2</cp:revision>
  <cp:lastPrinted>2019-12-03T20:47:00Z</cp:lastPrinted>
  <dcterms:created xsi:type="dcterms:W3CDTF">2020-08-04T13:05:00Z</dcterms:created>
  <dcterms:modified xsi:type="dcterms:W3CDTF">2020-08-04T13:05:00Z</dcterms:modified>
</cp:coreProperties>
</file>