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B47B70" w:rsidRPr="00B47B70">
        <w:rPr>
          <w:rFonts w:ascii="Arial" w:hAnsi="Arial"/>
          <w:b/>
          <w:color w:val="000000"/>
        </w:rPr>
        <w:t>LODGE RESOURCES INC</w:t>
      </w:r>
      <w:proofErr w:type="gramStart"/>
      <w:r w:rsidR="00B47B70" w:rsidRPr="00B47B70">
        <w:rPr>
          <w:rFonts w:ascii="Arial" w:hAnsi="Arial"/>
          <w:b/>
          <w:color w:val="000000"/>
        </w:rPr>
        <w:t>.</w:t>
      </w:r>
      <w:r w:rsidRPr="00B47B70">
        <w:rPr>
          <w:rFonts w:ascii="Arial" w:hAnsi="Arial"/>
          <w:b/>
          <w:color w:val="000000"/>
        </w:rPr>
        <w:t>(</w:t>
      </w:r>
      <w:proofErr w:type="gramEnd"/>
      <w:r>
        <w:rPr>
          <w:rFonts w:ascii="Arial" w:hAnsi="Arial"/>
          <w:color w:val="000000"/>
        </w:rPr>
        <w:t>the “Issuer”).</w:t>
      </w:r>
    </w:p>
    <w:p w:rsidR="00B47B70" w:rsidRDefault="00640E94">
      <w:pPr>
        <w:pStyle w:val="BodyText"/>
        <w:tabs>
          <w:tab w:val="left" w:pos="7920"/>
          <w:tab w:val="left" w:pos="9180"/>
        </w:tabs>
        <w:rPr>
          <w:rFonts w:ascii="Arial" w:hAnsi="Arial"/>
          <w:color w:val="000000"/>
        </w:rPr>
      </w:pPr>
      <w:r>
        <w:rPr>
          <w:rFonts w:ascii="Arial" w:hAnsi="Arial"/>
          <w:color w:val="000000"/>
        </w:rPr>
        <w:t>Trading Symbol:</w:t>
      </w:r>
      <w:r w:rsidR="00B47B70">
        <w:rPr>
          <w:rFonts w:ascii="Arial" w:hAnsi="Arial"/>
          <w:color w:val="000000"/>
        </w:rPr>
        <w:t xml:space="preserve"> </w:t>
      </w:r>
      <w:r w:rsidR="00B47B70" w:rsidRPr="00B47B70">
        <w:rPr>
          <w:rFonts w:ascii="Arial" w:hAnsi="Arial"/>
          <w:b/>
          <w:color w:val="000000"/>
        </w:rPr>
        <w:t>LDG</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A70B1" w:rsidRPr="005A70B1">
        <w:rPr>
          <w:rFonts w:ascii="Arial" w:hAnsi="Arial"/>
          <w:b/>
          <w:color w:val="000000"/>
        </w:rPr>
        <w:t>13,777,500</w:t>
      </w:r>
      <w:r w:rsidR="00B47B70" w:rsidRPr="00B47B70">
        <w:rPr>
          <w:rFonts w:ascii="Arial" w:hAnsi="Arial"/>
          <w:b/>
          <w:color w:val="000000"/>
        </w:rPr>
        <w:t xml:space="preserve"> common shares</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A70B1" w:rsidRPr="005A70B1">
        <w:rPr>
          <w:rFonts w:ascii="Arial" w:hAnsi="Arial"/>
          <w:b/>
          <w:color w:val="000000"/>
        </w:rPr>
        <w:t>January 10, 2020</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The Issuer entered into an interim agreement to acquire all the shares of 1132144 BC Ltd., the parent company of Lower 48 Resources (Idaho) LLC (collectively “L</w:t>
      </w:r>
      <w:r w:rsidR="00A17656">
        <w:rPr>
          <w:rFonts w:ascii="Arial" w:hAnsi="Arial"/>
          <w:b/>
        </w:rPr>
        <w:t>o</w:t>
      </w:r>
      <w:r w:rsidRPr="004C33F4">
        <w:rPr>
          <w:rFonts w:ascii="Arial" w:hAnsi="Arial"/>
          <w:b/>
        </w:rPr>
        <w:t xml:space="preserve">wer 48”), which has an option to acquire the </w:t>
      </w:r>
      <w:proofErr w:type="spellStart"/>
      <w:r w:rsidRPr="004C33F4">
        <w:rPr>
          <w:rFonts w:ascii="Arial" w:hAnsi="Arial"/>
          <w:b/>
        </w:rPr>
        <w:t>Lehmi</w:t>
      </w:r>
      <w:proofErr w:type="spellEnd"/>
      <w:r w:rsidRPr="004C33F4">
        <w:rPr>
          <w:rFonts w:ascii="Arial" w:hAnsi="Arial"/>
          <w:b/>
        </w:rPr>
        <w:t xml:space="preserve"> Gold Project, located in </w:t>
      </w:r>
      <w:proofErr w:type="spellStart"/>
      <w:r w:rsidRPr="004C33F4">
        <w:rPr>
          <w:rFonts w:ascii="Arial" w:hAnsi="Arial"/>
          <w:b/>
        </w:rPr>
        <w:t>Lehmi</w:t>
      </w:r>
      <w:proofErr w:type="spellEnd"/>
      <w:r w:rsidRPr="004C33F4">
        <w:rPr>
          <w:rFonts w:ascii="Arial" w:hAnsi="Arial"/>
          <w:b/>
        </w:rPr>
        <w:t xml:space="preserve"> County, Idaho, USA. In order to acquire Lower 48, the Issuer will issue 30,690,000 common shares to the shareholders of </w:t>
      </w:r>
      <w:r w:rsidRPr="004C33F4">
        <w:rPr>
          <w:rFonts w:ascii="Arial" w:hAnsi="Arial"/>
          <w:b/>
        </w:rPr>
        <w:lastRenderedPageBreak/>
        <w:t>Lower 48. The Issuer has agreed to fund working capital of Lowe</w:t>
      </w:r>
      <w:r w:rsidR="00A17656">
        <w:rPr>
          <w:rFonts w:ascii="Arial" w:hAnsi="Arial"/>
          <w:b/>
        </w:rPr>
        <w:t>r</w:t>
      </w:r>
      <w:r w:rsidRPr="004C33F4">
        <w:rPr>
          <w:rFonts w:ascii="Arial" w:hAnsi="Arial"/>
          <w:b/>
        </w:rPr>
        <w:t xml:space="preserve"> 48, and in connection with the proposed acquisition, </w:t>
      </w:r>
      <w:r w:rsidR="001E3E8F">
        <w:rPr>
          <w:rFonts w:ascii="Arial" w:hAnsi="Arial"/>
          <w:b/>
        </w:rPr>
        <w:t>agreed to</w:t>
      </w:r>
      <w:r w:rsidRPr="004C33F4">
        <w:rPr>
          <w:rFonts w:ascii="Arial" w:hAnsi="Arial"/>
          <w:b/>
        </w:rPr>
        <w:t xml:space="preserve"> complete a private placement of $1,200,000 at $0.20 per share.</w:t>
      </w:r>
      <w:r w:rsidR="001E3E8F">
        <w:rPr>
          <w:rFonts w:ascii="Arial" w:hAnsi="Arial"/>
          <w:b/>
        </w:rPr>
        <w:t xml:space="preserve"> The Issuer completed the said private placement on December 17, 2019.</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Overseeing corporate activities and  working on the proposed acquisition of Lower 48 and related funding</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33F4" w:rsidRPr="004C33F4" w:rsidRDefault="004C33F4" w:rsidP="004C33F4">
      <w:pPr>
        <w:pStyle w:val="List"/>
        <w:spacing w:before="120"/>
        <w:ind w:left="180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 xml:space="preserve">The Issuer </w:t>
      </w:r>
      <w:r w:rsidR="001E3E8F">
        <w:rPr>
          <w:rFonts w:ascii="Arial" w:hAnsi="Arial"/>
          <w:b/>
        </w:rPr>
        <w:t xml:space="preserve">in November </w:t>
      </w:r>
      <w:r w:rsidRPr="004C33F4">
        <w:rPr>
          <w:rFonts w:ascii="Arial" w:hAnsi="Arial"/>
          <w:b/>
        </w:rPr>
        <w:t xml:space="preserve">borrowed $280,000 from </w:t>
      </w:r>
      <w:r w:rsidR="005A70B1">
        <w:rPr>
          <w:rFonts w:ascii="Arial" w:hAnsi="Arial"/>
          <w:b/>
        </w:rPr>
        <w:t>p</w:t>
      </w:r>
      <w:r w:rsidRPr="004C33F4">
        <w:rPr>
          <w:rFonts w:ascii="Arial" w:hAnsi="Arial"/>
          <w:b/>
        </w:rPr>
        <w:t xml:space="preserve">arties unrelated to the Issuer in order to assist with </w:t>
      </w:r>
      <w:r>
        <w:rPr>
          <w:rFonts w:ascii="Arial" w:hAnsi="Arial"/>
          <w:b/>
        </w:rPr>
        <w:t xml:space="preserve">the </w:t>
      </w:r>
      <w:r w:rsidRPr="004C33F4">
        <w:rPr>
          <w:rFonts w:ascii="Arial" w:hAnsi="Arial"/>
          <w:b/>
        </w:rPr>
        <w:t>deposit of $350,000 paid with respect of the propose</w:t>
      </w:r>
      <w:r w:rsidR="001E3E8F">
        <w:rPr>
          <w:rFonts w:ascii="Arial" w:hAnsi="Arial"/>
          <w:b/>
        </w:rPr>
        <w:t>d acquisition of Lower 48. As the closing of the said $1.2 million private placement was delayed, the Issuer in December borrowed a further $500,000 from an unrelated party, the proceeds of which were advanced to Lower 48 as part of the obligation to fund Lower 48 working capital. The loans carried</w:t>
      </w:r>
      <w:r w:rsidRPr="004C33F4">
        <w:rPr>
          <w:rFonts w:ascii="Arial" w:hAnsi="Arial"/>
          <w:b/>
        </w:rPr>
        <w:t xml:space="preserve"> interest at </w:t>
      </w:r>
      <w:r>
        <w:rPr>
          <w:rFonts w:ascii="Arial" w:hAnsi="Arial"/>
          <w:b/>
        </w:rPr>
        <w:t>3</w:t>
      </w:r>
      <w:r w:rsidRPr="004C33F4">
        <w:rPr>
          <w:rFonts w:ascii="Arial" w:hAnsi="Arial"/>
          <w:b/>
        </w:rPr>
        <w:t xml:space="preserve">% and </w:t>
      </w:r>
      <w:r w:rsidR="001E3E8F">
        <w:rPr>
          <w:rFonts w:ascii="Arial" w:hAnsi="Arial"/>
          <w:b/>
        </w:rPr>
        <w:t>were repaid in full after the December 17, 2019 the completion of the $1.2 million private placement.</w:t>
      </w:r>
    </w:p>
    <w:p w:rsidR="00640E94" w:rsidRPr="005A70B1" w:rsidRDefault="00640E94" w:rsidP="005A70B1">
      <w:pPr>
        <w:pStyle w:val="List"/>
        <w:numPr>
          <w:ilvl w:val="0"/>
          <w:numId w:val="28"/>
        </w:numPr>
        <w:spacing w:before="120"/>
        <w:ind w:left="0" w:firstLine="0"/>
        <w:jc w:val="both"/>
        <w:rPr>
          <w:rFonts w:ascii="Arial" w:hAnsi="Arial"/>
          <w:b/>
        </w:rPr>
      </w:pPr>
      <w:r w:rsidRPr="005A70B1">
        <w:rPr>
          <w:rFonts w:ascii="Arial" w:hAnsi="Arial"/>
        </w:rPr>
        <w:t>Provide details of any securities issued and options or warrants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1E3E8F">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1E3E8F">
            <w:pPr>
              <w:pStyle w:val="List"/>
              <w:tabs>
                <w:tab w:val="left" w:pos="360"/>
              </w:tabs>
              <w:spacing w:before="0" w:line="280" w:lineRule="exact"/>
              <w:ind w:left="0" w:firstLine="0"/>
              <w:jc w:val="both"/>
              <w:rPr>
                <w:rFonts w:ascii="Arial" w:hAnsi="Arial"/>
              </w:rPr>
            </w:pPr>
            <w:r>
              <w:rPr>
                <w:rFonts w:ascii="Arial" w:hAnsi="Arial"/>
              </w:rPr>
              <w:t xml:space="preserve">6,000,000 </w:t>
            </w:r>
          </w:p>
        </w:tc>
        <w:tc>
          <w:tcPr>
            <w:tcW w:w="2394" w:type="dxa"/>
          </w:tcPr>
          <w:p w:rsidR="00640E94" w:rsidRDefault="001E3E8F" w:rsidP="00B57771">
            <w:pPr>
              <w:pStyle w:val="List"/>
              <w:tabs>
                <w:tab w:val="left" w:pos="360"/>
              </w:tabs>
              <w:spacing w:before="0" w:line="280" w:lineRule="exact"/>
              <w:ind w:left="0" w:firstLine="0"/>
              <w:jc w:val="both"/>
              <w:rPr>
                <w:rFonts w:ascii="Arial" w:hAnsi="Arial"/>
              </w:rPr>
            </w:pPr>
            <w:r>
              <w:rPr>
                <w:rFonts w:ascii="Arial" w:hAnsi="Arial"/>
              </w:rPr>
              <w:t>Issued at $0.20 each on Dec</w:t>
            </w:r>
            <w:r w:rsidR="00B57771">
              <w:rPr>
                <w:rFonts w:ascii="Arial" w:hAnsi="Arial"/>
              </w:rPr>
              <w:t xml:space="preserve"> 17/19,  total </w:t>
            </w:r>
            <w:r>
              <w:rPr>
                <w:rFonts w:ascii="Arial" w:hAnsi="Arial"/>
              </w:rPr>
              <w:t>of $1.2 million</w:t>
            </w:r>
          </w:p>
        </w:tc>
        <w:tc>
          <w:tcPr>
            <w:tcW w:w="2394" w:type="dxa"/>
          </w:tcPr>
          <w:p w:rsidR="00640E94" w:rsidRDefault="001E3E8F">
            <w:pPr>
              <w:pStyle w:val="List"/>
              <w:tabs>
                <w:tab w:val="left" w:pos="360"/>
              </w:tabs>
              <w:spacing w:before="0" w:line="280" w:lineRule="exact"/>
              <w:ind w:left="0" w:firstLine="0"/>
              <w:jc w:val="both"/>
              <w:rPr>
                <w:rFonts w:ascii="Arial" w:hAnsi="Arial"/>
              </w:rPr>
            </w:pPr>
            <w:r>
              <w:rPr>
                <w:rFonts w:ascii="Arial" w:hAnsi="Arial"/>
              </w:rPr>
              <w:t>Advances to Lower 48 for working capital as agreed, including repayment of related interim loans</w:t>
            </w:r>
          </w:p>
        </w:tc>
      </w:tr>
      <w:tr w:rsidR="005A70B1">
        <w:tc>
          <w:tcPr>
            <w:tcW w:w="2394" w:type="dxa"/>
          </w:tcPr>
          <w:p w:rsidR="005A70B1" w:rsidRDefault="005A70B1">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5A70B1" w:rsidRDefault="005A70B1">
            <w:pPr>
              <w:pStyle w:val="List"/>
              <w:tabs>
                <w:tab w:val="left" w:pos="360"/>
              </w:tabs>
              <w:spacing w:before="0" w:line="280" w:lineRule="exact"/>
              <w:ind w:left="0" w:firstLine="0"/>
              <w:jc w:val="both"/>
              <w:rPr>
                <w:rFonts w:ascii="Arial" w:hAnsi="Arial"/>
              </w:rPr>
            </w:pPr>
            <w:r>
              <w:rPr>
                <w:rFonts w:ascii="Arial" w:hAnsi="Arial"/>
              </w:rPr>
              <w:t xml:space="preserve">102,500 at $0.20 </w:t>
            </w:r>
          </w:p>
        </w:tc>
        <w:tc>
          <w:tcPr>
            <w:tcW w:w="2394" w:type="dxa"/>
          </w:tcPr>
          <w:p w:rsidR="005A70B1" w:rsidRDefault="005A70B1" w:rsidP="00B57771">
            <w:pPr>
              <w:pStyle w:val="List"/>
              <w:tabs>
                <w:tab w:val="left" w:pos="360"/>
              </w:tabs>
              <w:spacing w:before="0" w:line="280" w:lineRule="exact"/>
              <w:ind w:left="0" w:firstLine="0"/>
              <w:jc w:val="both"/>
              <w:rPr>
                <w:rFonts w:ascii="Arial" w:hAnsi="Arial"/>
              </w:rPr>
            </w:pPr>
            <w:r>
              <w:rPr>
                <w:rFonts w:ascii="Arial" w:hAnsi="Arial"/>
              </w:rPr>
              <w:t>Finders in above</w:t>
            </w:r>
          </w:p>
        </w:tc>
        <w:tc>
          <w:tcPr>
            <w:tcW w:w="2394" w:type="dxa"/>
          </w:tcPr>
          <w:p w:rsidR="005A70B1" w:rsidRDefault="005A70B1" w:rsidP="005A70B1">
            <w:pPr>
              <w:pStyle w:val="List"/>
              <w:tabs>
                <w:tab w:val="left" w:pos="360"/>
              </w:tabs>
              <w:spacing w:before="0" w:line="280" w:lineRule="exact"/>
              <w:ind w:left="0" w:firstLine="0"/>
              <w:jc w:val="both"/>
              <w:rPr>
                <w:rFonts w:ascii="Arial" w:hAnsi="Arial"/>
              </w:rPr>
            </w:pPr>
            <w:r>
              <w:rPr>
                <w:rFonts w:ascii="Arial" w:hAnsi="Arial"/>
              </w:rPr>
              <w:t>Finders fees</w:t>
            </w:r>
          </w:p>
        </w:tc>
      </w:tr>
      <w:tr w:rsidR="00640E94">
        <w:tc>
          <w:tcPr>
            <w:tcW w:w="2394" w:type="dxa"/>
          </w:tcPr>
          <w:p w:rsidR="00640E94" w:rsidRDefault="00B57771" w:rsidP="00B57771">
            <w:pPr>
              <w:pStyle w:val="List"/>
              <w:tabs>
                <w:tab w:val="left" w:pos="360"/>
              </w:tabs>
              <w:spacing w:before="0" w:line="280" w:lineRule="exact"/>
              <w:ind w:left="0" w:firstLine="0"/>
              <w:jc w:val="both"/>
              <w:rPr>
                <w:rFonts w:ascii="Arial" w:hAnsi="Arial"/>
              </w:rPr>
            </w:pPr>
            <w:r>
              <w:rPr>
                <w:rFonts w:ascii="Arial" w:hAnsi="Arial"/>
              </w:rPr>
              <w:t>Flow-through common shares</w:t>
            </w:r>
          </w:p>
        </w:tc>
        <w:tc>
          <w:tcPr>
            <w:tcW w:w="2394" w:type="dxa"/>
          </w:tcPr>
          <w:p w:rsidR="00640E94" w:rsidRDefault="00B57771">
            <w:pPr>
              <w:pStyle w:val="List"/>
              <w:tabs>
                <w:tab w:val="left" w:pos="360"/>
              </w:tabs>
              <w:spacing w:before="0" w:line="280" w:lineRule="exact"/>
              <w:ind w:left="0" w:firstLine="0"/>
              <w:jc w:val="both"/>
              <w:rPr>
                <w:rFonts w:ascii="Arial" w:hAnsi="Arial"/>
              </w:rPr>
            </w:pPr>
            <w:r>
              <w:rPr>
                <w:rFonts w:ascii="Arial" w:hAnsi="Arial"/>
              </w:rPr>
              <w:t>250,000</w:t>
            </w:r>
          </w:p>
        </w:tc>
        <w:tc>
          <w:tcPr>
            <w:tcW w:w="2394" w:type="dxa"/>
          </w:tcPr>
          <w:p w:rsidR="00640E94" w:rsidRDefault="00B57771" w:rsidP="00B57771">
            <w:pPr>
              <w:pStyle w:val="List"/>
              <w:tabs>
                <w:tab w:val="left" w:pos="360"/>
              </w:tabs>
              <w:spacing w:before="0" w:line="280" w:lineRule="exact"/>
              <w:ind w:left="0" w:firstLine="0"/>
              <w:jc w:val="both"/>
              <w:rPr>
                <w:rFonts w:ascii="Arial" w:hAnsi="Arial"/>
              </w:rPr>
            </w:pPr>
            <w:r>
              <w:rPr>
                <w:rFonts w:ascii="Arial" w:hAnsi="Arial"/>
              </w:rPr>
              <w:t>Issued at $0.40 Dec 30/19 for $100,000</w:t>
            </w:r>
          </w:p>
        </w:tc>
        <w:tc>
          <w:tcPr>
            <w:tcW w:w="2394" w:type="dxa"/>
          </w:tcPr>
          <w:p w:rsidR="00640E94" w:rsidRDefault="005A70B1">
            <w:pPr>
              <w:pStyle w:val="List"/>
              <w:tabs>
                <w:tab w:val="left" w:pos="360"/>
              </w:tabs>
              <w:spacing w:before="0" w:line="280" w:lineRule="exact"/>
              <w:ind w:left="0" w:firstLine="0"/>
              <w:jc w:val="both"/>
              <w:rPr>
                <w:rFonts w:ascii="Arial" w:hAnsi="Arial"/>
              </w:rPr>
            </w:pPr>
            <w:r>
              <w:rPr>
                <w:rFonts w:ascii="Arial" w:hAnsi="Arial"/>
              </w:rPr>
              <w:t>E</w:t>
            </w:r>
            <w:r w:rsidR="00B57771">
              <w:rPr>
                <w:rFonts w:ascii="Arial" w:hAnsi="Arial"/>
              </w:rPr>
              <w:t>xploration of Comstock Property</w:t>
            </w: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C33F4" w:rsidRPr="004C33F4" w:rsidRDefault="004C33F4" w:rsidP="004C33F4">
      <w:pPr>
        <w:pStyle w:val="List"/>
        <w:keepNext/>
        <w:keepLines/>
        <w:spacing w:before="120"/>
        <w:ind w:left="720" w:firstLine="0"/>
        <w:jc w:val="both"/>
        <w:rPr>
          <w:rFonts w:ascii="Arial" w:hAnsi="Arial"/>
          <w:b/>
        </w:rPr>
      </w:pPr>
      <w:r w:rsidRPr="004C33F4">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33F4" w:rsidRPr="004C33F4" w:rsidRDefault="004C33F4" w:rsidP="004C33F4">
      <w:pPr>
        <w:pStyle w:val="List"/>
        <w:keepNext/>
        <w:keepLines/>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4C33F4">
      <w:pPr>
        <w:pStyle w:val="BodyText"/>
        <w:tabs>
          <w:tab w:val="left" w:pos="4680"/>
          <w:tab w:val="left" w:pos="7200"/>
        </w:tabs>
        <w:spacing w:before="480"/>
        <w:jc w:val="both"/>
        <w:rPr>
          <w:rFonts w:ascii="Arial" w:hAnsi="Arial"/>
        </w:rPr>
      </w:pPr>
      <w:r w:rsidRPr="004C33F4">
        <w:rPr>
          <w:rFonts w:ascii="Arial" w:hAnsi="Arial"/>
          <w:noProof/>
          <w:lang w:val="en-CA" w:eastAsia="en-CA"/>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">
                <v:textbox style="mso-fit-shape-to-text:t">
                  <w:txbxContent>
                    <w:p w:rsidR="004C33F4" w:rsidRDefault="004C33F4"/>
                  </w:txbxContent>
                </v:textbox>
              </v:shape>
            </w:pict>
          </mc:Fallback>
        </mc:AlternateContent>
      </w:r>
      <w:r w:rsidRPr="004C33F4">
        <w:rPr>
          <w:rFonts w:ascii="Arial" w:hAnsi="Arial"/>
          <w:noProof/>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4C33F4" w:rsidRDefault="004C33F4"/>
                  </w:txbxContent>
                </v:textbox>
              </v:shape>
            </w:pict>
          </mc:Fallback>
        </mc:AlternateContent>
      </w:r>
      <w:r w:rsidR="00640E94">
        <w:rPr>
          <w:rFonts w:ascii="Arial" w:hAnsi="Arial"/>
        </w:rPr>
        <w:t xml:space="preserve">Dated </w:t>
      </w:r>
      <w:r w:rsidR="008C649C">
        <w:rPr>
          <w:rFonts w:ascii="Arial" w:hAnsi="Arial"/>
        </w:rPr>
        <w:t>January 10, 2020</w:t>
      </w:r>
    </w:p>
    <w:p w:rsidR="00640E94" w:rsidRDefault="00640E94" w:rsidP="004C33F4">
      <w:pPr>
        <w:pStyle w:val="List"/>
        <w:tabs>
          <w:tab w:val="left" w:pos="9180"/>
        </w:tabs>
        <w:ind w:left="5760" w:hanging="5760"/>
        <w:rPr>
          <w:rFonts w:ascii="Arial" w:hAnsi="Arial"/>
        </w:rPr>
      </w:pPr>
      <w:r>
        <w:rPr>
          <w:rFonts w:ascii="Arial" w:hAnsi="Arial"/>
        </w:rPr>
        <w:tab/>
      </w:r>
      <w:r w:rsidR="004C33F4" w:rsidRPr="004C33F4">
        <w:rPr>
          <w:rFonts w:ascii="Arial" w:hAnsi="Arial"/>
          <w:u w:val="single"/>
        </w:rPr>
        <w:t xml:space="preserve">Howard </w:t>
      </w:r>
      <w:r w:rsidR="003845CD">
        <w:rPr>
          <w:rFonts w:ascii="Arial" w:hAnsi="Arial"/>
          <w:u w:val="single"/>
        </w:rPr>
        <w:t xml:space="preserve">D. </w:t>
      </w:r>
      <w:r w:rsidR="004C33F4" w:rsidRPr="004C33F4">
        <w:rPr>
          <w:rFonts w:ascii="Arial" w:hAnsi="Arial"/>
          <w:u w:val="single"/>
        </w:rPr>
        <w:t xml:space="preserve">Milne </w:t>
      </w:r>
      <w:r w:rsidR="004C33F4">
        <w:rPr>
          <w:rFonts w:ascii="Arial" w:hAnsi="Arial"/>
        </w:rPr>
        <w:t xml:space="preserve">                           </w:t>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61520" w:rsidRPr="00361520">
        <w:rPr>
          <w:rFonts w:ascii="Arial" w:hAnsi="Arial"/>
          <w:u w:val="single"/>
        </w:rPr>
        <w:t>“</w:t>
      </w:r>
      <w:r w:rsidR="00361520" w:rsidRPr="00361520">
        <w:rPr>
          <w:rFonts w:ascii="Arial" w:hAnsi="Arial"/>
          <w:i/>
          <w:u w:val="single"/>
        </w:rPr>
        <w:t>H. D. Milne”</w:t>
      </w:r>
      <w:r>
        <w:rPr>
          <w:rFonts w:ascii="Arial" w:hAnsi="Arial"/>
          <w:u w:val="single"/>
        </w:rPr>
        <w:tab/>
      </w:r>
      <w:r>
        <w:rPr>
          <w:rFonts w:ascii="Arial" w:hAnsi="Arial"/>
        </w:rPr>
        <w:br/>
        <w:t>Signature</w:t>
      </w:r>
    </w:p>
    <w:p w:rsidR="00640E94" w:rsidRDefault="004C33F4">
      <w:pPr>
        <w:pStyle w:val="BodyText"/>
        <w:tabs>
          <w:tab w:val="left" w:pos="9180"/>
        </w:tabs>
        <w:spacing w:before="0"/>
        <w:ind w:left="5760"/>
        <w:rPr>
          <w:rFonts w:ascii="Arial" w:hAnsi="Arial"/>
        </w:rPr>
      </w:pPr>
      <w:r>
        <w:rPr>
          <w:rFonts w:ascii="Arial" w:hAnsi="Arial"/>
          <w:u w:val="single"/>
        </w:rPr>
        <w:t>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4C33F4" w:rsidRDefault="004C33F4">
            <w:pPr>
              <w:pStyle w:val="BodyText"/>
              <w:rPr>
                <w:rFonts w:ascii="Arial" w:hAnsi="Arial"/>
                <w:b/>
              </w:rPr>
            </w:pPr>
            <w:r w:rsidRPr="004C33F4">
              <w:rPr>
                <w:rFonts w:ascii="Arial" w:hAnsi="Arial"/>
                <w:b/>
              </w:rPr>
              <w:t>LODGE RESOURCES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4C33F4" w:rsidRDefault="004C33F4">
            <w:pPr>
              <w:pStyle w:val="BodyText"/>
              <w:spacing w:before="0"/>
              <w:rPr>
                <w:rFonts w:ascii="Arial" w:hAnsi="Arial"/>
              </w:rPr>
            </w:pPr>
            <w:r>
              <w:rPr>
                <w:rFonts w:ascii="Arial" w:hAnsi="Arial"/>
              </w:rPr>
              <w:t>November 2019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4C33F4" w:rsidRDefault="008C649C">
            <w:pPr>
              <w:pStyle w:val="BodyText"/>
              <w:spacing w:before="0"/>
              <w:rPr>
                <w:rFonts w:ascii="Arial" w:hAnsi="Arial"/>
              </w:rPr>
            </w:pPr>
            <w:r>
              <w:rPr>
                <w:rFonts w:ascii="Arial" w:hAnsi="Arial"/>
              </w:rPr>
              <w:t>20/01/10</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4C33F4">
            <w:pPr>
              <w:pStyle w:val="BodyText"/>
              <w:spacing w:before="0"/>
              <w:rPr>
                <w:rFonts w:ascii="Arial" w:hAnsi="Arial"/>
              </w:rPr>
            </w:pPr>
            <w:r>
              <w:rPr>
                <w:rFonts w:ascii="Arial" w:hAnsi="Arial"/>
              </w:rPr>
              <w:t>1510- 789 West Pender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4C33F4">
            <w:pPr>
              <w:pStyle w:val="BodyText"/>
              <w:spacing w:before="0"/>
              <w:rPr>
                <w:rFonts w:ascii="Arial" w:hAnsi="Arial"/>
              </w:rPr>
            </w:pPr>
            <w:r>
              <w:rPr>
                <w:rFonts w:ascii="Arial" w:hAnsi="Arial"/>
              </w:rPr>
              <w:t>Vancouver, BC V6C 1H2</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4C33F4">
            <w:pPr>
              <w:pStyle w:val="BodyText"/>
              <w:spacing w:before="0"/>
              <w:rPr>
                <w:rFonts w:ascii="Arial" w:hAnsi="Arial"/>
              </w:rPr>
            </w:pPr>
            <w:r>
              <w:rPr>
                <w:rFonts w:ascii="Arial" w:hAnsi="Arial"/>
              </w:rPr>
              <w:t>(</w:t>
            </w:r>
            <w:r w:rsidR="004C33F4">
              <w:rPr>
                <w:rFonts w:ascii="Arial" w:hAnsi="Arial"/>
              </w:rPr>
              <w:t>604</w:t>
            </w:r>
            <w:r>
              <w:rPr>
                <w:rFonts w:ascii="Arial" w:hAnsi="Arial"/>
              </w:rPr>
              <w:t>)</w:t>
            </w:r>
            <w:r w:rsidR="004C33F4">
              <w:rPr>
                <w:rFonts w:ascii="Arial" w:hAnsi="Arial"/>
              </w:rPr>
              <w:t xml:space="preserve"> 377-8994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4C33F4">
            <w:pPr>
              <w:pStyle w:val="BodyText"/>
              <w:spacing w:before="0"/>
              <w:rPr>
                <w:rFonts w:ascii="Arial" w:hAnsi="Arial"/>
              </w:rPr>
            </w:pPr>
            <w:r>
              <w:rPr>
                <w:rFonts w:ascii="Arial" w:hAnsi="Arial"/>
              </w:rPr>
              <w:t>Howard Milne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4C33F4" w:rsidRDefault="004C33F4">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4C33F4" w:rsidRDefault="004C33F4">
            <w:pPr>
              <w:pStyle w:val="BodyText"/>
              <w:spacing w:before="0"/>
              <w:rPr>
                <w:rFonts w:ascii="Arial" w:hAnsi="Arial"/>
              </w:rPr>
            </w:pPr>
            <w:r>
              <w:rPr>
                <w:rFonts w:ascii="Arial" w:hAnsi="Arial"/>
              </w:rPr>
              <w:t>(604) 377-8994</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4C33F4">
            <w:pPr>
              <w:pStyle w:val="BodyText"/>
              <w:spacing w:before="0"/>
              <w:rPr>
                <w:rFonts w:ascii="Arial" w:hAnsi="Arial"/>
              </w:rPr>
            </w:pPr>
            <w:r>
              <w:rPr>
                <w:rFonts w:ascii="Arial" w:hAnsi="Arial"/>
              </w:rPr>
              <w:t>hdmcap@shaw.ca</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4C33F4">
            <w:pPr>
              <w:pStyle w:val="BodyText"/>
              <w:spacing w:before="0"/>
              <w:rPr>
                <w:rFonts w:ascii="Arial" w:hAnsi="Arial"/>
              </w:rPr>
            </w:pPr>
            <w:r>
              <w:rPr>
                <w:rFonts w:ascii="Arial" w:hAnsi="Arial"/>
              </w:rPr>
              <w:t>www.lodgeresourcesinc.com</w:t>
            </w: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76" w:rsidRDefault="00762676">
      <w:r>
        <w:separator/>
      </w:r>
    </w:p>
  </w:endnote>
  <w:endnote w:type="continuationSeparator" w:id="0">
    <w:p w:rsidR="00762676" w:rsidRDefault="0076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B1506">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76" w:rsidRDefault="00762676">
      <w:r>
        <w:separator/>
      </w:r>
    </w:p>
  </w:footnote>
  <w:footnote w:type="continuationSeparator" w:id="0">
    <w:p w:rsidR="00762676" w:rsidRDefault="0076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5256"/>
    <w:rsid w:val="001E3E8F"/>
    <w:rsid w:val="002C281E"/>
    <w:rsid w:val="002F00EB"/>
    <w:rsid w:val="00361520"/>
    <w:rsid w:val="003669A9"/>
    <w:rsid w:val="00371A64"/>
    <w:rsid w:val="003845CD"/>
    <w:rsid w:val="00387FA8"/>
    <w:rsid w:val="003B1506"/>
    <w:rsid w:val="003D7651"/>
    <w:rsid w:val="004C33F4"/>
    <w:rsid w:val="004D36AB"/>
    <w:rsid w:val="005453C8"/>
    <w:rsid w:val="005A70B1"/>
    <w:rsid w:val="005F6D8F"/>
    <w:rsid w:val="00620E7F"/>
    <w:rsid w:val="00633ED3"/>
    <w:rsid w:val="00635E9A"/>
    <w:rsid w:val="00640E94"/>
    <w:rsid w:val="006D1A06"/>
    <w:rsid w:val="00762676"/>
    <w:rsid w:val="008B7E92"/>
    <w:rsid w:val="008C649C"/>
    <w:rsid w:val="00922A46"/>
    <w:rsid w:val="00A17656"/>
    <w:rsid w:val="00A47914"/>
    <w:rsid w:val="00B01EF0"/>
    <w:rsid w:val="00B47B70"/>
    <w:rsid w:val="00B57771"/>
    <w:rsid w:val="00C27A18"/>
    <w:rsid w:val="00C6383E"/>
    <w:rsid w:val="00E36141"/>
    <w:rsid w:val="00E83E58"/>
    <w:rsid w:val="00F1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 Mathiesen</cp:lastModifiedBy>
  <cp:revision>2</cp:revision>
  <cp:lastPrinted>2019-12-06T05:22:00Z</cp:lastPrinted>
  <dcterms:created xsi:type="dcterms:W3CDTF">2020-01-10T21:40:00Z</dcterms:created>
  <dcterms:modified xsi:type="dcterms:W3CDTF">2020-01-10T21:40:00Z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