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3F00" w14:textId="77777777" w:rsidR="00680FFA" w:rsidRPr="00D143A2" w:rsidRDefault="000B2AE9" w:rsidP="00D143A2">
      <w:pPr>
        <w:jc w:val="center"/>
        <w:rPr>
          <w:rFonts w:ascii="Arial" w:hAnsi="Arial" w:cs="Arial"/>
          <w:b/>
        </w:rPr>
      </w:pPr>
      <w:r w:rsidRPr="00D143A2">
        <w:rPr>
          <w:rFonts w:ascii="Arial" w:hAnsi="Arial" w:cs="Arial"/>
          <w:b/>
          <w:noProof/>
          <w:lang w:val="en-GB" w:eastAsia="en-GB" w:bidi="ar-SA"/>
        </w:rPr>
        <w:drawing>
          <wp:inline distT="0" distB="0" distL="0" distR="0" wp14:anchorId="5288C3B2" wp14:editId="63C86F8F">
            <wp:extent cx="4991100" cy="1123950"/>
            <wp:effectExtent l="0" t="0" r="0" b="0"/>
            <wp:docPr id="1" name="Picture 1" descr="LION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ON LOGO 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1100" cy="1123950"/>
                    </a:xfrm>
                    <a:prstGeom prst="rect">
                      <a:avLst/>
                    </a:prstGeom>
                    <a:noFill/>
                    <a:ln>
                      <a:noFill/>
                    </a:ln>
                  </pic:spPr>
                </pic:pic>
              </a:graphicData>
            </a:graphic>
          </wp:inline>
        </w:drawing>
      </w:r>
    </w:p>
    <w:p w14:paraId="46ECCEF9" w14:textId="77777777" w:rsidR="00680FFA" w:rsidRPr="00D143A2" w:rsidRDefault="00680FFA" w:rsidP="00D143A2">
      <w:pPr>
        <w:rPr>
          <w:rFonts w:ascii="Arial" w:hAnsi="Arial" w:cs="Arial"/>
          <w:b/>
        </w:rPr>
      </w:pPr>
    </w:p>
    <w:p w14:paraId="05CCF67C" w14:textId="77777777" w:rsidR="00CF4332" w:rsidRDefault="00CF4332" w:rsidP="00D143A2">
      <w:pPr>
        <w:jc w:val="center"/>
        <w:rPr>
          <w:rFonts w:ascii="Arial" w:hAnsi="Arial" w:cs="Arial"/>
          <w:b/>
          <w:sz w:val="20"/>
          <w:szCs w:val="20"/>
        </w:rPr>
      </w:pPr>
      <w:r w:rsidRPr="00D143A2">
        <w:rPr>
          <w:rFonts w:ascii="Arial" w:hAnsi="Arial" w:cs="Arial"/>
          <w:sz w:val="20"/>
          <w:szCs w:val="20"/>
        </w:rPr>
        <w:t>908 – 510 Burrard Street</w:t>
      </w:r>
      <w:r w:rsidRPr="00D143A2">
        <w:rPr>
          <w:rFonts w:ascii="Arial" w:hAnsi="Arial" w:cs="Arial"/>
          <w:sz w:val="20"/>
          <w:szCs w:val="20"/>
        </w:rPr>
        <w:br/>
        <w:t>Vancouver</w:t>
      </w:r>
      <w:r w:rsidR="00D143A2">
        <w:rPr>
          <w:rFonts w:ascii="Arial" w:hAnsi="Arial" w:cs="Arial"/>
          <w:sz w:val="20"/>
          <w:szCs w:val="20"/>
        </w:rPr>
        <w:t>,</w:t>
      </w:r>
      <w:r w:rsidRPr="00D143A2">
        <w:rPr>
          <w:rFonts w:ascii="Arial" w:hAnsi="Arial" w:cs="Arial"/>
          <w:sz w:val="20"/>
          <w:szCs w:val="20"/>
        </w:rPr>
        <w:t xml:space="preserve"> B.C.  V6C 3A8</w:t>
      </w:r>
      <w:r w:rsidRPr="00D143A2">
        <w:rPr>
          <w:rFonts w:ascii="Arial" w:hAnsi="Arial" w:cs="Arial"/>
          <w:sz w:val="20"/>
          <w:szCs w:val="20"/>
        </w:rPr>
        <w:br/>
      </w:r>
    </w:p>
    <w:p w14:paraId="304624F8" w14:textId="364AF6D3" w:rsidR="005E660C" w:rsidRPr="005E660C" w:rsidRDefault="005E660C" w:rsidP="00D143A2">
      <w:pPr>
        <w:jc w:val="center"/>
        <w:rPr>
          <w:rFonts w:ascii="Calibri" w:eastAsia="Calibri" w:hAnsi="Calibri" w:cs="Times New Roman"/>
          <w:i/>
          <w:iCs/>
          <w:kern w:val="2"/>
          <w:sz w:val="22"/>
          <w:szCs w:val="22"/>
          <w:lang w:val="en-US" w:eastAsia="en-US" w:bidi="ar-SA"/>
          <w14:ligatures w14:val="standardContextual"/>
        </w:rPr>
      </w:pPr>
      <w:r w:rsidRPr="005E660C">
        <w:rPr>
          <w:rFonts w:ascii="Calibri" w:eastAsia="Calibri" w:hAnsi="Calibri" w:cs="Times New Roman"/>
          <w:i/>
          <w:iCs/>
          <w:kern w:val="2"/>
          <w:sz w:val="22"/>
          <w:szCs w:val="22"/>
          <w:lang w:val="en-US" w:eastAsia="en-US" w:bidi="ar-SA"/>
          <w14:ligatures w14:val="standardContextual"/>
        </w:rPr>
        <w:t>NOT FOR DISSEMINATION IN THE UNITED STATES OR FOR DISTRIBUTION TO U.S. WIRE. SERVICES</w:t>
      </w:r>
    </w:p>
    <w:p w14:paraId="02199A0E" w14:textId="77777777" w:rsidR="005E660C" w:rsidRPr="00D143A2" w:rsidRDefault="005E660C" w:rsidP="00D143A2">
      <w:pPr>
        <w:jc w:val="center"/>
        <w:rPr>
          <w:rFonts w:ascii="Arial" w:hAnsi="Arial" w:cs="Arial"/>
          <w:b/>
          <w:sz w:val="20"/>
          <w:szCs w:val="20"/>
        </w:rPr>
      </w:pPr>
    </w:p>
    <w:p w14:paraId="257985B2" w14:textId="0475A788" w:rsidR="005A1A7A" w:rsidRPr="005E660C" w:rsidRDefault="005A1A7A" w:rsidP="005A1A7A">
      <w:pPr>
        <w:widowControl/>
        <w:suppressAutoHyphens w:val="0"/>
        <w:autoSpaceDE w:val="0"/>
        <w:autoSpaceDN w:val="0"/>
        <w:adjustRightInd w:val="0"/>
        <w:jc w:val="center"/>
        <w:rPr>
          <w:rFonts w:ascii="Calibri" w:eastAsia="Calibri" w:hAnsi="Calibri" w:cs="Calibri"/>
          <w:b/>
          <w:bCs/>
          <w:color w:val="000000"/>
          <w:kern w:val="0"/>
          <w:sz w:val="22"/>
          <w:szCs w:val="22"/>
          <w:u w:val="single"/>
          <w:lang w:eastAsia="en-US" w:bidi="ar-SA"/>
        </w:rPr>
      </w:pPr>
      <w:r w:rsidRPr="005E660C">
        <w:rPr>
          <w:rFonts w:ascii="Calibri" w:eastAsia="Calibri" w:hAnsi="Calibri" w:cs="Calibri"/>
          <w:b/>
          <w:bCs/>
          <w:kern w:val="0"/>
          <w:sz w:val="22"/>
          <w:szCs w:val="22"/>
          <w:u w:val="single"/>
          <w:lang w:eastAsia="en-US" w:bidi="ar-SA"/>
        </w:rPr>
        <w:t xml:space="preserve">Global Li-Ion </w:t>
      </w:r>
      <w:r w:rsidRPr="005E660C">
        <w:rPr>
          <w:rFonts w:ascii="Calibri" w:eastAsia="Calibri" w:hAnsi="Calibri" w:cs="Calibri"/>
          <w:b/>
          <w:bCs/>
          <w:color w:val="000000"/>
          <w:kern w:val="0"/>
          <w:sz w:val="22"/>
          <w:szCs w:val="22"/>
          <w:u w:val="single"/>
          <w:lang w:eastAsia="en-US" w:bidi="ar-SA"/>
        </w:rPr>
        <w:t xml:space="preserve">Announces </w:t>
      </w:r>
      <w:r w:rsidR="002116E3">
        <w:rPr>
          <w:rFonts w:ascii="Calibri" w:eastAsia="Calibri" w:hAnsi="Calibri" w:cs="Calibri"/>
          <w:b/>
          <w:bCs/>
          <w:color w:val="000000"/>
          <w:kern w:val="0"/>
          <w:sz w:val="22"/>
          <w:szCs w:val="22"/>
          <w:u w:val="single"/>
          <w:lang w:eastAsia="en-US" w:bidi="ar-SA"/>
        </w:rPr>
        <w:t>Closing of Private Placement</w:t>
      </w:r>
    </w:p>
    <w:p w14:paraId="2318A63A" w14:textId="5277E7C3" w:rsidR="00F15CD7" w:rsidRPr="005E660C" w:rsidRDefault="00F15CD7" w:rsidP="00D143A2">
      <w:pPr>
        <w:jc w:val="center"/>
        <w:rPr>
          <w:rFonts w:ascii="Arial" w:hAnsi="Arial" w:cs="Arial"/>
          <w:i/>
          <w:sz w:val="22"/>
          <w:szCs w:val="22"/>
        </w:rPr>
      </w:pPr>
    </w:p>
    <w:p w14:paraId="50FD79FA" w14:textId="64CF48BA" w:rsidR="00B250AC" w:rsidRDefault="00F30C01" w:rsidP="00527E25">
      <w:pPr>
        <w:jc w:val="both"/>
        <w:rPr>
          <w:rFonts w:ascii="Calibri" w:eastAsia="Calibri" w:hAnsi="Calibri" w:cs="Times New Roman"/>
          <w:kern w:val="2"/>
          <w:sz w:val="22"/>
          <w:szCs w:val="22"/>
          <w:lang w:val="en-US" w:eastAsia="en-US" w:bidi="ar-SA"/>
          <w14:ligatures w14:val="standardContextual"/>
        </w:rPr>
      </w:pPr>
      <w:r w:rsidRPr="005E660C">
        <w:rPr>
          <w:rFonts w:asciiTheme="minorHAnsi" w:hAnsiTheme="minorHAnsi" w:cstheme="minorHAnsi"/>
          <w:b/>
          <w:sz w:val="22"/>
          <w:szCs w:val="22"/>
        </w:rPr>
        <w:t>LION</w:t>
      </w:r>
      <w:r w:rsidRPr="005E660C">
        <w:rPr>
          <w:rFonts w:asciiTheme="minorHAnsi" w:hAnsiTheme="minorHAnsi" w:cstheme="minorHAnsi"/>
          <w:sz w:val="22"/>
          <w:szCs w:val="22"/>
        </w:rPr>
        <w:t xml:space="preserve"> CSE</w:t>
      </w:r>
      <w:r w:rsidRPr="005E660C">
        <w:rPr>
          <w:rFonts w:asciiTheme="minorHAnsi" w:hAnsiTheme="minorHAnsi" w:cstheme="minorHAnsi"/>
          <w:sz w:val="22"/>
          <w:szCs w:val="22"/>
        </w:rPr>
        <w:tab/>
      </w:r>
      <w:r w:rsidRPr="005E660C">
        <w:rPr>
          <w:rFonts w:asciiTheme="minorHAnsi" w:hAnsiTheme="minorHAnsi" w:cstheme="minorHAnsi"/>
          <w:sz w:val="22"/>
          <w:szCs w:val="22"/>
        </w:rPr>
        <w:tab/>
      </w:r>
      <w:r w:rsidRPr="005E660C">
        <w:rPr>
          <w:rFonts w:asciiTheme="minorHAnsi" w:hAnsiTheme="minorHAnsi" w:cstheme="minorHAnsi"/>
          <w:sz w:val="22"/>
          <w:szCs w:val="22"/>
        </w:rPr>
        <w:tab/>
      </w:r>
      <w:r w:rsidRPr="005E660C">
        <w:rPr>
          <w:rFonts w:asciiTheme="minorHAnsi" w:hAnsiTheme="minorHAnsi" w:cstheme="minorHAnsi"/>
          <w:sz w:val="22"/>
          <w:szCs w:val="22"/>
        </w:rPr>
        <w:tab/>
      </w:r>
      <w:r w:rsidRPr="005E660C">
        <w:rPr>
          <w:rFonts w:asciiTheme="minorHAnsi" w:hAnsiTheme="minorHAnsi" w:cstheme="minorHAnsi"/>
          <w:sz w:val="22"/>
          <w:szCs w:val="22"/>
        </w:rPr>
        <w:tab/>
      </w:r>
      <w:r w:rsidR="00EF635C" w:rsidRPr="005E660C">
        <w:rPr>
          <w:rFonts w:asciiTheme="minorHAnsi" w:hAnsiTheme="minorHAnsi" w:cstheme="minorHAnsi"/>
          <w:b/>
          <w:sz w:val="22"/>
          <w:szCs w:val="22"/>
        </w:rPr>
        <w:t>GBBGF</w:t>
      </w:r>
      <w:r w:rsidR="00EF635C" w:rsidRPr="005E660C">
        <w:rPr>
          <w:rFonts w:asciiTheme="minorHAnsi" w:hAnsiTheme="minorHAnsi" w:cstheme="minorHAnsi"/>
          <w:sz w:val="22"/>
          <w:szCs w:val="22"/>
        </w:rPr>
        <w:t>. OTCQB</w:t>
      </w:r>
      <w:r w:rsidRPr="005E660C">
        <w:rPr>
          <w:rFonts w:asciiTheme="minorHAnsi" w:hAnsiTheme="minorHAnsi" w:cstheme="minorHAnsi"/>
          <w:sz w:val="22"/>
          <w:szCs w:val="22"/>
        </w:rPr>
        <w:tab/>
      </w:r>
      <w:r w:rsidRPr="005E660C">
        <w:rPr>
          <w:rFonts w:asciiTheme="minorHAnsi" w:hAnsiTheme="minorHAnsi" w:cstheme="minorHAnsi"/>
          <w:sz w:val="22"/>
          <w:szCs w:val="22"/>
        </w:rPr>
        <w:tab/>
      </w:r>
      <w:r w:rsidR="00653FBA" w:rsidRPr="005E660C">
        <w:rPr>
          <w:rFonts w:asciiTheme="minorHAnsi" w:hAnsiTheme="minorHAnsi" w:cstheme="minorHAnsi"/>
          <w:sz w:val="22"/>
          <w:szCs w:val="22"/>
        </w:rPr>
        <w:tab/>
      </w:r>
      <w:r w:rsidR="00EF635C" w:rsidRPr="005E660C">
        <w:rPr>
          <w:rFonts w:asciiTheme="minorHAnsi" w:hAnsiTheme="minorHAnsi" w:cstheme="minorHAnsi"/>
          <w:sz w:val="22"/>
          <w:szCs w:val="22"/>
        </w:rPr>
        <w:tab/>
      </w:r>
      <w:r w:rsidR="00653FBA" w:rsidRPr="005E660C">
        <w:rPr>
          <w:rFonts w:asciiTheme="minorHAnsi" w:hAnsiTheme="minorHAnsi" w:cstheme="minorHAnsi"/>
          <w:b/>
          <w:sz w:val="22"/>
          <w:szCs w:val="22"/>
        </w:rPr>
        <w:t xml:space="preserve">0TD. </w:t>
      </w:r>
      <w:r w:rsidR="00653FBA" w:rsidRPr="005E660C">
        <w:rPr>
          <w:rFonts w:asciiTheme="minorHAnsi" w:hAnsiTheme="minorHAnsi" w:cstheme="minorHAnsi"/>
          <w:sz w:val="22"/>
          <w:szCs w:val="22"/>
        </w:rPr>
        <w:t xml:space="preserve">F </w:t>
      </w:r>
      <w:r w:rsidR="00680FFA" w:rsidRPr="005E660C">
        <w:rPr>
          <w:rFonts w:asciiTheme="minorHAnsi" w:hAnsiTheme="minorHAnsi" w:cstheme="minorHAnsi"/>
          <w:b/>
          <w:sz w:val="22"/>
          <w:szCs w:val="22"/>
        </w:rPr>
        <w:t>Vancouver</w:t>
      </w:r>
      <w:r w:rsidR="00D143A2" w:rsidRPr="005E660C">
        <w:rPr>
          <w:rFonts w:asciiTheme="minorHAnsi" w:hAnsiTheme="minorHAnsi" w:cstheme="minorHAnsi"/>
          <w:b/>
          <w:sz w:val="22"/>
          <w:szCs w:val="22"/>
        </w:rPr>
        <w:t>,</w:t>
      </w:r>
      <w:r w:rsidR="00680FFA" w:rsidRPr="005E660C">
        <w:rPr>
          <w:rFonts w:asciiTheme="minorHAnsi" w:hAnsiTheme="minorHAnsi" w:cstheme="minorHAnsi"/>
          <w:b/>
          <w:sz w:val="22"/>
          <w:szCs w:val="22"/>
        </w:rPr>
        <w:t xml:space="preserve"> British Columbia</w:t>
      </w:r>
      <w:r w:rsidR="00D143A2" w:rsidRPr="005E660C">
        <w:rPr>
          <w:rFonts w:asciiTheme="minorHAnsi" w:hAnsiTheme="minorHAnsi" w:cstheme="minorHAnsi"/>
          <w:b/>
          <w:sz w:val="22"/>
          <w:szCs w:val="22"/>
        </w:rPr>
        <w:t>,</w:t>
      </w:r>
      <w:r w:rsidR="00680FFA" w:rsidRPr="005E660C">
        <w:rPr>
          <w:rFonts w:asciiTheme="minorHAnsi" w:hAnsiTheme="minorHAnsi" w:cstheme="minorHAnsi"/>
          <w:b/>
          <w:sz w:val="22"/>
          <w:szCs w:val="22"/>
        </w:rPr>
        <w:t xml:space="preserve"> Canada </w:t>
      </w:r>
      <w:r w:rsidR="00393289" w:rsidRPr="005E660C">
        <w:rPr>
          <w:rFonts w:asciiTheme="minorHAnsi" w:hAnsiTheme="minorHAnsi" w:cstheme="minorHAnsi"/>
          <w:b/>
          <w:sz w:val="22"/>
          <w:szCs w:val="22"/>
        </w:rPr>
        <w:t>(</w:t>
      </w:r>
      <w:r w:rsidR="005A1A7A" w:rsidRPr="005E660C">
        <w:rPr>
          <w:rFonts w:asciiTheme="minorHAnsi" w:hAnsiTheme="minorHAnsi" w:cstheme="minorHAnsi"/>
          <w:b/>
          <w:sz w:val="22"/>
          <w:szCs w:val="22"/>
        </w:rPr>
        <w:t xml:space="preserve">April </w:t>
      </w:r>
      <w:r w:rsidR="004262D7">
        <w:rPr>
          <w:rFonts w:asciiTheme="minorHAnsi" w:hAnsiTheme="minorHAnsi" w:cstheme="minorHAnsi"/>
          <w:b/>
          <w:sz w:val="22"/>
          <w:szCs w:val="22"/>
        </w:rPr>
        <w:t>2</w:t>
      </w:r>
      <w:r w:rsidR="00F05429">
        <w:rPr>
          <w:rFonts w:asciiTheme="minorHAnsi" w:hAnsiTheme="minorHAnsi" w:cstheme="minorHAnsi"/>
          <w:b/>
          <w:sz w:val="22"/>
          <w:szCs w:val="22"/>
        </w:rPr>
        <w:t>1</w:t>
      </w:r>
      <w:r w:rsidR="00393289" w:rsidRPr="005E660C">
        <w:rPr>
          <w:rFonts w:asciiTheme="minorHAnsi" w:hAnsiTheme="minorHAnsi" w:cstheme="minorHAnsi"/>
          <w:b/>
          <w:sz w:val="22"/>
          <w:szCs w:val="22"/>
        </w:rPr>
        <w:t>, 2026</w:t>
      </w:r>
      <w:r w:rsidR="00F15CD7" w:rsidRPr="005E660C">
        <w:rPr>
          <w:rFonts w:asciiTheme="minorHAnsi" w:hAnsiTheme="minorHAnsi" w:cstheme="minorHAnsi"/>
          <w:b/>
          <w:sz w:val="22"/>
          <w:szCs w:val="22"/>
        </w:rPr>
        <w:t>) –</w:t>
      </w:r>
      <w:r w:rsidR="00F15CD7" w:rsidRPr="005E660C">
        <w:rPr>
          <w:rFonts w:asciiTheme="minorHAnsi" w:hAnsiTheme="minorHAnsi" w:cstheme="minorHAnsi"/>
          <w:sz w:val="22"/>
          <w:szCs w:val="22"/>
        </w:rPr>
        <w:t xml:space="preserve"> </w:t>
      </w:r>
      <w:r w:rsidR="00CF4332" w:rsidRPr="005E660C">
        <w:rPr>
          <w:rFonts w:asciiTheme="minorHAnsi" w:hAnsiTheme="minorHAnsi" w:cstheme="minorHAnsi"/>
          <w:sz w:val="22"/>
          <w:szCs w:val="22"/>
        </w:rPr>
        <w:t>Global Li-Ion Graphite Corp</w:t>
      </w:r>
      <w:r w:rsidR="00DD574E" w:rsidRPr="005E660C">
        <w:rPr>
          <w:rFonts w:asciiTheme="minorHAnsi" w:hAnsiTheme="minorHAnsi" w:cstheme="minorHAnsi"/>
          <w:sz w:val="22"/>
          <w:szCs w:val="22"/>
        </w:rPr>
        <w:t>.</w:t>
      </w:r>
      <w:r w:rsidR="00680FFA" w:rsidRPr="005E660C">
        <w:rPr>
          <w:rFonts w:asciiTheme="minorHAnsi" w:hAnsiTheme="minorHAnsi" w:cstheme="minorHAnsi"/>
          <w:sz w:val="22"/>
          <w:szCs w:val="22"/>
        </w:rPr>
        <w:t xml:space="preserve"> (</w:t>
      </w:r>
      <w:r w:rsidR="00D143A2" w:rsidRPr="005E660C">
        <w:rPr>
          <w:rFonts w:asciiTheme="minorHAnsi" w:hAnsiTheme="minorHAnsi" w:cstheme="minorHAnsi"/>
          <w:sz w:val="22"/>
          <w:szCs w:val="22"/>
        </w:rPr>
        <w:t>“</w:t>
      </w:r>
      <w:r w:rsidR="00CF4332" w:rsidRPr="005E660C">
        <w:rPr>
          <w:rFonts w:asciiTheme="minorHAnsi" w:hAnsiTheme="minorHAnsi" w:cstheme="minorHAnsi"/>
          <w:b/>
          <w:sz w:val="22"/>
          <w:szCs w:val="22"/>
        </w:rPr>
        <w:t>Global Li-Ion</w:t>
      </w:r>
      <w:r w:rsidR="00D143A2" w:rsidRPr="005E660C">
        <w:rPr>
          <w:rFonts w:asciiTheme="minorHAnsi" w:hAnsiTheme="minorHAnsi" w:cstheme="minorHAnsi"/>
          <w:sz w:val="22"/>
          <w:szCs w:val="22"/>
        </w:rPr>
        <w:t>”</w:t>
      </w:r>
      <w:r w:rsidR="00CF4332" w:rsidRPr="005E660C">
        <w:rPr>
          <w:rFonts w:asciiTheme="minorHAnsi" w:hAnsiTheme="minorHAnsi" w:cstheme="minorHAnsi"/>
          <w:sz w:val="22"/>
          <w:szCs w:val="22"/>
        </w:rPr>
        <w:t xml:space="preserve"> or</w:t>
      </w:r>
      <w:r w:rsidR="00D143A2" w:rsidRPr="005E660C">
        <w:rPr>
          <w:rFonts w:asciiTheme="minorHAnsi" w:hAnsiTheme="minorHAnsi" w:cstheme="minorHAnsi"/>
          <w:sz w:val="22"/>
          <w:szCs w:val="22"/>
        </w:rPr>
        <w:t>,</w:t>
      </w:r>
      <w:r w:rsidR="00CF4332" w:rsidRPr="005E660C">
        <w:rPr>
          <w:rFonts w:asciiTheme="minorHAnsi" w:hAnsiTheme="minorHAnsi" w:cstheme="minorHAnsi"/>
          <w:sz w:val="22"/>
          <w:szCs w:val="22"/>
        </w:rPr>
        <w:t xml:space="preserve"> </w:t>
      </w:r>
      <w:r w:rsidR="00680FFA" w:rsidRPr="005E660C">
        <w:rPr>
          <w:rFonts w:asciiTheme="minorHAnsi" w:hAnsiTheme="minorHAnsi" w:cstheme="minorHAnsi"/>
          <w:sz w:val="22"/>
          <w:szCs w:val="22"/>
        </w:rPr>
        <w:t xml:space="preserve">the </w:t>
      </w:r>
      <w:r w:rsidR="00D143A2" w:rsidRPr="005E660C">
        <w:rPr>
          <w:rFonts w:asciiTheme="minorHAnsi" w:hAnsiTheme="minorHAnsi" w:cstheme="minorHAnsi"/>
          <w:sz w:val="22"/>
          <w:szCs w:val="22"/>
        </w:rPr>
        <w:t>“</w:t>
      </w:r>
      <w:r w:rsidR="00680FFA" w:rsidRPr="005E660C">
        <w:rPr>
          <w:rFonts w:asciiTheme="minorHAnsi" w:hAnsiTheme="minorHAnsi" w:cstheme="minorHAnsi"/>
          <w:b/>
          <w:sz w:val="22"/>
          <w:szCs w:val="22"/>
        </w:rPr>
        <w:t>Company</w:t>
      </w:r>
      <w:r w:rsidR="00D143A2" w:rsidRPr="005E660C">
        <w:rPr>
          <w:rFonts w:asciiTheme="minorHAnsi" w:hAnsiTheme="minorHAnsi" w:cstheme="minorHAnsi"/>
          <w:sz w:val="22"/>
          <w:szCs w:val="22"/>
        </w:rPr>
        <w:t>”</w:t>
      </w:r>
      <w:r w:rsidR="00680FFA" w:rsidRPr="005E660C">
        <w:rPr>
          <w:rFonts w:asciiTheme="minorHAnsi" w:hAnsiTheme="minorHAnsi" w:cstheme="minorHAnsi"/>
          <w:sz w:val="22"/>
          <w:szCs w:val="22"/>
        </w:rPr>
        <w:t xml:space="preserve">) (CSE: </w:t>
      </w:r>
      <w:r w:rsidR="00CF4332" w:rsidRPr="005E660C">
        <w:rPr>
          <w:rFonts w:asciiTheme="minorHAnsi" w:hAnsiTheme="minorHAnsi" w:cstheme="minorHAnsi"/>
          <w:sz w:val="22"/>
          <w:szCs w:val="22"/>
        </w:rPr>
        <w:t>LION</w:t>
      </w:r>
      <w:r w:rsidR="00680FFA" w:rsidRPr="005E660C">
        <w:rPr>
          <w:rFonts w:asciiTheme="minorHAnsi" w:hAnsiTheme="minorHAnsi" w:cstheme="minorHAnsi"/>
          <w:sz w:val="22"/>
          <w:szCs w:val="22"/>
        </w:rPr>
        <w:t>)</w:t>
      </w:r>
      <w:r w:rsidR="00D81232" w:rsidRPr="005E660C">
        <w:rPr>
          <w:rFonts w:asciiTheme="minorHAnsi" w:hAnsiTheme="minorHAnsi" w:cstheme="minorHAnsi"/>
          <w:sz w:val="22"/>
          <w:szCs w:val="22"/>
        </w:rPr>
        <w:t xml:space="preserve"> </w:t>
      </w:r>
      <w:r w:rsidR="007D11B8" w:rsidRPr="005E660C">
        <w:rPr>
          <w:rFonts w:asciiTheme="minorHAnsi" w:eastAsia="Calibri" w:hAnsiTheme="minorHAnsi" w:cstheme="minorHAnsi"/>
          <w:kern w:val="2"/>
          <w:sz w:val="22"/>
          <w:szCs w:val="22"/>
          <w:lang w:val="en-US" w:eastAsia="en-US" w:bidi="ar-SA"/>
          <w14:ligatures w14:val="standardContextual"/>
        </w:rPr>
        <w:t xml:space="preserve">is pleased to announce </w:t>
      </w:r>
      <w:r w:rsidR="00405BE4">
        <w:rPr>
          <w:rFonts w:asciiTheme="minorHAnsi" w:eastAsia="Calibri" w:hAnsiTheme="minorHAnsi" w:cstheme="minorHAnsi"/>
          <w:kern w:val="2"/>
          <w:sz w:val="22"/>
          <w:szCs w:val="22"/>
          <w:lang w:val="en-US" w:eastAsia="en-US" w:bidi="ar-SA"/>
          <w14:ligatures w14:val="standardContextual"/>
        </w:rPr>
        <w:t xml:space="preserve">that it has closed </w:t>
      </w:r>
      <w:r w:rsidR="00F65557">
        <w:rPr>
          <w:rFonts w:asciiTheme="minorHAnsi" w:eastAsia="Calibri" w:hAnsiTheme="minorHAnsi" w:cstheme="minorHAnsi"/>
          <w:kern w:val="2"/>
          <w:sz w:val="22"/>
          <w:szCs w:val="22"/>
          <w:lang w:val="en-US" w:eastAsia="en-US" w:bidi="ar-SA"/>
          <w14:ligatures w14:val="standardContextual"/>
        </w:rPr>
        <w:t xml:space="preserve">the first tranche of its </w:t>
      </w:r>
      <w:r w:rsidR="00405BE4">
        <w:rPr>
          <w:rFonts w:asciiTheme="minorHAnsi" w:eastAsia="Calibri" w:hAnsiTheme="minorHAnsi" w:cstheme="minorHAnsi"/>
          <w:kern w:val="2"/>
          <w:sz w:val="22"/>
          <w:szCs w:val="22"/>
          <w:lang w:val="en-US" w:eastAsia="en-US" w:bidi="ar-SA"/>
          <w14:ligatures w14:val="standardContextual"/>
        </w:rPr>
        <w:t>previously announced</w:t>
      </w:r>
      <w:r w:rsidR="007D11B8" w:rsidRPr="005E660C">
        <w:rPr>
          <w:rFonts w:asciiTheme="minorHAnsi" w:eastAsia="Calibri" w:hAnsiTheme="minorHAnsi" w:cstheme="minorHAnsi"/>
          <w:kern w:val="2"/>
          <w:sz w:val="22"/>
          <w:szCs w:val="22"/>
          <w:lang w:val="en-US" w:eastAsia="en-US" w:bidi="ar-SA"/>
          <w14:ligatures w14:val="standardContextual"/>
        </w:rPr>
        <w:t xml:space="preserve"> non-brokered private</w:t>
      </w:r>
      <w:r w:rsidR="005E660C" w:rsidRPr="005E660C">
        <w:rPr>
          <w:rFonts w:asciiTheme="minorHAnsi" w:eastAsia="Calibri" w:hAnsiTheme="minorHAnsi" w:cstheme="minorHAnsi"/>
          <w:kern w:val="2"/>
          <w:sz w:val="22"/>
          <w:szCs w:val="22"/>
          <w:lang w:val="en-US" w:eastAsia="en-US" w:bidi="ar-SA"/>
          <w14:ligatures w14:val="standardContextual"/>
        </w:rPr>
        <w:t xml:space="preserve"> </w:t>
      </w:r>
      <w:r w:rsidR="007D11B8" w:rsidRPr="005E660C">
        <w:rPr>
          <w:rFonts w:asciiTheme="minorHAnsi" w:eastAsia="Calibri" w:hAnsiTheme="minorHAnsi" w:cstheme="minorHAnsi"/>
          <w:kern w:val="2"/>
          <w:sz w:val="22"/>
          <w:szCs w:val="22"/>
          <w:lang w:val="en-US" w:eastAsia="en-US" w:bidi="ar-SA"/>
          <w14:ligatures w14:val="standardContextual"/>
        </w:rPr>
        <w:t>placement (the “</w:t>
      </w:r>
      <w:r w:rsidR="007D11B8" w:rsidRPr="005E660C">
        <w:rPr>
          <w:rFonts w:asciiTheme="minorHAnsi" w:eastAsia="Calibri" w:hAnsiTheme="minorHAnsi" w:cstheme="minorHAnsi"/>
          <w:b/>
          <w:bCs/>
          <w:kern w:val="2"/>
          <w:sz w:val="22"/>
          <w:szCs w:val="22"/>
          <w:lang w:val="en-US" w:eastAsia="en-US" w:bidi="ar-SA"/>
          <w14:ligatures w14:val="standardContextual"/>
        </w:rPr>
        <w:t>Offering</w:t>
      </w:r>
      <w:r w:rsidR="007D11B8" w:rsidRPr="005E660C">
        <w:rPr>
          <w:rFonts w:asciiTheme="minorHAnsi" w:eastAsia="Calibri" w:hAnsiTheme="minorHAnsi" w:cstheme="minorHAnsi"/>
          <w:kern w:val="2"/>
          <w:sz w:val="22"/>
          <w:szCs w:val="22"/>
          <w:lang w:val="en-US" w:eastAsia="en-US" w:bidi="ar-SA"/>
          <w14:ligatures w14:val="standardContextual"/>
        </w:rPr>
        <w:t xml:space="preserve">”) of </w:t>
      </w:r>
      <w:r w:rsidR="004262D7">
        <w:rPr>
          <w:rFonts w:asciiTheme="minorHAnsi" w:eastAsia="Calibri" w:hAnsiTheme="minorHAnsi" w:cstheme="minorHAnsi"/>
          <w:kern w:val="2"/>
          <w:sz w:val="22"/>
          <w:szCs w:val="22"/>
          <w:lang w:val="en-US" w:eastAsia="en-US" w:bidi="ar-SA"/>
          <w14:ligatures w14:val="standardContextual"/>
        </w:rPr>
        <w:t>10,000</w:t>
      </w:r>
      <w:r w:rsidR="000E33B9">
        <w:rPr>
          <w:rFonts w:asciiTheme="minorHAnsi" w:eastAsia="Calibri" w:hAnsiTheme="minorHAnsi" w:cstheme="minorHAnsi"/>
          <w:kern w:val="2"/>
          <w:sz w:val="22"/>
          <w:szCs w:val="22"/>
          <w:lang w:val="en-US" w:eastAsia="en-US" w:bidi="ar-SA"/>
          <w14:ligatures w14:val="standardContextual"/>
        </w:rPr>
        <w:t>,000</w:t>
      </w:r>
      <w:r w:rsidR="00BF638A">
        <w:rPr>
          <w:rFonts w:asciiTheme="minorHAnsi" w:eastAsia="Calibri" w:hAnsiTheme="minorHAnsi" w:cstheme="minorHAnsi"/>
          <w:kern w:val="2"/>
          <w:sz w:val="22"/>
          <w:szCs w:val="22"/>
          <w:lang w:val="en-US" w:eastAsia="en-US" w:bidi="ar-SA"/>
          <w14:ligatures w14:val="standardContextual"/>
        </w:rPr>
        <w:t xml:space="preserve"> </w:t>
      </w:r>
      <w:r w:rsidR="007D11B8" w:rsidRPr="005E660C">
        <w:rPr>
          <w:rFonts w:asciiTheme="minorHAnsi" w:eastAsia="Calibri" w:hAnsiTheme="minorHAnsi" w:cstheme="minorHAnsi"/>
          <w:kern w:val="2"/>
          <w:sz w:val="22"/>
          <w:szCs w:val="22"/>
          <w:lang w:val="en-US" w:eastAsia="en-US" w:bidi="ar-SA"/>
          <w14:ligatures w14:val="standardContextual"/>
        </w:rPr>
        <w:t>units</w:t>
      </w:r>
      <w:r w:rsidR="007D11B8" w:rsidRPr="005E660C">
        <w:rPr>
          <w:rFonts w:ascii="Calibri" w:eastAsia="Calibri" w:hAnsi="Calibri" w:cs="Times New Roman"/>
          <w:kern w:val="2"/>
          <w:sz w:val="22"/>
          <w:szCs w:val="22"/>
          <w:lang w:val="en-US" w:eastAsia="en-US" w:bidi="ar-SA"/>
          <w14:ligatures w14:val="standardContextual"/>
        </w:rPr>
        <w:t xml:space="preserve"> of the Company (each, a “</w:t>
      </w:r>
      <w:r w:rsidR="007D11B8" w:rsidRPr="005E660C">
        <w:rPr>
          <w:rFonts w:ascii="Calibri" w:eastAsia="Calibri" w:hAnsi="Calibri" w:cs="Times New Roman"/>
          <w:b/>
          <w:bCs/>
          <w:kern w:val="2"/>
          <w:sz w:val="22"/>
          <w:szCs w:val="22"/>
          <w:lang w:val="en-US" w:eastAsia="en-US" w:bidi="ar-SA"/>
          <w14:ligatures w14:val="standardContextual"/>
        </w:rPr>
        <w:t>Unit</w:t>
      </w:r>
      <w:r w:rsidR="007D11B8" w:rsidRPr="005E660C">
        <w:rPr>
          <w:rFonts w:ascii="Calibri" w:eastAsia="Calibri" w:hAnsi="Calibri" w:cs="Times New Roman"/>
          <w:kern w:val="2"/>
          <w:sz w:val="22"/>
          <w:szCs w:val="22"/>
          <w:lang w:val="en-US" w:eastAsia="en-US" w:bidi="ar-SA"/>
          <w14:ligatures w14:val="standardContextual"/>
        </w:rPr>
        <w:t>”) at a price of</w:t>
      </w:r>
      <w:r w:rsidR="005E660C" w:rsidRPr="005E660C">
        <w:rPr>
          <w:rFonts w:ascii="Calibri" w:eastAsia="Calibri" w:hAnsi="Calibri" w:cs="Times New Roman"/>
          <w:kern w:val="2"/>
          <w:sz w:val="22"/>
          <w:szCs w:val="22"/>
          <w:lang w:val="en-US" w:eastAsia="en-US" w:bidi="ar-SA"/>
          <w14:ligatures w14:val="standardContextual"/>
        </w:rPr>
        <w:t xml:space="preserve"> </w:t>
      </w:r>
      <w:r w:rsidR="007D11B8" w:rsidRPr="005E660C">
        <w:rPr>
          <w:rFonts w:ascii="Calibri" w:eastAsia="Calibri" w:hAnsi="Calibri" w:cs="Times New Roman"/>
          <w:kern w:val="2"/>
          <w:sz w:val="22"/>
          <w:szCs w:val="22"/>
          <w:lang w:val="en-US" w:eastAsia="en-US" w:bidi="ar-SA"/>
          <w14:ligatures w14:val="standardContextual"/>
        </w:rPr>
        <w:t>$0.025 per Unit for gross proceeds of</w:t>
      </w:r>
      <w:r w:rsidR="00527E25">
        <w:rPr>
          <w:rFonts w:ascii="Calibri" w:eastAsia="Calibri" w:hAnsi="Calibri" w:cs="Times New Roman"/>
          <w:kern w:val="2"/>
          <w:sz w:val="22"/>
          <w:szCs w:val="22"/>
          <w:lang w:val="en-US" w:eastAsia="en-US" w:bidi="ar-SA"/>
          <w14:ligatures w14:val="standardContextual"/>
        </w:rPr>
        <w:t xml:space="preserve"> $</w:t>
      </w:r>
      <w:r w:rsidR="004262D7">
        <w:rPr>
          <w:rFonts w:ascii="Calibri" w:eastAsia="Calibri" w:hAnsi="Calibri" w:cs="Times New Roman"/>
          <w:kern w:val="2"/>
          <w:sz w:val="22"/>
          <w:szCs w:val="22"/>
          <w:lang w:val="en-US" w:eastAsia="en-US" w:bidi="ar-SA"/>
          <w14:ligatures w14:val="standardContextual"/>
        </w:rPr>
        <w:t>250,0</w:t>
      </w:r>
      <w:r w:rsidR="007412C6">
        <w:rPr>
          <w:rFonts w:ascii="Calibri" w:eastAsia="Calibri" w:hAnsi="Calibri" w:cs="Times New Roman"/>
          <w:kern w:val="2"/>
          <w:sz w:val="22"/>
          <w:szCs w:val="22"/>
          <w:lang w:val="en-US" w:eastAsia="en-US" w:bidi="ar-SA"/>
          <w14:ligatures w14:val="standardContextual"/>
        </w:rPr>
        <w:t>00.</w:t>
      </w:r>
      <w:r w:rsidR="007D11B8" w:rsidRPr="005E660C">
        <w:rPr>
          <w:rFonts w:ascii="Calibri" w:eastAsia="Calibri" w:hAnsi="Calibri" w:cs="Times New Roman"/>
          <w:kern w:val="2"/>
          <w:sz w:val="22"/>
          <w:szCs w:val="22"/>
          <w:lang w:val="en-US" w:eastAsia="en-US" w:bidi="ar-SA"/>
          <w14:ligatures w14:val="standardContextual"/>
        </w:rPr>
        <w:t xml:space="preserve"> Each Unit</w:t>
      </w:r>
      <w:r w:rsidR="00527E25">
        <w:rPr>
          <w:rFonts w:ascii="Calibri" w:eastAsia="Calibri" w:hAnsi="Calibri" w:cs="Times New Roman"/>
          <w:kern w:val="2"/>
          <w:sz w:val="22"/>
          <w:szCs w:val="22"/>
          <w:lang w:val="en-US" w:eastAsia="en-US" w:bidi="ar-SA"/>
          <w14:ligatures w14:val="standardContextual"/>
        </w:rPr>
        <w:t xml:space="preserve"> </w:t>
      </w:r>
      <w:r w:rsidR="007D11B8" w:rsidRPr="005E660C">
        <w:rPr>
          <w:rFonts w:ascii="Calibri" w:eastAsia="Calibri" w:hAnsi="Calibri" w:cs="Times New Roman"/>
          <w:kern w:val="2"/>
          <w:sz w:val="22"/>
          <w:szCs w:val="22"/>
          <w:lang w:val="en-US" w:eastAsia="en-US" w:bidi="ar-SA"/>
          <w14:ligatures w14:val="standardContextual"/>
        </w:rPr>
        <w:t>consist</w:t>
      </w:r>
      <w:r w:rsidR="00527E25">
        <w:rPr>
          <w:rFonts w:ascii="Calibri" w:eastAsia="Calibri" w:hAnsi="Calibri" w:cs="Times New Roman"/>
          <w:kern w:val="2"/>
          <w:sz w:val="22"/>
          <w:szCs w:val="22"/>
          <w:lang w:val="en-US" w:eastAsia="en-US" w:bidi="ar-SA"/>
          <w14:ligatures w14:val="standardContextual"/>
        </w:rPr>
        <w:t>s</w:t>
      </w:r>
      <w:r w:rsidR="007D11B8" w:rsidRPr="005E660C">
        <w:rPr>
          <w:rFonts w:ascii="Calibri" w:eastAsia="Calibri" w:hAnsi="Calibri" w:cs="Times New Roman"/>
          <w:kern w:val="2"/>
          <w:sz w:val="22"/>
          <w:szCs w:val="22"/>
          <w:lang w:val="en-US" w:eastAsia="en-US" w:bidi="ar-SA"/>
          <w14:ligatures w14:val="standardContextual"/>
        </w:rPr>
        <w:t xml:space="preserve"> of one (1) common</w:t>
      </w:r>
      <w:r w:rsidR="005E660C" w:rsidRPr="005E660C">
        <w:rPr>
          <w:rFonts w:ascii="Calibri" w:eastAsia="Calibri" w:hAnsi="Calibri" w:cs="Times New Roman"/>
          <w:kern w:val="2"/>
          <w:sz w:val="22"/>
          <w:szCs w:val="22"/>
          <w:lang w:val="en-US" w:eastAsia="en-US" w:bidi="ar-SA"/>
          <w14:ligatures w14:val="standardContextual"/>
        </w:rPr>
        <w:t xml:space="preserve"> </w:t>
      </w:r>
      <w:r w:rsidR="007D11B8" w:rsidRPr="005E660C">
        <w:rPr>
          <w:rFonts w:ascii="Calibri" w:eastAsia="Calibri" w:hAnsi="Calibri" w:cs="Times New Roman"/>
          <w:kern w:val="2"/>
          <w:sz w:val="22"/>
          <w:szCs w:val="22"/>
          <w:lang w:val="en-US" w:eastAsia="en-US" w:bidi="ar-SA"/>
          <w14:ligatures w14:val="standardContextual"/>
        </w:rPr>
        <w:t>share in the capital of the Company (a “</w:t>
      </w:r>
      <w:r w:rsidR="007D11B8" w:rsidRPr="005E660C">
        <w:rPr>
          <w:rFonts w:ascii="Calibri" w:eastAsia="Calibri" w:hAnsi="Calibri" w:cs="Times New Roman"/>
          <w:b/>
          <w:bCs/>
          <w:kern w:val="2"/>
          <w:sz w:val="22"/>
          <w:szCs w:val="22"/>
          <w:lang w:val="en-US" w:eastAsia="en-US" w:bidi="ar-SA"/>
          <w14:ligatures w14:val="standardContextual"/>
        </w:rPr>
        <w:t>Share</w:t>
      </w:r>
      <w:r w:rsidR="007D11B8" w:rsidRPr="005E660C">
        <w:rPr>
          <w:rFonts w:ascii="Calibri" w:eastAsia="Calibri" w:hAnsi="Calibri" w:cs="Times New Roman"/>
          <w:kern w:val="2"/>
          <w:sz w:val="22"/>
          <w:szCs w:val="22"/>
          <w:lang w:val="en-US" w:eastAsia="en-US" w:bidi="ar-SA"/>
          <w14:ligatures w14:val="standardContextual"/>
        </w:rPr>
        <w:t>”) and one (1) common share purchase warrant (a</w:t>
      </w:r>
      <w:r w:rsidR="005E660C" w:rsidRPr="005E660C">
        <w:rPr>
          <w:rFonts w:ascii="Calibri" w:eastAsia="Calibri" w:hAnsi="Calibri" w:cs="Times New Roman"/>
          <w:kern w:val="2"/>
          <w:sz w:val="22"/>
          <w:szCs w:val="22"/>
          <w:lang w:val="en-US" w:eastAsia="en-US" w:bidi="ar-SA"/>
          <w14:ligatures w14:val="standardContextual"/>
        </w:rPr>
        <w:t xml:space="preserve"> </w:t>
      </w:r>
      <w:r w:rsidR="007D11B8" w:rsidRPr="005E660C">
        <w:rPr>
          <w:rFonts w:ascii="Calibri" w:eastAsia="Calibri" w:hAnsi="Calibri" w:cs="Times New Roman"/>
          <w:kern w:val="2"/>
          <w:sz w:val="22"/>
          <w:szCs w:val="22"/>
          <w:lang w:val="en-US" w:eastAsia="en-US" w:bidi="ar-SA"/>
          <w14:ligatures w14:val="standardContextual"/>
        </w:rPr>
        <w:t>“</w:t>
      </w:r>
      <w:r w:rsidR="007D11B8" w:rsidRPr="005E660C">
        <w:rPr>
          <w:rFonts w:ascii="Calibri" w:eastAsia="Calibri" w:hAnsi="Calibri" w:cs="Times New Roman"/>
          <w:b/>
          <w:bCs/>
          <w:kern w:val="2"/>
          <w:sz w:val="22"/>
          <w:szCs w:val="22"/>
          <w:lang w:val="en-US" w:eastAsia="en-US" w:bidi="ar-SA"/>
          <w14:ligatures w14:val="standardContextual"/>
        </w:rPr>
        <w:t>Warrant</w:t>
      </w:r>
      <w:r w:rsidR="007D11B8" w:rsidRPr="005E660C">
        <w:rPr>
          <w:rFonts w:ascii="Calibri" w:eastAsia="Calibri" w:hAnsi="Calibri" w:cs="Times New Roman"/>
          <w:kern w:val="2"/>
          <w:sz w:val="22"/>
          <w:szCs w:val="22"/>
          <w:lang w:val="en-US" w:eastAsia="en-US" w:bidi="ar-SA"/>
          <w14:ligatures w14:val="standardContextual"/>
        </w:rPr>
        <w:t>”). Each Warrant will be exercisable into one (1) Share for two years from the date of</w:t>
      </w:r>
      <w:r w:rsidR="005E660C" w:rsidRPr="005E660C">
        <w:rPr>
          <w:rFonts w:ascii="Calibri" w:eastAsia="Calibri" w:hAnsi="Calibri" w:cs="Times New Roman"/>
          <w:kern w:val="2"/>
          <w:sz w:val="22"/>
          <w:szCs w:val="22"/>
          <w:lang w:val="en-US" w:eastAsia="en-US" w:bidi="ar-SA"/>
          <w14:ligatures w14:val="standardContextual"/>
        </w:rPr>
        <w:t xml:space="preserve"> </w:t>
      </w:r>
      <w:r w:rsidR="007D11B8" w:rsidRPr="005E660C">
        <w:rPr>
          <w:rFonts w:ascii="Calibri" w:eastAsia="Calibri" w:hAnsi="Calibri" w:cs="Times New Roman"/>
          <w:kern w:val="2"/>
          <w:sz w:val="22"/>
          <w:szCs w:val="22"/>
          <w:lang w:val="en-US" w:eastAsia="en-US" w:bidi="ar-SA"/>
          <w14:ligatures w14:val="standardContextual"/>
        </w:rPr>
        <w:t>issuance (the “</w:t>
      </w:r>
      <w:r w:rsidR="007D11B8" w:rsidRPr="005E660C">
        <w:rPr>
          <w:rFonts w:ascii="Calibri" w:eastAsia="Calibri" w:hAnsi="Calibri" w:cs="Times New Roman"/>
          <w:b/>
          <w:bCs/>
          <w:kern w:val="2"/>
          <w:sz w:val="22"/>
          <w:szCs w:val="22"/>
          <w:lang w:val="en-US" w:eastAsia="en-US" w:bidi="ar-SA"/>
          <w14:ligatures w14:val="standardContextual"/>
        </w:rPr>
        <w:t>Exercise Period</w:t>
      </w:r>
      <w:r w:rsidR="007D11B8" w:rsidRPr="005E660C">
        <w:rPr>
          <w:rFonts w:ascii="Calibri" w:eastAsia="Calibri" w:hAnsi="Calibri" w:cs="Times New Roman"/>
          <w:kern w:val="2"/>
          <w:sz w:val="22"/>
          <w:szCs w:val="22"/>
          <w:lang w:val="en-US" w:eastAsia="en-US" w:bidi="ar-SA"/>
          <w14:ligatures w14:val="standardContextual"/>
        </w:rPr>
        <w:t>”) at an exercise price $0.10 per Share for the first year of the</w:t>
      </w:r>
      <w:r w:rsidR="005E660C" w:rsidRPr="005E660C">
        <w:rPr>
          <w:rFonts w:ascii="Calibri" w:eastAsia="Calibri" w:hAnsi="Calibri" w:cs="Times New Roman"/>
          <w:kern w:val="2"/>
          <w:sz w:val="22"/>
          <w:szCs w:val="22"/>
          <w:lang w:val="en-US" w:eastAsia="en-US" w:bidi="ar-SA"/>
          <w14:ligatures w14:val="standardContextual"/>
        </w:rPr>
        <w:t xml:space="preserve"> </w:t>
      </w:r>
      <w:r w:rsidR="007D11B8" w:rsidRPr="005E660C">
        <w:rPr>
          <w:rFonts w:ascii="Calibri" w:eastAsia="Calibri" w:hAnsi="Calibri" w:cs="Times New Roman"/>
          <w:kern w:val="2"/>
          <w:sz w:val="22"/>
          <w:szCs w:val="22"/>
          <w:lang w:val="en-US" w:eastAsia="en-US" w:bidi="ar-SA"/>
          <w14:ligatures w14:val="standardContextual"/>
        </w:rPr>
        <w:t>Exercise Period and at an exercise price of $0.20 for the second year of the Exercise Period. The</w:t>
      </w:r>
      <w:r w:rsidR="005E660C" w:rsidRPr="005E660C">
        <w:rPr>
          <w:rFonts w:ascii="Calibri" w:eastAsia="Calibri" w:hAnsi="Calibri" w:cs="Times New Roman"/>
          <w:kern w:val="2"/>
          <w:sz w:val="22"/>
          <w:szCs w:val="22"/>
          <w:lang w:val="en-US" w:eastAsia="en-US" w:bidi="ar-SA"/>
          <w14:ligatures w14:val="standardContextual"/>
        </w:rPr>
        <w:t xml:space="preserve"> </w:t>
      </w:r>
      <w:r w:rsidR="005A1A7A" w:rsidRPr="005E660C">
        <w:rPr>
          <w:rFonts w:ascii="Calibri" w:eastAsia="Calibri" w:hAnsi="Calibri" w:cs="Times New Roman"/>
          <w:kern w:val="2"/>
          <w:sz w:val="22"/>
          <w:szCs w:val="22"/>
          <w:lang w:val="en-US" w:eastAsia="en-US" w:bidi="ar-SA"/>
          <w14:ligatures w14:val="standardContextual"/>
        </w:rPr>
        <w:t>Proceeds</w:t>
      </w:r>
      <w:r w:rsidR="007D11B8" w:rsidRPr="005E660C">
        <w:rPr>
          <w:rFonts w:ascii="Calibri" w:eastAsia="Calibri" w:hAnsi="Calibri" w:cs="Times New Roman"/>
          <w:kern w:val="2"/>
          <w:sz w:val="22"/>
          <w:szCs w:val="22"/>
          <w:lang w:val="en-US" w:eastAsia="en-US" w:bidi="ar-SA"/>
          <w14:ligatures w14:val="standardContextual"/>
        </w:rPr>
        <w:t xml:space="preserve"> of the Offering will be used for business development and general corporate purposes.</w:t>
      </w:r>
      <w:r w:rsidR="005E660C" w:rsidRPr="005E660C">
        <w:rPr>
          <w:rFonts w:ascii="Calibri" w:eastAsia="Calibri" w:hAnsi="Calibri" w:cs="Times New Roman"/>
          <w:kern w:val="2"/>
          <w:sz w:val="22"/>
          <w:szCs w:val="22"/>
          <w:lang w:val="en-US" w:eastAsia="en-US" w:bidi="ar-SA"/>
          <w14:ligatures w14:val="standardContextual"/>
        </w:rPr>
        <w:t xml:space="preserve"> </w:t>
      </w:r>
      <w:r w:rsidR="007D11B8" w:rsidRPr="005E660C">
        <w:rPr>
          <w:rFonts w:ascii="Calibri" w:eastAsia="Calibri" w:hAnsi="Calibri" w:cs="Times New Roman"/>
          <w:kern w:val="2"/>
          <w:sz w:val="22"/>
          <w:szCs w:val="22"/>
          <w:lang w:val="en-US" w:eastAsia="en-US" w:bidi="ar-SA"/>
          <w14:ligatures w14:val="standardContextual"/>
        </w:rPr>
        <w:t xml:space="preserve">All securities issued pursuant to the Offering will be subject to a statutory four-month and </w:t>
      </w:r>
      <w:proofErr w:type="gramStart"/>
      <w:r w:rsidR="007D11B8" w:rsidRPr="005E660C">
        <w:rPr>
          <w:rFonts w:ascii="Calibri" w:eastAsia="Calibri" w:hAnsi="Calibri" w:cs="Times New Roman"/>
          <w:kern w:val="2"/>
          <w:sz w:val="22"/>
          <w:szCs w:val="22"/>
          <w:lang w:val="en-US" w:eastAsia="en-US" w:bidi="ar-SA"/>
          <w14:ligatures w14:val="standardContextual"/>
        </w:rPr>
        <w:t>one</w:t>
      </w:r>
      <w:r w:rsidR="005E660C" w:rsidRPr="005E660C">
        <w:rPr>
          <w:rFonts w:ascii="Calibri" w:eastAsia="Calibri" w:hAnsi="Calibri" w:cs="Times New Roman"/>
          <w:kern w:val="2"/>
          <w:sz w:val="22"/>
          <w:szCs w:val="22"/>
          <w:lang w:val="en-US" w:eastAsia="en-US" w:bidi="ar-SA"/>
          <w14:ligatures w14:val="standardContextual"/>
        </w:rPr>
        <w:t xml:space="preserve"> </w:t>
      </w:r>
      <w:r w:rsidR="007D11B8" w:rsidRPr="005E660C">
        <w:rPr>
          <w:rFonts w:ascii="Calibri" w:eastAsia="Calibri" w:hAnsi="Calibri" w:cs="Times New Roman"/>
          <w:kern w:val="2"/>
          <w:sz w:val="22"/>
          <w:szCs w:val="22"/>
          <w:lang w:val="en-US" w:eastAsia="en-US" w:bidi="ar-SA"/>
          <w14:ligatures w14:val="standardContextual"/>
        </w:rPr>
        <w:t>day</w:t>
      </w:r>
      <w:proofErr w:type="gramEnd"/>
      <w:r w:rsidR="007D11B8" w:rsidRPr="005E660C">
        <w:rPr>
          <w:rFonts w:ascii="Calibri" w:eastAsia="Calibri" w:hAnsi="Calibri" w:cs="Times New Roman"/>
          <w:kern w:val="2"/>
          <w:sz w:val="22"/>
          <w:szCs w:val="22"/>
          <w:lang w:val="en-US" w:eastAsia="en-US" w:bidi="ar-SA"/>
          <w14:ligatures w14:val="standardContextual"/>
        </w:rPr>
        <w:t xml:space="preserve"> hold period. </w:t>
      </w:r>
      <w:r w:rsidR="008F6AB2">
        <w:rPr>
          <w:rFonts w:ascii="Calibri" w:eastAsia="Calibri" w:hAnsi="Calibri" w:cs="Times New Roman"/>
          <w:kern w:val="2"/>
          <w:sz w:val="22"/>
          <w:szCs w:val="22"/>
          <w:lang w:val="en-US" w:eastAsia="en-US" w:bidi="ar-SA"/>
          <w14:ligatures w14:val="standardContextual"/>
        </w:rPr>
        <w:t xml:space="preserve">No </w:t>
      </w:r>
      <w:proofErr w:type="gramStart"/>
      <w:r w:rsidR="008F6AB2">
        <w:rPr>
          <w:rFonts w:ascii="Calibri" w:eastAsia="Calibri" w:hAnsi="Calibri" w:cs="Times New Roman"/>
          <w:kern w:val="2"/>
          <w:sz w:val="22"/>
          <w:szCs w:val="22"/>
          <w:lang w:val="en-US" w:eastAsia="en-US" w:bidi="ar-SA"/>
          <w14:ligatures w14:val="standardContextual"/>
        </w:rPr>
        <w:t>finders</w:t>
      </w:r>
      <w:proofErr w:type="gramEnd"/>
      <w:r w:rsidR="008F6AB2">
        <w:rPr>
          <w:rFonts w:ascii="Calibri" w:eastAsia="Calibri" w:hAnsi="Calibri" w:cs="Times New Roman"/>
          <w:kern w:val="2"/>
          <w:sz w:val="22"/>
          <w:szCs w:val="22"/>
          <w:lang w:val="en-US" w:eastAsia="en-US" w:bidi="ar-SA"/>
          <w14:ligatures w14:val="standardContextual"/>
        </w:rPr>
        <w:t xml:space="preserve"> fees were</w:t>
      </w:r>
      <w:r w:rsidR="007D11B8" w:rsidRPr="005E660C">
        <w:rPr>
          <w:rFonts w:ascii="Calibri" w:eastAsia="Calibri" w:hAnsi="Calibri" w:cs="Times New Roman"/>
          <w:kern w:val="2"/>
          <w:sz w:val="22"/>
          <w:szCs w:val="22"/>
          <w:lang w:val="en-US" w:eastAsia="en-US" w:bidi="ar-SA"/>
          <w14:ligatures w14:val="standardContextual"/>
        </w:rPr>
        <w:t xml:space="preserve"> payable in connection with the Offerin</w:t>
      </w:r>
      <w:r w:rsidR="008F6AB2">
        <w:rPr>
          <w:rFonts w:ascii="Calibri" w:eastAsia="Calibri" w:hAnsi="Calibri" w:cs="Times New Roman"/>
          <w:kern w:val="2"/>
          <w:sz w:val="22"/>
          <w:szCs w:val="22"/>
          <w:lang w:val="en-US" w:eastAsia="en-US" w:bidi="ar-SA"/>
          <w14:ligatures w14:val="standardContextual"/>
        </w:rPr>
        <w:t>g</w:t>
      </w:r>
      <w:r w:rsidR="007D11B8" w:rsidRPr="005E660C">
        <w:rPr>
          <w:rFonts w:ascii="Calibri" w:eastAsia="Calibri" w:hAnsi="Calibri" w:cs="Times New Roman"/>
          <w:kern w:val="2"/>
          <w:sz w:val="22"/>
          <w:szCs w:val="22"/>
          <w:lang w:val="en-US" w:eastAsia="en-US" w:bidi="ar-SA"/>
          <w14:ligatures w14:val="standardContextual"/>
        </w:rPr>
        <w:t>.</w:t>
      </w:r>
    </w:p>
    <w:p w14:paraId="5235B792" w14:textId="77777777" w:rsidR="004262D7" w:rsidRDefault="004262D7" w:rsidP="00527E25">
      <w:pPr>
        <w:jc w:val="both"/>
        <w:rPr>
          <w:rFonts w:ascii="Calibri" w:eastAsia="Calibri" w:hAnsi="Calibri" w:cs="Times New Roman"/>
          <w:kern w:val="2"/>
          <w:sz w:val="22"/>
          <w:szCs w:val="22"/>
          <w:lang w:val="en-US" w:eastAsia="en-US" w:bidi="ar-SA"/>
          <w14:ligatures w14:val="standardContextual"/>
        </w:rPr>
      </w:pPr>
    </w:p>
    <w:p w14:paraId="1A614006" w14:textId="2A8DAAB1" w:rsidR="004262D7" w:rsidRPr="00527E25" w:rsidRDefault="004262D7" w:rsidP="00527E25">
      <w:pPr>
        <w:jc w:val="both"/>
        <w:rPr>
          <w:rFonts w:ascii="Calibri" w:eastAsia="Calibri" w:hAnsi="Calibri" w:cs="Times New Roman"/>
          <w:kern w:val="2"/>
          <w:sz w:val="22"/>
          <w:szCs w:val="22"/>
          <w:lang w:val="en-US" w:eastAsia="en-US" w:bidi="ar-SA"/>
          <w14:ligatures w14:val="standardContextual"/>
        </w:rPr>
      </w:pPr>
      <w:r w:rsidRPr="004262D7">
        <w:rPr>
          <w:rFonts w:ascii="Calibri" w:eastAsia="Calibri" w:hAnsi="Calibri" w:cs="Times New Roman"/>
          <w:kern w:val="2"/>
          <w:sz w:val="22"/>
          <w:szCs w:val="22"/>
          <w:lang w:eastAsia="en-US" w:bidi="ar-SA"/>
          <w14:ligatures w14:val="standardContextual"/>
        </w:rPr>
        <w:t xml:space="preserve">One insider of the Company participated in the </w:t>
      </w:r>
      <w:r>
        <w:rPr>
          <w:rFonts w:ascii="Calibri" w:eastAsia="Calibri" w:hAnsi="Calibri" w:cs="Times New Roman"/>
          <w:kern w:val="2"/>
          <w:sz w:val="22"/>
          <w:szCs w:val="22"/>
          <w:lang w:eastAsia="en-US" w:bidi="ar-SA"/>
          <w14:ligatures w14:val="standardContextual"/>
        </w:rPr>
        <w:t xml:space="preserve">Offering through the subscription of </w:t>
      </w:r>
      <w:r w:rsidRPr="00F05429">
        <w:rPr>
          <w:rFonts w:ascii="Calibri" w:eastAsia="Calibri" w:hAnsi="Calibri" w:cs="Times New Roman"/>
          <w:kern w:val="2"/>
          <w:sz w:val="22"/>
          <w:szCs w:val="22"/>
          <w:lang w:eastAsia="en-US" w:bidi="ar-SA"/>
          <w14:ligatures w14:val="standardContextual"/>
        </w:rPr>
        <w:t>2,700,000 Units</w:t>
      </w:r>
      <w:r w:rsidRPr="004262D7">
        <w:rPr>
          <w:rFonts w:ascii="Calibri" w:eastAsia="Calibri" w:hAnsi="Calibri" w:cs="Times New Roman"/>
          <w:kern w:val="2"/>
          <w:sz w:val="22"/>
          <w:szCs w:val="22"/>
          <w:lang w:eastAsia="en-US" w:bidi="ar-SA"/>
          <w14:ligatures w14:val="standardContextual"/>
        </w:rPr>
        <w:t xml:space="preserve">, thereby making the </w:t>
      </w:r>
      <w:r>
        <w:rPr>
          <w:rFonts w:ascii="Calibri" w:eastAsia="Calibri" w:hAnsi="Calibri" w:cs="Times New Roman"/>
          <w:kern w:val="2"/>
          <w:sz w:val="22"/>
          <w:szCs w:val="22"/>
          <w:lang w:eastAsia="en-US" w:bidi="ar-SA"/>
          <w14:ligatures w14:val="standardContextual"/>
        </w:rPr>
        <w:t xml:space="preserve">Offering </w:t>
      </w:r>
      <w:r w:rsidRPr="004262D7">
        <w:rPr>
          <w:rFonts w:ascii="Calibri" w:eastAsia="Calibri" w:hAnsi="Calibri" w:cs="Times New Roman"/>
          <w:kern w:val="2"/>
          <w:sz w:val="22"/>
          <w:szCs w:val="22"/>
          <w:lang w:eastAsia="en-US" w:bidi="ar-SA"/>
          <w14:ligatures w14:val="standardContextual"/>
        </w:rPr>
        <w:t>a "related party transaction", as defined under Multilateral Instrument - </w:t>
      </w:r>
      <w:r w:rsidRPr="004262D7">
        <w:rPr>
          <w:rFonts w:ascii="Calibri" w:eastAsia="Calibri" w:hAnsi="Calibri" w:cs="Times New Roman"/>
          <w:i/>
          <w:iCs/>
          <w:kern w:val="2"/>
          <w:sz w:val="22"/>
          <w:szCs w:val="22"/>
          <w:lang w:eastAsia="en-US" w:bidi="ar-SA"/>
          <w14:ligatures w14:val="standardContextual"/>
        </w:rPr>
        <w:t>Protection of Minority Security Holders in Security Transactions</w:t>
      </w:r>
      <w:r w:rsidRPr="004262D7">
        <w:rPr>
          <w:rFonts w:ascii="Calibri" w:eastAsia="Calibri" w:hAnsi="Calibri" w:cs="Times New Roman"/>
          <w:kern w:val="2"/>
          <w:sz w:val="22"/>
          <w:szCs w:val="22"/>
          <w:lang w:eastAsia="en-US" w:bidi="ar-SA"/>
          <w14:ligatures w14:val="standardContextual"/>
        </w:rPr>
        <w:t> ("</w:t>
      </w:r>
      <w:r w:rsidRPr="00F05429">
        <w:rPr>
          <w:rFonts w:ascii="Calibri" w:eastAsia="Calibri" w:hAnsi="Calibri" w:cs="Times New Roman"/>
          <w:b/>
          <w:bCs/>
          <w:kern w:val="2"/>
          <w:sz w:val="22"/>
          <w:szCs w:val="22"/>
          <w:lang w:eastAsia="en-US" w:bidi="ar-SA"/>
          <w14:ligatures w14:val="standardContextual"/>
        </w:rPr>
        <w:t>MI 61-101</w:t>
      </w:r>
      <w:r w:rsidRPr="004262D7">
        <w:rPr>
          <w:rFonts w:ascii="Calibri" w:eastAsia="Calibri" w:hAnsi="Calibri" w:cs="Times New Roman"/>
          <w:kern w:val="2"/>
          <w:sz w:val="22"/>
          <w:szCs w:val="22"/>
          <w:lang w:eastAsia="en-US" w:bidi="ar-SA"/>
          <w14:ligatures w14:val="standardContextual"/>
        </w:rPr>
        <w:t xml:space="preserve">"). The </w:t>
      </w:r>
      <w:r>
        <w:rPr>
          <w:rFonts w:ascii="Calibri" w:eastAsia="Calibri" w:hAnsi="Calibri" w:cs="Times New Roman"/>
          <w:kern w:val="2"/>
          <w:sz w:val="22"/>
          <w:szCs w:val="22"/>
          <w:lang w:eastAsia="en-US" w:bidi="ar-SA"/>
          <w14:ligatures w14:val="standardContextual"/>
        </w:rPr>
        <w:t xml:space="preserve">Offering </w:t>
      </w:r>
      <w:r w:rsidRPr="004262D7">
        <w:rPr>
          <w:rFonts w:ascii="Calibri" w:eastAsia="Calibri" w:hAnsi="Calibri" w:cs="Times New Roman"/>
          <w:kern w:val="2"/>
          <w:sz w:val="22"/>
          <w:szCs w:val="22"/>
          <w:lang w:eastAsia="en-US" w:bidi="ar-SA"/>
          <w14:ligatures w14:val="standardContextual"/>
        </w:rPr>
        <w:t xml:space="preserve">was exempt from the formal valuation and minority shareholder approval requirements of MI 61-101 as the Company is not listed on a specified market (as set out in Section 5.5(b) of MI 61-101) and the fair market value of the Units issued to, nor the consideration paid by, the insider did not exceed $2,500,000 (as set out in Section 5.7(1)(b) of MI 61-101). A material change report in respect of the </w:t>
      </w:r>
      <w:r>
        <w:rPr>
          <w:rFonts w:ascii="Calibri" w:eastAsia="Calibri" w:hAnsi="Calibri" w:cs="Times New Roman"/>
          <w:kern w:val="2"/>
          <w:sz w:val="22"/>
          <w:szCs w:val="22"/>
          <w:lang w:eastAsia="en-US" w:bidi="ar-SA"/>
          <w14:ligatures w14:val="standardContextual"/>
        </w:rPr>
        <w:t>Offering was not</w:t>
      </w:r>
      <w:r w:rsidRPr="004262D7">
        <w:rPr>
          <w:rFonts w:ascii="Calibri" w:eastAsia="Calibri" w:hAnsi="Calibri" w:cs="Times New Roman"/>
          <w:kern w:val="2"/>
          <w:sz w:val="22"/>
          <w:szCs w:val="22"/>
          <w:lang w:eastAsia="en-US" w:bidi="ar-SA"/>
          <w14:ligatures w14:val="standardContextual"/>
        </w:rPr>
        <w:t xml:space="preserve"> filed 21 days before closing of the </w:t>
      </w:r>
      <w:r>
        <w:rPr>
          <w:rFonts w:ascii="Calibri" w:eastAsia="Calibri" w:hAnsi="Calibri" w:cs="Times New Roman"/>
          <w:kern w:val="2"/>
          <w:sz w:val="22"/>
          <w:szCs w:val="22"/>
          <w:lang w:eastAsia="en-US" w:bidi="ar-SA"/>
          <w14:ligatures w14:val="standardContextual"/>
        </w:rPr>
        <w:t xml:space="preserve">Offering, </w:t>
      </w:r>
      <w:r w:rsidRPr="004262D7">
        <w:rPr>
          <w:rFonts w:ascii="Calibri" w:eastAsia="Calibri" w:hAnsi="Calibri" w:cs="Times New Roman"/>
          <w:kern w:val="2"/>
          <w:sz w:val="22"/>
          <w:szCs w:val="22"/>
          <w:lang w:eastAsia="en-US" w:bidi="ar-SA"/>
          <w14:ligatures w14:val="standardContextual"/>
        </w:rPr>
        <w:t xml:space="preserve">as the closing date and the participation by the related party were not settled until shortly prior to closing and the Company wished to complete the </w:t>
      </w:r>
      <w:r>
        <w:rPr>
          <w:rFonts w:ascii="Calibri" w:eastAsia="Calibri" w:hAnsi="Calibri" w:cs="Times New Roman"/>
          <w:kern w:val="2"/>
          <w:sz w:val="22"/>
          <w:szCs w:val="22"/>
          <w:lang w:eastAsia="en-US" w:bidi="ar-SA"/>
          <w14:ligatures w14:val="standardContextual"/>
        </w:rPr>
        <w:t xml:space="preserve">Offering </w:t>
      </w:r>
      <w:r w:rsidRPr="004262D7">
        <w:rPr>
          <w:rFonts w:ascii="Calibri" w:eastAsia="Calibri" w:hAnsi="Calibri" w:cs="Times New Roman"/>
          <w:kern w:val="2"/>
          <w:sz w:val="22"/>
          <w:szCs w:val="22"/>
          <w:lang w:eastAsia="en-US" w:bidi="ar-SA"/>
          <w14:ligatures w14:val="standardContextual"/>
        </w:rPr>
        <w:t>in an expeditious manner for sound business reasons.</w:t>
      </w:r>
    </w:p>
    <w:p w14:paraId="7D7028E4" w14:textId="77777777" w:rsidR="00D143A2" w:rsidRPr="005E660C" w:rsidRDefault="00D143A2" w:rsidP="005E660C">
      <w:pPr>
        <w:rPr>
          <w:rFonts w:asciiTheme="minorHAnsi" w:hAnsiTheme="minorHAnsi" w:cstheme="minorHAnsi"/>
          <w:b/>
          <w:sz w:val="22"/>
          <w:szCs w:val="22"/>
        </w:rPr>
      </w:pPr>
    </w:p>
    <w:p w14:paraId="52DDB19B" w14:textId="77777777" w:rsidR="00F15CD7" w:rsidRDefault="00D81232" w:rsidP="005E660C">
      <w:pPr>
        <w:jc w:val="both"/>
        <w:rPr>
          <w:rFonts w:asciiTheme="minorHAnsi" w:hAnsiTheme="minorHAnsi" w:cstheme="minorHAnsi"/>
          <w:sz w:val="22"/>
          <w:szCs w:val="22"/>
        </w:rPr>
      </w:pPr>
      <w:r w:rsidRPr="005E660C">
        <w:rPr>
          <w:rFonts w:asciiTheme="minorHAnsi" w:hAnsiTheme="minorHAnsi" w:cstheme="minorHAnsi"/>
          <w:sz w:val="22"/>
          <w:szCs w:val="22"/>
        </w:rPr>
        <w:t>Further information about Global Li-Ion is available under its profile on the SEDAR website</w:t>
      </w:r>
      <w:r w:rsidR="00D143A2" w:rsidRPr="005E660C">
        <w:rPr>
          <w:rFonts w:asciiTheme="minorHAnsi" w:hAnsiTheme="minorHAnsi" w:cstheme="minorHAnsi"/>
          <w:sz w:val="22"/>
          <w:szCs w:val="22"/>
        </w:rPr>
        <w:t>,</w:t>
      </w:r>
      <w:r w:rsidRPr="005E660C">
        <w:rPr>
          <w:rFonts w:asciiTheme="minorHAnsi" w:hAnsiTheme="minorHAnsi" w:cstheme="minorHAnsi"/>
          <w:sz w:val="22"/>
          <w:szCs w:val="22"/>
        </w:rPr>
        <w:t xml:space="preserve"> </w:t>
      </w:r>
      <w:hyperlink r:id="rId9" w:history="1">
        <w:r w:rsidRPr="005E660C">
          <w:rPr>
            <w:rStyle w:val="Hyperlink"/>
            <w:rFonts w:asciiTheme="minorHAnsi" w:hAnsiTheme="minorHAnsi" w:cstheme="minorHAnsi"/>
            <w:sz w:val="22"/>
            <w:szCs w:val="22"/>
          </w:rPr>
          <w:t>www.sedar.com</w:t>
        </w:r>
      </w:hyperlink>
      <w:r w:rsidR="00D143A2" w:rsidRPr="005E660C">
        <w:rPr>
          <w:rFonts w:asciiTheme="minorHAnsi" w:hAnsiTheme="minorHAnsi" w:cstheme="minorHAnsi"/>
          <w:sz w:val="22"/>
          <w:szCs w:val="22"/>
        </w:rPr>
        <w:t>,</w:t>
      </w:r>
      <w:r w:rsidRPr="005E660C">
        <w:rPr>
          <w:rFonts w:asciiTheme="minorHAnsi" w:hAnsiTheme="minorHAnsi" w:cstheme="minorHAnsi"/>
          <w:sz w:val="22"/>
          <w:szCs w:val="22"/>
        </w:rPr>
        <w:t xml:space="preserve"> on the CSE website</w:t>
      </w:r>
      <w:r w:rsidR="00D143A2" w:rsidRPr="005E660C">
        <w:rPr>
          <w:rFonts w:asciiTheme="minorHAnsi" w:hAnsiTheme="minorHAnsi" w:cstheme="minorHAnsi"/>
          <w:sz w:val="22"/>
          <w:szCs w:val="22"/>
        </w:rPr>
        <w:t>,</w:t>
      </w:r>
      <w:r w:rsidRPr="005E660C">
        <w:rPr>
          <w:rFonts w:asciiTheme="minorHAnsi" w:hAnsiTheme="minorHAnsi" w:cstheme="minorHAnsi"/>
          <w:sz w:val="22"/>
          <w:szCs w:val="22"/>
        </w:rPr>
        <w:t xml:space="preserve"> </w:t>
      </w:r>
      <w:hyperlink r:id="rId10" w:history="1">
        <w:r w:rsidRPr="005E660C">
          <w:rPr>
            <w:rStyle w:val="Hyperlink"/>
            <w:rFonts w:asciiTheme="minorHAnsi" w:hAnsiTheme="minorHAnsi" w:cstheme="minorHAnsi"/>
            <w:sz w:val="22"/>
            <w:szCs w:val="22"/>
          </w:rPr>
          <w:t>www.thecse.com</w:t>
        </w:r>
      </w:hyperlink>
      <w:r w:rsidR="00D143A2" w:rsidRPr="005E660C">
        <w:rPr>
          <w:rFonts w:asciiTheme="minorHAnsi" w:hAnsiTheme="minorHAnsi" w:cstheme="minorHAnsi"/>
          <w:sz w:val="22"/>
          <w:szCs w:val="22"/>
        </w:rPr>
        <w:t>,</w:t>
      </w:r>
      <w:r w:rsidRPr="005E660C">
        <w:rPr>
          <w:rFonts w:asciiTheme="minorHAnsi" w:hAnsiTheme="minorHAnsi" w:cstheme="minorHAnsi"/>
          <w:sz w:val="22"/>
          <w:szCs w:val="22"/>
        </w:rPr>
        <w:t xml:space="preserve"> and the Company’s website</w:t>
      </w:r>
      <w:r w:rsidR="00D143A2" w:rsidRPr="005E660C">
        <w:rPr>
          <w:rFonts w:asciiTheme="minorHAnsi" w:hAnsiTheme="minorHAnsi" w:cstheme="minorHAnsi"/>
          <w:sz w:val="22"/>
          <w:szCs w:val="22"/>
        </w:rPr>
        <w:t>,</w:t>
      </w:r>
      <w:r w:rsidRPr="005E660C">
        <w:rPr>
          <w:rFonts w:asciiTheme="minorHAnsi" w:hAnsiTheme="minorHAnsi" w:cstheme="minorHAnsi"/>
          <w:sz w:val="22"/>
          <w:szCs w:val="22"/>
        </w:rPr>
        <w:t xml:space="preserve"> </w:t>
      </w:r>
      <w:hyperlink r:id="rId11" w:history="1">
        <w:r w:rsidR="00CE0C6D" w:rsidRPr="005E660C">
          <w:rPr>
            <w:rStyle w:val="Hyperlink"/>
            <w:rFonts w:asciiTheme="minorHAnsi" w:hAnsiTheme="minorHAnsi" w:cstheme="minorHAnsi"/>
            <w:sz w:val="22"/>
            <w:szCs w:val="22"/>
          </w:rPr>
          <w:t>www.globalli-iongraphite.com</w:t>
        </w:r>
      </w:hyperlink>
      <w:r w:rsidRPr="005E660C">
        <w:rPr>
          <w:rFonts w:asciiTheme="minorHAnsi" w:hAnsiTheme="minorHAnsi" w:cstheme="minorHAnsi"/>
          <w:sz w:val="22"/>
          <w:szCs w:val="22"/>
        </w:rPr>
        <w:t>.</w:t>
      </w:r>
    </w:p>
    <w:p w14:paraId="6712F483" w14:textId="77777777" w:rsidR="00686EEC" w:rsidRDefault="00686EEC" w:rsidP="005E660C">
      <w:pPr>
        <w:jc w:val="both"/>
        <w:rPr>
          <w:rFonts w:asciiTheme="minorHAnsi" w:hAnsiTheme="minorHAnsi" w:cstheme="minorHAnsi"/>
          <w:sz w:val="22"/>
          <w:szCs w:val="22"/>
        </w:rPr>
      </w:pPr>
    </w:p>
    <w:p w14:paraId="42061B8E" w14:textId="6AA8674F" w:rsidR="00686EEC" w:rsidRPr="00686EEC" w:rsidRDefault="00686EEC" w:rsidP="005E660C">
      <w:pPr>
        <w:jc w:val="both"/>
        <w:rPr>
          <w:rFonts w:asciiTheme="minorHAnsi" w:hAnsiTheme="minorHAnsi" w:cstheme="minorHAnsi"/>
          <w:i/>
          <w:iCs/>
          <w:sz w:val="22"/>
          <w:szCs w:val="22"/>
          <w:lang w:val="en-US"/>
        </w:rPr>
      </w:pPr>
      <w:r w:rsidRPr="00686EEC">
        <w:rPr>
          <w:rFonts w:asciiTheme="minorHAnsi" w:hAnsiTheme="minorHAnsi" w:cstheme="minorHAnsi"/>
          <w:i/>
          <w:iCs/>
          <w:sz w:val="22"/>
          <w:szCs w:val="22"/>
        </w:rPr>
        <w:t>The securities referred to in this news release have not been and will not be registered under the United States Securities Act of 1933, as amended (the “</w:t>
      </w:r>
      <w:r w:rsidRPr="00686EEC">
        <w:rPr>
          <w:rFonts w:asciiTheme="minorHAnsi" w:hAnsiTheme="minorHAnsi" w:cstheme="minorHAnsi"/>
          <w:b/>
          <w:bCs/>
          <w:i/>
          <w:iCs/>
          <w:sz w:val="22"/>
          <w:szCs w:val="22"/>
        </w:rPr>
        <w:t>U.S. Securities Act</w:t>
      </w:r>
      <w:r w:rsidRPr="00686EEC">
        <w:rPr>
          <w:rFonts w:asciiTheme="minorHAnsi" w:hAnsiTheme="minorHAnsi" w:cstheme="minorHAnsi"/>
          <w:i/>
          <w:iCs/>
          <w:sz w:val="22"/>
          <w:szCs w:val="22"/>
        </w:rPr>
        <w:t>”) or any state securities laws and may not be offered or sold within the United States or to, or for the account or benefit of, U.S. persons absent registration under the U.S. Securities Act and applicable state securities laws, unless an exemption from such registration is available. This news release does not constitute an offer for sale of securities for sale, nor a solicitation for offers to buy any securities.  Any public offering of securities in the United States must be made by means of a prospectus containing detailed information about the company and management, as well as financial statements.  “United States” and “U.S. person” have the respective meanings assigned in Regulation S under the U.S Securities Act.</w:t>
      </w:r>
    </w:p>
    <w:p w14:paraId="1DF36E0A" w14:textId="77777777" w:rsidR="007661AC" w:rsidRPr="005E660C" w:rsidRDefault="007661AC" w:rsidP="005E660C">
      <w:pPr>
        <w:jc w:val="both"/>
        <w:rPr>
          <w:rFonts w:asciiTheme="minorHAnsi" w:eastAsia="Times New Roman" w:hAnsiTheme="minorHAnsi" w:cstheme="minorHAnsi"/>
          <w:b/>
          <w:sz w:val="22"/>
          <w:szCs w:val="22"/>
        </w:rPr>
      </w:pPr>
    </w:p>
    <w:p w14:paraId="594E06E7" w14:textId="68A432BF" w:rsidR="00653FBA" w:rsidRPr="005E660C" w:rsidRDefault="009C6512" w:rsidP="005E660C">
      <w:pPr>
        <w:jc w:val="both"/>
        <w:rPr>
          <w:rFonts w:asciiTheme="minorHAnsi" w:hAnsiTheme="minorHAnsi" w:cstheme="minorHAnsi"/>
          <w:b/>
          <w:sz w:val="22"/>
          <w:szCs w:val="22"/>
        </w:rPr>
      </w:pPr>
      <w:r w:rsidRPr="005E660C">
        <w:rPr>
          <w:rFonts w:asciiTheme="minorHAnsi" w:hAnsiTheme="minorHAnsi" w:cstheme="minorHAnsi"/>
          <w:b/>
          <w:sz w:val="22"/>
          <w:szCs w:val="22"/>
        </w:rPr>
        <w:t>For Further information about the Company</w:t>
      </w:r>
      <w:r w:rsidR="00D143A2" w:rsidRPr="005E660C">
        <w:rPr>
          <w:rFonts w:asciiTheme="minorHAnsi" w:hAnsiTheme="minorHAnsi" w:cstheme="minorHAnsi"/>
          <w:b/>
          <w:sz w:val="22"/>
          <w:szCs w:val="22"/>
        </w:rPr>
        <w:t>,</w:t>
      </w:r>
      <w:r w:rsidRPr="005E660C">
        <w:rPr>
          <w:rFonts w:asciiTheme="minorHAnsi" w:hAnsiTheme="minorHAnsi" w:cstheme="minorHAnsi"/>
          <w:b/>
          <w:sz w:val="22"/>
          <w:szCs w:val="22"/>
        </w:rPr>
        <w:t xml:space="preserve"> please contact:</w:t>
      </w:r>
    </w:p>
    <w:p w14:paraId="216BB438" w14:textId="77777777" w:rsidR="00D81232" w:rsidRPr="005E660C" w:rsidRDefault="00D81232" w:rsidP="005E660C">
      <w:pPr>
        <w:jc w:val="both"/>
        <w:rPr>
          <w:rFonts w:asciiTheme="minorHAnsi" w:hAnsiTheme="minorHAnsi" w:cstheme="minorHAnsi"/>
          <w:color w:val="000000"/>
          <w:sz w:val="22"/>
          <w:szCs w:val="22"/>
        </w:rPr>
      </w:pPr>
      <w:r w:rsidRPr="005E660C">
        <w:rPr>
          <w:rFonts w:asciiTheme="minorHAnsi" w:hAnsiTheme="minorHAnsi" w:cstheme="minorHAnsi"/>
          <w:color w:val="000000"/>
          <w:sz w:val="22"/>
          <w:szCs w:val="22"/>
        </w:rPr>
        <w:t>Jason Walsh</w:t>
      </w:r>
    </w:p>
    <w:p w14:paraId="258DC118" w14:textId="77777777" w:rsidR="00D81232" w:rsidRPr="005E660C" w:rsidRDefault="00D81232" w:rsidP="005E660C">
      <w:pPr>
        <w:autoSpaceDE w:val="0"/>
        <w:autoSpaceDN w:val="0"/>
        <w:adjustRightInd w:val="0"/>
        <w:rPr>
          <w:rFonts w:asciiTheme="minorHAnsi" w:hAnsiTheme="minorHAnsi" w:cstheme="minorHAnsi"/>
          <w:color w:val="000000"/>
          <w:sz w:val="22"/>
          <w:szCs w:val="22"/>
        </w:rPr>
      </w:pPr>
      <w:r w:rsidRPr="005E660C">
        <w:rPr>
          <w:rFonts w:asciiTheme="minorHAnsi" w:hAnsiTheme="minorHAnsi" w:cstheme="minorHAnsi"/>
          <w:color w:val="000000"/>
          <w:sz w:val="22"/>
          <w:szCs w:val="22"/>
        </w:rPr>
        <w:t>Global Li-Ion Graphite Corp.</w:t>
      </w:r>
    </w:p>
    <w:p w14:paraId="4A357F86" w14:textId="77777777" w:rsidR="00D81232" w:rsidRPr="005E660C" w:rsidRDefault="00D81232" w:rsidP="005E660C">
      <w:pPr>
        <w:autoSpaceDE w:val="0"/>
        <w:autoSpaceDN w:val="0"/>
        <w:adjustRightInd w:val="0"/>
        <w:rPr>
          <w:rFonts w:asciiTheme="minorHAnsi" w:hAnsiTheme="minorHAnsi" w:cstheme="minorHAnsi"/>
          <w:color w:val="000000"/>
          <w:sz w:val="22"/>
          <w:szCs w:val="22"/>
        </w:rPr>
      </w:pPr>
      <w:r w:rsidRPr="005E660C">
        <w:rPr>
          <w:rFonts w:asciiTheme="minorHAnsi" w:hAnsiTheme="minorHAnsi" w:cstheme="minorHAnsi"/>
          <w:color w:val="000000"/>
          <w:sz w:val="22"/>
          <w:szCs w:val="22"/>
        </w:rPr>
        <w:t>Telephone 604.608.6314</w:t>
      </w:r>
    </w:p>
    <w:p w14:paraId="016A0E4D" w14:textId="77777777" w:rsidR="00D81232" w:rsidRPr="005E660C" w:rsidRDefault="00D81232" w:rsidP="005E660C">
      <w:pPr>
        <w:autoSpaceDE w:val="0"/>
        <w:autoSpaceDN w:val="0"/>
        <w:adjustRightInd w:val="0"/>
        <w:rPr>
          <w:rFonts w:asciiTheme="minorHAnsi" w:hAnsiTheme="minorHAnsi" w:cstheme="minorHAnsi"/>
          <w:color w:val="000000"/>
          <w:sz w:val="22"/>
          <w:szCs w:val="22"/>
        </w:rPr>
      </w:pPr>
      <w:r w:rsidRPr="005E660C">
        <w:rPr>
          <w:rFonts w:asciiTheme="minorHAnsi" w:hAnsiTheme="minorHAnsi" w:cstheme="minorHAnsi"/>
          <w:color w:val="000000"/>
          <w:sz w:val="22"/>
          <w:szCs w:val="22"/>
        </w:rPr>
        <w:t xml:space="preserve">Email: </w:t>
      </w:r>
      <w:hyperlink r:id="rId12" w:history="1">
        <w:r w:rsidRPr="005E660C">
          <w:rPr>
            <w:rStyle w:val="Hyperlink"/>
            <w:rFonts w:asciiTheme="minorHAnsi" w:hAnsiTheme="minorHAnsi" w:cstheme="minorHAnsi"/>
            <w:sz w:val="22"/>
            <w:szCs w:val="22"/>
          </w:rPr>
          <w:t>info@liongraphite.com</w:t>
        </w:r>
      </w:hyperlink>
      <w:r w:rsidRPr="005E660C">
        <w:rPr>
          <w:rFonts w:asciiTheme="minorHAnsi" w:hAnsiTheme="minorHAnsi" w:cstheme="minorHAnsi"/>
          <w:color w:val="0000FF"/>
          <w:sz w:val="22"/>
          <w:szCs w:val="22"/>
          <w:u w:val="single"/>
        </w:rPr>
        <w:t xml:space="preserve"> </w:t>
      </w:r>
    </w:p>
    <w:p w14:paraId="5CB3528C" w14:textId="77777777" w:rsidR="00D81232" w:rsidRPr="005E660C" w:rsidRDefault="00D81232" w:rsidP="005E660C">
      <w:pPr>
        <w:autoSpaceDE w:val="0"/>
        <w:autoSpaceDN w:val="0"/>
        <w:adjustRightInd w:val="0"/>
        <w:rPr>
          <w:rFonts w:asciiTheme="minorHAnsi" w:hAnsiTheme="minorHAnsi" w:cstheme="minorHAnsi"/>
          <w:color w:val="000000"/>
          <w:sz w:val="22"/>
          <w:szCs w:val="22"/>
        </w:rPr>
      </w:pPr>
    </w:p>
    <w:p w14:paraId="6672B600" w14:textId="77777777" w:rsidR="00D143A2" w:rsidRPr="005E660C" w:rsidRDefault="00D143A2" w:rsidP="00686EEC">
      <w:pPr>
        <w:keepNext/>
        <w:widowControl/>
        <w:jc w:val="both"/>
        <w:rPr>
          <w:rFonts w:asciiTheme="minorHAnsi" w:hAnsiTheme="minorHAnsi" w:cstheme="minorHAnsi"/>
          <w:i/>
          <w:sz w:val="22"/>
          <w:szCs w:val="22"/>
        </w:rPr>
      </w:pPr>
      <w:r w:rsidRPr="005E660C">
        <w:rPr>
          <w:rFonts w:asciiTheme="minorHAnsi" w:hAnsiTheme="minorHAnsi" w:cstheme="minorHAnsi"/>
          <w:i/>
          <w:sz w:val="22"/>
          <w:szCs w:val="22"/>
        </w:rPr>
        <w:t>Neither the Canadian Securities Exchange nor its regulation services provider have reviewed or accept responsibility for the adequacy or accuracy of this press release.</w:t>
      </w:r>
    </w:p>
    <w:p w14:paraId="59BD0DF1" w14:textId="77777777" w:rsidR="00D143A2" w:rsidRPr="005E660C" w:rsidRDefault="00D143A2" w:rsidP="005E660C">
      <w:pPr>
        <w:autoSpaceDE w:val="0"/>
        <w:autoSpaceDN w:val="0"/>
        <w:adjustRightInd w:val="0"/>
        <w:rPr>
          <w:rFonts w:asciiTheme="minorHAnsi" w:hAnsiTheme="minorHAnsi" w:cstheme="minorHAnsi"/>
          <w:color w:val="000000"/>
          <w:sz w:val="22"/>
          <w:szCs w:val="22"/>
        </w:rPr>
      </w:pPr>
    </w:p>
    <w:p w14:paraId="44CCBEA0" w14:textId="77777777" w:rsidR="00D81232" w:rsidRPr="005E660C" w:rsidRDefault="00D81232" w:rsidP="005E660C">
      <w:pPr>
        <w:autoSpaceDE w:val="0"/>
        <w:autoSpaceDN w:val="0"/>
        <w:adjustRightInd w:val="0"/>
        <w:rPr>
          <w:rFonts w:asciiTheme="minorHAnsi" w:hAnsiTheme="minorHAnsi" w:cstheme="minorHAnsi"/>
          <w:b/>
          <w:bCs/>
          <w:color w:val="000000"/>
          <w:sz w:val="22"/>
          <w:szCs w:val="22"/>
        </w:rPr>
      </w:pPr>
      <w:r w:rsidRPr="005E660C">
        <w:rPr>
          <w:rFonts w:asciiTheme="minorHAnsi" w:hAnsiTheme="minorHAnsi" w:cstheme="minorHAnsi"/>
          <w:b/>
          <w:bCs/>
          <w:color w:val="000000"/>
          <w:sz w:val="22"/>
          <w:szCs w:val="22"/>
        </w:rPr>
        <w:t>Forward-Looking Information:</w:t>
      </w:r>
    </w:p>
    <w:p w14:paraId="7DB9E56D" w14:textId="77777777" w:rsidR="00D81232" w:rsidRPr="005E660C" w:rsidRDefault="00D81232" w:rsidP="005E660C">
      <w:pPr>
        <w:autoSpaceDE w:val="0"/>
        <w:autoSpaceDN w:val="0"/>
        <w:adjustRightInd w:val="0"/>
        <w:rPr>
          <w:rFonts w:asciiTheme="minorHAnsi" w:hAnsiTheme="minorHAnsi" w:cstheme="minorHAnsi"/>
          <w:b/>
          <w:bCs/>
          <w:color w:val="000000"/>
          <w:sz w:val="22"/>
          <w:szCs w:val="22"/>
        </w:rPr>
      </w:pPr>
    </w:p>
    <w:p w14:paraId="3D9C08FB" w14:textId="77777777" w:rsidR="00F47128" w:rsidRPr="00F47128" w:rsidRDefault="00F47128" w:rsidP="00F47128">
      <w:pPr>
        <w:jc w:val="both"/>
        <w:rPr>
          <w:rFonts w:asciiTheme="minorHAnsi" w:eastAsia="Calibri" w:hAnsiTheme="minorHAnsi" w:cstheme="minorHAnsi"/>
          <w:bCs/>
          <w:i/>
          <w:iCs/>
          <w:color w:val="000000"/>
          <w:sz w:val="23"/>
          <w:szCs w:val="23"/>
          <w:u w:color="000000"/>
          <w:lang w:eastAsia="en-CA"/>
        </w:rPr>
      </w:pPr>
      <w:r w:rsidRPr="00F47128">
        <w:rPr>
          <w:rFonts w:asciiTheme="minorHAnsi" w:eastAsia="Calibri" w:hAnsiTheme="minorHAnsi" w:cstheme="minorHAnsi"/>
          <w:bCs/>
          <w:i/>
          <w:iCs/>
          <w:color w:val="000000"/>
          <w:sz w:val="23"/>
          <w:szCs w:val="23"/>
          <w:u w:color="000000"/>
          <w:lang w:eastAsia="en-CA"/>
        </w:rPr>
        <w:t xml:space="preserve">This news release contains certain forward-looking statements within the meaning of applicable securities laws. These forward-looking statements generally are identified by words such as "believe," "project," "aim," "expect," "anticipate," "estimate," "intend," "strategy," "future," "opportunity," "plan," "may," "should," "will," "would," and similar expressions. Forward-looking statements made in this news release include statements regarding the Offering and the anticipated use of proceeds of the Offering. Although the Company believes that the expectations and assumptions on which such forward-looking statements and information are based are reasonable, undue reliance should not be placed on the forward-looking statements and information because the Company can give no assurance that they will prove to be correct. Since forward-looking statements and information address future events and conditions, by their very nature they involve inherent risks and uncertainties. Many factors could cause actual future events to differ materially from the forward-looking statements in this news release. The forward-looking statements included in this news release are expressly qualified by this cautionary statement. The forward-looking statements and information contained in this news release are made as of the date hereof and the Company undertakes no obligation to update publicly or revise any forward-looking statements or information, whether </w:t>
      </w:r>
      <w:proofErr w:type="gramStart"/>
      <w:r w:rsidRPr="00F47128">
        <w:rPr>
          <w:rFonts w:asciiTheme="minorHAnsi" w:eastAsia="Calibri" w:hAnsiTheme="minorHAnsi" w:cstheme="minorHAnsi"/>
          <w:bCs/>
          <w:i/>
          <w:iCs/>
          <w:color w:val="000000"/>
          <w:sz w:val="23"/>
          <w:szCs w:val="23"/>
          <w:u w:color="000000"/>
          <w:lang w:eastAsia="en-CA"/>
        </w:rPr>
        <w:t>as a result of</w:t>
      </w:r>
      <w:proofErr w:type="gramEnd"/>
      <w:r w:rsidRPr="00F47128">
        <w:rPr>
          <w:rFonts w:asciiTheme="minorHAnsi" w:eastAsia="Calibri" w:hAnsiTheme="minorHAnsi" w:cstheme="minorHAnsi"/>
          <w:bCs/>
          <w:i/>
          <w:iCs/>
          <w:color w:val="000000"/>
          <w:sz w:val="23"/>
          <w:szCs w:val="23"/>
          <w:u w:color="000000"/>
          <w:lang w:eastAsia="en-CA"/>
        </w:rPr>
        <w:t xml:space="preserve"> new information, future events or otherwise, unless so required by applicable laws.</w:t>
      </w:r>
      <w:r w:rsidRPr="00F47128">
        <w:rPr>
          <w:rFonts w:asciiTheme="minorHAnsi" w:hAnsiTheme="minorHAnsi" w:cstheme="minorHAnsi"/>
          <w:sz w:val="23"/>
          <w:szCs w:val="23"/>
        </w:rPr>
        <w:t xml:space="preserve"> </w:t>
      </w:r>
      <w:r w:rsidRPr="00F47128">
        <w:rPr>
          <w:rFonts w:asciiTheme="minorHAnsi" w:eastAsia="Calibri" w:hAnsiTheme="minorHAnsi" w:cstheme="minorHAnsi"/>
          <w:bCs/>
          <w:i/>
          <w:iCs/>
          <w:color w:val="000000"/>
          <w:sz w:val="23"/>
          <w:szCs w:val="23"/>
          <w:u w:color="000000"/>
          <w:lang w:eastAsia="en-CA"/>
        </w:rPr>
        <w:t>The forward-looking statements or information contained in this news release are expressly qualified by this cautionary statement.</w:t>
      </w:r>
    </w:p>
    <w:p w14:paraId="1D0A5428" w14:textId="77777777" w:rsidR="00FA7882" w:rsidRPr="00F47128" w:rsidRDefault="00FA7882" w:rsidP="009065DE">
      <w:pPr>
        <w:jc w:val="both"/>
        <w:rPr>
          <w:rFonts w:asciiTheme="minorHAnsi" w:hAnsiTheme="minorHAnsi" w:cstheme="minorHAnsi"/>
          <w:sz w:val="23"/>
          <w:szCs w:val="23"/>
        </w:rPr>
      </w:pPr>
    </w:p>
    <w:sectPr w:rsidR="00FA7882" w:rsidRPr="00F47128" w:rsidSect="007A2264">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54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8EF1A" w14:textId="77777777" w:rsidR="009E5238" w:rsidRDefault="009E5238" w:rsidP="00362E78">
      <w:r>
        <w:separator/>
      </w:r>
    </w:p>
  </w:endnote>
  <w:endnote w:type="continuationSeparator" w:id="0">
    <w:p w14:paraId="44094586" w14:textId="77777777" w:rsidR="009E5238" w:rsidRDefault="009E5238" w:rsidP="0036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FFE5" w14:textId="77777777" w:rsidR="007A2264" w:rsidRDefault="007A2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9150" w14:textId="1089C437" w:rsidR="007A2264" w:rsidRDefault="007A2264" w:rsidP="007A2264">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686EEC">
      <w:rPr>
        <w:rFonts w:ascii="Arial" w:hAnsi="Arial" w:cs="Arial"/>
        <w:sz w:val="16"/>
      </w:rPr>
      <w:t>1379-2962-2303,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6C73" w14:textId="77777777" w:rsidR="007A2264" w:rsidRDefault="007A2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7C87" w14:textId="77777777" w:rsidR="009E5238" w:rsidRDefault="009E5238" w:rsidP="00362E78">
      <w:r>
        <w:separator/>
      </w:r>
    </w:p>
  </w:footnote>
  <w:footnote w:type="continuationSeparator" w:id="0">
    <w:p w14:paraId="5270C519" w14:textId="77777777" w:rsidR="009E5238" w:rsidRDefault="009E5238" w:rsidP="00362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4750" w14:textId="77777777" w:rsidR="007A2264" w:rsidRDefault="007A2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E96E" w14:textId="77777777" w:rsidR="007A2264" w:rsidRDefault="007A22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1C81" w14:textId="77777777" w:rsidR="007A2264" w:rsidRDefault="007A2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31089"/>
    <w:multiLevelType w:val="hybridMultilevel"/>
    <w:tmpl w:val="15D26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D659BB"/>
    <w:multiLevelType w:val="hybridMultilevel"/>
    <w:tmpl w:val="97BED3A4"/>
    <w:lvl w:ilvl="0" w:tplc="BA02795E">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97746444">
    <w:abstractNumId w:val="0"/>
  </w:num>
  <w:num w:numId="2" w16cid:durableId="506868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1379-2962-2303, v. 2"/>
    <w:docVar w:name="ndGeneratedStampLocation" w:val="EachPage"/>
  </w:docVars>
  <w:rsids>
    <w:rsidRoot w:val="004F4628"/>
    <w:rsid w:val="00055597"/>
    <w:rsid w:val="00060E2D"/>
    <w:rsid w:val="00076735"/>
    <w:rsid w:val="00080082"/>
    <w:rsid w:val="00083CD4"/>
    <w:rsid w:val="0009129A"/>
    <w:rsid w:val="000B2AE9"/>
    <w:rsid w:val="000B7F9E"/>
    <w:rsid w:val="000D10AA"/>
    <w:rsid w:val="000D5330"/>
    <w:rsid w:val="000E0672"/>
    <w:rsid w:val="000E33B9"/>
    <w:rsid w:val="000F3988"/>
    <w:rsid w:val="00106F21"/>
    <w:rsid w:val="00111178"/>
    <w:rsid w:val="00117FED"/>
    <w:rsid w:val="001242CC"/>
    <w:rsid w:val="00146CC5"/>
    <w:rsid w:val="00153D5C"/>
    <w:rsid w:val="00186996"/>
    <w:rsid w:val="00197864"/>
    <w:rsid w:val="001B7521"/>
    <w:rsid w:val="001D273A"/>
    <w:rsid w:val="00206921"/>
    <w:rsid w:val="002110AC"/>
    <w:rsid w:val="002116E3"/>
    <w:rsid w:val="00220A6F"/>
    <w:rsid w:val="00260314"/>
    <w:rsid w:val="00277FE5"/>
    <w:rsid w:val="002952E4"/>
    <w:rsid w:val="002A444E"/>
    <w:rsid w:val="002B3960"/>
    <w:rsid w:val="002C6B5B"/>
    <w:rsid w:val="002D282B"/>
    <w:rsid w:val="002D6226"/>
    <w:rsid w:val="002E009A"/>
    <w:rsid w:val="002E0F88"/>
    <w:rsid w:val="002F2762"/>
    <w:rsid w:val="00313A1F"/>
    <w:rsid w:val="00314157"/>
    <w:rsid w:val="00327EAE"/>
    <w:rsid w:val="00342CFF"/>
    <w:rsid w:val="00361C77"/>
    <w:rsid w:val="00362E78"/>
    <w:rsid w:val="00372C5A"/>
    <w:rsid w:val="0037525F"/>
    <w:rsid w:val="00382CEB"/>
    <w:rsid w:val="00390AE2"/>
    <w:rsid w:val="00393289"/>
    <w:rsid w:val="003B4B06"/>
    <w:rsid w:val="003D0568"/>
    <w:rsid w:val="003D1D13"/>
    <w:rsid w:val="003E5A71"/>
    <w:rsid w:val="00405BE4"/>
    <w:rsid w:val="004262D7"/>
    <w:rsid w:val="004313AC"/>
    <w:rsid w:val="0043669F"/>
    <w:rsid w:val="00442EAB"/>
    <w:rsid w:val="00450D4B"/>
    <w:rsid w:val="004641E0"/>
    <w:rsid w:val="00482FE6"/>
    <w:rsid w:val="004C6167"/>
    <w:rsid w:val="004D5DF2"/>
    <w:rsid w:val="004F4628"/>
    <w:rsid w:val="004F7191"/>
    <w:rsid w:val="00503721"/>
    <w:rsid w:val="00506B2F"/>
    <w:rsid w:val="0051141A"/>
    <w:rsid w:val="00527E25"/>
    <w:rsid w:val="00560631"/>
    <w:rsid w:val="00563164"/>
    <w:rsid w:val="00572DA2"/>
    <w:rsid w:val="0057539D"/>
    <w:rsid w:val="005A1A7A"/>
    <w:rsid w:val="005C7215"/>
    <w:rsid w:val="005E29CA"/>
    <w:rsid w:val="005E660C"/>
    <w:rsid w:val="00614045"/>
    <w:rsid w:val="006236C0"/>
    <w:rsid w:val="00653FBA"/>
    <w:rsid w:val="006739D9"/>
    <w:rsid w:val="00680FFA"/>
    <w:rsid w:val="00686EEC"/>
    <w:rsid w:val="006C4799"/>
    <w:rsid w:val="006D7CE4"/>
    <w:rsid w:val="007075C5"/>
    <w:rsid w:val="007113FC"/>
    <w:rsid w:val="00727E71"/>
    <w:rsid w:val="007412C6"/>
    <w:rsid w:val="007661AC"/>
    <w:rsid w:val="007A2264"/>
    <w:rsid w:val="007D11B8"/>
    <w:rsid w:val="007E1105"/>
    <w:rsid w:val="007F7156"/>
    <w:rsid w:val="00810161"/>
    <w:rsid w:val="0082559D"/>
    <w:rsid w:val="00877B67"/>
    <w:rsid w:val="00886BFD"/>
    <w:rsid w:val="008A4A2A"/>
    <w:rsid w:val="008C4EA2"/>
    <w:rsid w:val="008D0DF5"/>
    <w:rsid w:val="008F6AB2"/>
    <w:rsid w:val="009065DE"/>
    <w:rsid w:val="00911EE9"/>
    <w:rsid w:val="00925788"/>
    <w:rsid w:val="009341EF"/>
    <w:rsid w:val="00937CA0"/>
    <w:rsid w:val="00981233"/>
    <w:rsid w:val="00982255"/>
    <w:rsid w:val="009B767F"/>
    <w:rsid w:val="009C4693"/>
    <w:rsid w:val="009C6512"/>
    <w:rsid w:val="009E5238"/>
    <w:rsid w:val="00A02A5F"/>
    <w:rsid w:val="00A32F4E"/>
    <w:rsid w:val="00A464C0"/>
    <w:rsid w:val="00A469D4"/>
    <w:rsid w:val="00A51B79"/>
    <w:rsid w:val="00A60F55"/>
    <w:rsid w:val="00A65E36"/>
    <w:rsid w:val="00A6648F"/>
    <w:rsid w:val="00A8482D"/>
    <w:rsid w:val="00AD69E9"/>
    <w:rsid w:val="00AE6EFC"/>
    <w:rsid w:val="00B250AC"/>
    <w:rsid w:val="00B4440D"/>
    <w:rsid w:val="00B56B80"/>
    <w:rsid w:val="00BB6973"/>
    <w:rsid w:val="00BB731F"/>
    <w:rsid w:val="00BC795E"/>
    <w:rsid w:val="00BF3137"/>
    <w:rsid w:val="00BF638A"/>
    <w:rsid w:val="00BF7904"/>
    <w:rsid w:val="00C13D56"/>
    <w:rsid w:val="00C20552"/>
    <w:rsid w:val="00C31FD1"/>
    <w:rsid w:val="00C32E39"/>
    <w:rsid w:val="00C765B8"/>
    <w:rsid w:val="00C807C0"/>
    <w:rsid w:val="00C90A61"/>
    <w:rsid w:val="00C92954"/>
    <w:rsid w:val="00CC3521"/>
    <w:rsid w:val="00CD09A0"/>
    <w:rsid w:val="00CD461C"/>
    <w:rsid w:val="00CE0C6D"/>
    <w:rsid w:val="00CF4332"/>
    <w:rsid w:val="00CF77DD"/>
    <w:rsid w:val="00D0264A"/>
    <w:rsid w:val="00D032CF"/>
    <w:rsid w:val="00D07EE6"/>
    <w:rsid w:val="00D143A2"/>
    <w:rsid w:val="00D34E44"/>
    <w:rsid w:val="00D42BC5"/>
    <w:rsid w:val="00D571DD"/>
    <w:rsid w:val="00D71AC7"/>
    <w:rsid w:val="00D81232"/>
    <w:rsid w:val="00D860E3"/>
    <w:rsid w:val="00DA3075"/>
    <w:rsid w:val="00DB3602"/>
    <w:rsid w:val="00DB7AC0"/>
    <w:rsid w:val="00DD574E"/>
    <w:rsid w:val="00DE2403"/>
    <w:rsid w:val="00DE5F7A"/>
    <w:rsid w:val="00DF1BE0"/>
    <w:rsid w:val="00E008CE"/>
    <w:rsid w:val="00E05C67"/>
    <w:rsid w:val="00E175E5"/>
    <w:rsid w:val="00E31CD8"/>
    <w:rsid w:val="00E419A3"/>
    <w:rsid w:val="00E455E1"/>
    <w:rsid w:val="00E466A8"/>
    <w:rsid w:val="00E56B3C"/>
    <w:rsid w:val="00E62FF0"/>
    <w:rsid w:val="00E7045E"/>
    <w:rsid w:val="00E70DA6"/>
    <w:rsid w:val="00E83F8F"/>
    <w:rsid w:val="00E9568D"/>
    <w:rsid w:val="00EA3D9B"/>
    <w:rsid w:val="00EA5C37"/>
    <w:rsid w:val="00EB356E"/>
    <w:rsid w:val="00EB6DCA"/>
    <w:rsid w:val="00ED2E45"/>
    <w:rsid w:val="00EE50E9"/>
    <w:rsid w:val="00EF635C"/>
    <w:rsid w:val="00F041A6"/>
    <w:rsid w:val="00F05429"/>
    <w:rsid w:val="00F15CD7"/>
    <w:rsid w:val="00F30C01"/>
    <w:rsid w:val="00F47128"/>
    <w:rsid w:val="00F52518"/>
    <w:rsid w:val="00F525E4"/>
    <w:rsid w:val="00F65557"/>
    <w:rsid w:val="00F9618C"/>
    <w:rsid w:val="00FA7882"/>
    <w:rsid w:val="00FC1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050BB0"/>
  <w15:chartTrackingRefBased/>
  <w15:docId w15:val="{D86AF090-CF82-45B3-89A9-89603764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val="en-CA" w:eastAsia="hi-IN" w:bidi="hi-IN"/>
    </w:rPr>
  </w:style>
  <w:style w:type="paragraph" w:styleId="Heading2">
    <w:name w:val="heading 2"/>
    <w:basedOn w:val="Normal"/>
    <w:next w:val="Normal"/>
    <w:link w:val="Heading2Char"/>
    <w:uiPriority w:val="9"/>
    <w:semiHidden/>
    <w:unhideWhenUsed/>
    <w:qFormat/>
    <w:rsid w:val="002E0F88"/>
    <w:pPr>
      <w:keepNext/>
      <w:keepLines/>
      <w:spacing w:before="40"/>
      <w:outlineLvl w:val="1"/>
    </w:pPr>
    <w:rPr>
      <w:rFonts w:asciiTheme="majorHAnsi" w:eastAsiaTheme="majorEastAsia" w:hAnsiTheme="majorHAnsi"/>
      <w:color w:val="2E74B5" w:themeColor="accent1" w:themeShade="BF"/>
      <w:sz w:val="26"/>
      <w:szCs w:val="23"/>
    </w:rPr>
  </w:style>
  <w:style w:type="paragraph" w:styleId="Heading5">
    <w:name w:val="heading 5"/>
    <w:basedOn w:val="Normal"/>
    <w:link w:val="Heading5Char"/>
    <w:uiPriority w:val="9"/>
    <w:qFormat/>
    <w:rsid w:val="00197864"/>
    <w:pPr>
      <w:widowControl/>
      <w:suppressAutoHyphens w:val="0"/>
      <w:spacing w:before="150" w:after="150"/>
      <w:outlineLvl w:val="4"/>
    </w:pPr>
    <w:rPr>
      <w:rFonts w:ascii="inherit" w:eastAsia="Times New Roman" w:hAnsi="inherit" w:cs="Times New Roman"/>
      <w:kern w:val="0"/>
      <w:sz w:val="21"/>
      <w:szCs w:val="21"/>
      <w:lang w:val="en-US" w:eastAsia="en-US" w:bidi="ar-SA"/>
    </w:rPr>
  </w:style>
  <w:style w:type="paragraph" w:styleId="Heading6">
    <w:name w:val="heading 6"/>
    <w:basedOn w:val="Normal"/>
    <w:link w:val="Heading6Char"/>
    <w:uiPriority w:val="9"/>
    <w:qFormat/>
    <w:rsid w:val="00197864"/>
    <w:pPr>
      <w:widowControl/>
      <w:suppressAutoHyphens w:val="0"/>
      <w:spacing w:before="150" w:after="150"/>
      <w:outlineLvl w:val="5"/>
    </w:pPr>
    <w:rPr>
      <w:rFonts w:ascii="inherit" w:eastAsia="Times New Roman" w:hAnsi="inherit" w:cs="Times New Roman"/>
      <w:kern w:val="0"/>
      <w:sz w:val="18"/>
      <w:szCs w:val="1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character" w:customStyle="1" w:styleId="Heading5Char">
    <w:name w:val="Heading 5 Char"/>
    <w:link w:val="Heading5"/>
    <w:uiPriority w:val="9"/>
    <w:rsid w:val="00197864"/>
    <w:rPr>
      <w:rFonts w:ascii="inherit" w:hAnsi="inherit"/>
      <w:sz w:val="21"/>
      <w:szCs w:val="21"/>
    </w:rPr>
  </w:style>
  <w:style w:type="character" w:customStyle="1" w:styleId="Heading6Char">
    <w:name w:val="Heading 6 Char"/>
    <w:link w:val="Heading6"/>
    <w:uiPriority w:val="9"/>
    <w:rsid w:val="00197864"/>
    <w:rPr>
      <w:rFonts w:ascii="inherit" w:hAnsi="inherit"/>
      <w:sz w:val="18"/>
      <w:szCs w:val="18"/>
    </w:rPr>
  </w:style>
  <w:style w:type="character" w:styleId="CommentReference">
    <w:name w:val="annotation reference"/>
    <w:uiPriority w:val="99"/>
    <w:semiHidden/>
    <w:unhideWhenUsed/>
    <w:rsid w:val="00FA7882"/>
    <w:rPr>
      <w:sz w:val="16"/>
      <w:szCs w:val="16"/>
    </w:rPr>
  </w:style>
  <w:style w:type="paragraph" w:styleId="CommentText">
    <w:name w:val="annotation text"/>
    <w:basedOn w:val="Normal"/>
    <w:link w:val="CommentTextChar"/>
    <w:uiPriority w:val="99"/>
    <w:semiHidden/>
    <w:unhideWhenUsed/>
    <w:rsid w:val="00FA7882"/>
    <w:rPr>
      <w:sz w:val="20"/>
      <w:szCs w:val="18"/>
    </w:rPr>
  </w:style>
  <w:style w:type="character" w:customStyle="1" w:styleId="CommentTextChar">
    <w:name w:val="Comment Text Char"/>
    <w:link w:val="CommentText"/>
    <w:uiPriority w:val="99"/>
    <w:semiHidden/>
    <w:rsid w:val="00FA7882"/>
    <w:rPr>
      <w:rFonts w:eastAsia="SimSun" w:cs="Mangal"/>
      <w:kern w:val="1"/>
      <w:szCs w:val="18"/>
      <w:lang w:val="en-CA" w:eastAsia="hi-IN" w:bidi="hi-IN"/>
    </w:rPr>
  </w:style>
  <w:style w:type="paragraph" w:styleId="CommentSubject">
    <w:name w:val="annotation subject"/>
    <w:basedOn w:val="CommentText"/>
    <w:next w:val="CommentText"/>
    <w:link w:val="CommentSubjectChar"/>
    <w:uiPriority w:val="99"/>
    <w:semiHidden/>
    <w:unhideWhenUsed/>
    <w:rsid w:val="00FA7882"/>
    <w:rPr>
      <w:b/>
      <w:bCs/>
    </w:rPr>
  </w:style>
  <w:style w:type="character" w:customStyle="1" w:styleId="CommentSubjectChar">
    <w:name w:val="Comment Subject Char"/>
    <w:link w:val="CommentSubject"/>
    <w:uiPriority w:val="99"/>
    <w:semiHidden/>
    <w:rsid w:val="00FA7882"/>
    <w:rPr>
      <w:rFonts w:eastAsia="SimSun" w:cs="Mangal"/>
      <w:b/>
      <w:bCs/>
      <w:kern w:val="1"/>
      <w:szCs w:val="18"/>
      <w:lang w:val="en-CA" w:eastAsia="hi-IN" w:bidi="hi-IN"/>
    </w:rPr>
  </w:style>
  <w:style w:type="paragraph" w:styleId="Revision">
    <w:name w:val="Revision"/>
    <w:hidden/>
    <w:uiPriority w:val="99"/>
    <w:semiHidden/>
    <w:rsid w:val="00FA7882"/>
    <w:rPr>
      <w:rFonts w:eastAsia="SimSun" w:cs="Mangal"/>
      <w:kern w:val="1"/>
      <w:sz w:val="24"/>
      <w:szCs w:val="21"/>
      <w:lang w:val="en-CA" w:eastAsia="hi-IN" w:bidi="hi-IN"/>
    </w:rPr>
  </w:style>
  <w:style w:type="paragraph" w:styleId="BalloonText">
    <w:name w:val="Balloon Text"/>
    <w:basedOn w:val="Normal"/>
    <w:link w:val="BalloonTextChar"/>
    <w:uiPriority w:val="99"/>
    <w:semiHidden/>
    <w:unhideWhenUsed/>
    <w:rsid w:val="00FA7882"/>
    <w:rPr>
      <w:rFonts w:ascii="Tahoma" w:hAnsi="Tahoma"/>
      <w:sz w:val="16"/>
      <w:szCs w:val="14"/>
    </w:rPr>
  </w:style>
  <w:style w:type="character" w:customStyle="1" w:styleId="BalloonTextChar">
    <w:name w:val="Balloon Text Char"/>
    <w:link w:val="BalloonText"/>
    <w:uiPriority w:val="99"/>
    <w:semiHidden/>
    <w:rsid w:val="00FA7882"/>
    <w:rPr>
      <w:rFonts w:ascii="Tahoma" w:eastAsia="SimSun" w:hAnsi="Tahoma" w:cs="Mangal"/>
      <w:kern w:val="1"/>
      <w:sz w:val="16"/>
      <w:szCs w:val="14"/>
      <w:lang w:val="en-CA" w:eastAsia="hi-IN" w:bidi="hi-IN"/>
    </w:rPr>
  </w:style>
  <w:style w:type="character" w:styleId="Hyperlink">
    <w:name w:val="Hyperlink"/>
    <w:uiPriority w:val="99"/>
    <w:unhideWhenUsed/>
    <w:rsid w:val="00D81232"/>
    <w:rPr>
      <w:color w:val="0000FF"/>
      <w:u w:val="single"/>
    </w:rPr>
  </w:style>
  <w:style w:type="paragraph" w:styleId="ListParagraph">
    <w:name w:val="List Paragraph"/>
    <w:basedOn w:val="Normal"/>
    <w:uiPriority w:val="34"/>
    <w:qFormat/>
    <w:rsid w:val="00D143A2"/>
    <w:pPr>
      <w:widowControl/>
      <w:suppressAutoHyphens w:val="0"/>
      <w:spacing w:after="160" w:line="259" w:lineRule="auto"/>
      <w:ind w:left="720"/>
      <w:contextualSpacing/>
    </w:pPr>
    <w:rPr>
      <w:rFonts w:ascii="Calibri" w:eastAsia="Calibri" w:hAnsi="Calibri" w:cs="Times New Roman"/>
      <w:kern w:val="0"/>
      <w:sz w:val="22"/>
      <w:szCs w:val="22"/>
      <w:lang w:val="en-US" w:eastAsia="en-US" w:bidi="ar-SA"/>
    </w:rPr>
  </w:style>
  <w:style w:type="paragraph" w:styleId="Header">
    <w:name w:val="header"/>
    <w:basedOn w:val="Normal"/>
    <w:link w:val="HeaderChar"/>
    <w:uiPriority w:val="99"/>
    <w:unhideWhenUsed/>
    <w:rsid w:val="00362E78"/>
    <w:pPr>
      <w:tabs>
        <w:tab w:val="center" w:pos="4680"/>
        <w:tab w:val="right" w:pos="9360"/>
      </w:tabs>
    </w:pPr>
    <w:rPr>
      <w:szCs w:val="21"/>
    </w:rPr>
  </w:style>
  <w:style w:type="character" w:customStyle="1" w:styleId="HeaderChar">
    <w:name w:val="Header Char"/>
    <w:link w:val="Header"/>
    <w:uiPriority w:val="99"/>
    <w:rsid w:val="00362E78"/>
    <w:rPr>
      <w:rFonts w:eastAsia="SimSun" w:cs="Mangal"/>
      <w:kern w:val="1"/>
      <w:sz w:val="24"/>
      <w:szCs w:val="21"/>
      <w:lang w:val="en-CA" w:eastAsia="hi-IN" w:bidi="hi-IN"/>
    </w:rPr>
  </w:style>
  <w:style w:type="paragraph" w:styleId="Footer">
    <w:name w:val="footer"/>
    <w:basedOn w:val="Normal"/>
    <w:link w:val="FooterChar"/>
    <w:uiPriority w:val="99"/>
    <w:unhideWhenUsed/>
    <w:rsid w:val="00362E78"/>
    <w:pPr>
      <w:tabs>
        <w:tab w:val="center" w:pos="4680"/>
        <w:tab w:val="right" w:pos="9360"/>
      </w:tabs>
    </w:pPr>
    <w:rPr>
      <w:szCs w:val="21"/>
    </w:rPr>
  </w:style>
  <w:style w:type="character" w:customStyle="1" w:styleId="FooterChar">
    <w:name w:val="Footer Char"/>
    <w:link w:val="Footer"/>
    <w:uiPriority w:val="99"/>
    <w:rsid w:val="00362E78"/>
    <w:rPr>
      <w:rFonts w:eastAsia="SimSun" w:cs="Mangal"/>
      <w:kern w:val="1"/>
      <w:sz w:val="24"/>
      <w:szCs w:val="21"/>
      <w:lang w:val="en-CA" w:eastAsia="hi-IN" w:bidi="hi-IN"/>
    </w:rPr>
  </w:style>
  <w:style w:type="paragraph" w:styleId="NormalWeb">
    <w:name w:val="Normal (Web)"/>
    <w:basedOn w:val="Normal"/>
    <w:uiPriority w:val="99"/>
    <w:unhideWhenUsed/>
    <w:rsid w:val="00E56B3C"/>
    <w:pPr>
      <w:widowControl/>
      <w:suppressAutoHyphens w:val="0"/>
      <w:spacing w:before="100" w:beforeAutospacing="1" w:after="100" w:afterAutospacing="1"/>
    </w:pPr>
    <w:rPr>
      <w:rFonts w:eastAsia="Times New Roman" w:cs="Times New Roman"/>
      <w:kern w:val="0"/>
      <w:lang w:val="en-US" w:eastAsia="en-US" w:bidi="ar-SA"/>
    </w:rPr>
  </w:style>
  <w:style w:type="character" w:customStyle="1" w:styleId="Heading2Char">
    <w:name w:val="Heading 2 Char"/>
    <w:basedOn w:val="DefaultParagraphFont"/>
    <w:link w:val="Heading2"/>
    <w:uiPriority w:val="9"/>
    <w:semiHidden/>
    <w:rsid w:val="002E0F88"/>
    <w:rPr>
      <w:rFonts w:asciiTheme="majorHAnsi" w:eastAsiaTheme="majorEastAsia" w:hAnsiTheme="majorHAnsi" w:cs="Mangal"/>
      <w:color w:val="2E74B5" w:themeColor="accent1" w:themeShade="BF"/>
      <w:kern w:val="1"/>
      <w:sz w:val="26"/>
      <w:szCs w:val="23"/>
      <w:lang w:val="en-CA"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80561">
      <w:bodyDiv w:val="1"/>
      <w:marLeft w:val="0"/>
      <w:marRight w:val="0"/>
      <w:marTop w:val="0"/>
      <w:marBottom w:val="0"/>
      <w:divBdr>
        <w:top w:val="none" w:sz="0" w:space="0" w:color="auto"/>
        <w:left w:val="none" w:sz="0" w:space="0" w:color="auto"/>
        <w:bottom w:val="none" w:sz="0" w:space="0" w:color="auto"/>
        <w:right w:val="none" w:sz="0" w:space="0" w:color="auto"/>
      </w:divBdr>
    </w:div>
    <w:div w:id="643656219">
      <w:bodyDiv w:val="1"/>
      <w:marLeft w:val="0"/>
      <w:marRight w:val="0"/>
      <w:marTop w:val="0"/>
      <w:marBottom w:val="0"/>
      <w:divBdr>
        <w:top w:val="none" w:sz="0" w:space="0" w:color="auto"/>
        <w:left w:val="none" w:sz="0" w:space="0" w:color="auto"/>
        <w:bottom w:val="none" w:sz="0" w:space="0" w:color="auto"/>
        <w:right w:val="none" w:sz="0" w:space="0" w:color="auto"/>
      </w:divBdr>
    </w:div>
    <w:div w:id="715856225">
      <w:bodyDiv w:val="1"/>
      <w:marLeft w:val="0"/>
      <w:marRight w:val="0"/>
      <w:marTop w:val="0"/>
      <w:marBottom w:val="0"/>
      <w:divBdr>
        <w:top w:val="none" w:sz="0" w:space="0" w:color="auto"/>
        <w:left w:val="none" w:sz="0" w:space="0" w:color="auto"/>
        <w:bottom w:val="none" w:sz="0" w:space="0" w:color="auto"/>
        <w:right w:val="none" w:sz="0" w:space="0" w:color="auto"/>
      </w:divBdr>
    </w:div>
    <w:div w:id="848106149">
      <w:bodyDiv w:val="1"/>
      <w:marLeft w:val="0"/>
      <w:marRight w:val="0"/>
      <w:marTop w:val="0"/>
      <w:marBottom w:val="0"/>
      <w:divBdr>
        <w:top w:val="none" w:sz="0" w:space="0" w:color="auto"/>
        <w:left w:val="none" w:sz="0" w:space="0" w:color="auto"/>
        <w:bottom w:val="none" w:sz="0" w:space="0" w:color="auto"/>
        <w:right w:val="none" w:sz="0" w:space="0" w:color="auto"/>
      </w:divBdr>
    </w:div>
    <w:div w:id="899949407">
      <w:bodyDiv w:val="1"/>
      <w:marLeft w:val="0"/>
      <w:marRight w:val="0"/>
      <w:marTop w:val="0"/>
      <w:marBottom w:val="0"/>
      <w:divBdr>
        <w:top w:val="none" w:sz="0" w:space="0" w:color="auto"/>
        <w:left w:val="none" w:sz="0" w:space="0" w:color="auto"/>
        <w:bottom w:val="none" w:sz="0" w:space="0" w:color="auto"/>
        <w:right w:val="none" w:sz="0" w:space="0" w:color="auto"/>
      </w:divBdr>
      <w:divsChild>
        <w:div w:id="1000739099">
          <w:marLeft w:val="0"/>
          <w:marRight w:val="0"/>
          <w:marTop w:val="0"/>
          <w:marBottom w:val="0"/>
          <w:divBdr>
            <w:top w:val="none" w:sz="0" w:space="0" w:color="auto"/>
            <w:left w:val="none" w:sz="0" w:space="0" w:color="auto"/>
            <w:bottom w:val="none" w:sz="0" w:space="0" w:color="auto"/>
            <w:right w:val="none" w:sz="0" w:space="0" w:color="auto"/>
          </w:divBdr>
          <w:divsChild>
            <w:div w:id="782073116">
              <w:marLeft w:val="0"/>
              <w:marRight w:val="0"/>
              <w:marTop w:val="0"/>
              <w:marBottom w:val="0"/>
              <w:divBdr>
                <w:top w:val="none" w:sz="0" w:space="0" w:color="auto"/>
                <w:left w:val="none" w:sz="0" w:space="0" w:color="auto"/>
                <w:bottom w:val="none" w:sz="0" w:space="0" w:color="auto"/>
                <w:right w:val="none" w:sz="0" w:space="0" w:color="auto"/>
              </w:divBdr>
              <w:divsChild>
                <w:div w:id="1645305597">
                  <w:marLeft w:val="-225"/>
                  <w:marRight w:val="-225"/>
                  <w:marTop w:val="0"/>
                  <w:marBottom w:val="0"/>
                  <w:divBdr>
                    <w:top w:val="none" w:sz="0" w:space="0" w:color="auto"/>
                    <w:left w:val="none" w:sz="0" w:space="0" w:color="auto"/>
                    <w:bottom w:val="none" w:sz="0" w:space="0" w:color="auto"/>
                    <w:right w:val="none" w:sz="0" w:space="0" w:color="auto"/>
                  </w:divBdr>
                  <w:divsChild>
                    <w:div w:id="65806564">
                      <w:marLeft w:val="0"/>
                      <w:marRight w:val="0"/>
                      <w:marTop w:val="0"/>
                      <w:marBottom w:val="0"/>
                      <w:divBdr>
                        <w:top w:val="none" w:sz="0" w:space="0" w:color="auto"/>
                        <w:left w:val="none" w:sz="0" w:space="0" w:color="auto"/>
                        <w:bottom w:val="none" w:sz="0" w:space="0" w:color="auto"/>
                        <w:right w:val="none" w:sz="0" w:space="0" w:color="auto"/>
                      </w:divBdr>
                      <w:divsChild>
                        <w:div w:id="2125806549">
                          <w:marLeft w:val="-225"/>
                          <w:marRight w:val="-225"/>
                          <w:marTop w:val="0"/>
                          <w:marBottom w:val="0"/>
                          <w:divBdr>
                            <w:top w:val="none" w:sz="0" w:space="0" w:color="auto"/>
                            <w:left w:val="none" w:sz="0" w:space="0" w:color="auto"/>
                            <w:bottom w:val="none" w:sz="0" w:space="0" w:color="auto"/>
                            <w:right w:val="none" w:sz="0" w:space="0" w:color="auto"/>
                          </w:divBdr>
                          <w:divsChild>
                            <w:div w:id="12535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790256">
      <w:bodyDiv w:val="1"/>
      <w:marLeft w:val="0"/>
      <w:marRight w:val="0"/>
      <w:marTop w:val="0"/>
      <w:marBottom w:val="0"/>
      <w:divBdr>
        <w:top w:val="none" w:sz="0" w:space="0" w:color="auto"/>
        <w:left w:val="none" w:sz="0" w:space="0" w:color="auto"/>
        <w:bottom w:val="none" w:sz="0" w:space="0" w:color="auto"/>
        <w:right w:val="none" w:sz="0" w:space="0" w:color="auto"/>
      </w:divBdr>
    </w:div>
    <w:div w:id="1950047881">
      <w:bodyDiv w:val="1"/>
      <w:marLeft w:val="0"/>
      <w:marRight w:val="0"/>
      <w:marTop w:val="0"/>
      <w:marBottom w:val="0"/>
      <w:divBdr>
        <w:top w:val="none" w:sz="0" w:space="0" w:color="auto"/>
        <w:left w:val="none" w:sz="0" w:space="0" w:color="auto"/>
        <w:bottom w:val="none" w:sz="0" w:space="0" w:color="auto"/>
        <w:right w:val="none" w:sz="0" w:space="0" w:color="auto"/>
      </w:divBdr>
    </w:div>
    <w:div w:id="200455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iongraphite.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oballi-iongraphit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hecs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ar.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6466F-5971-4D4D-8D57-F490D94A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846</Words>
  <Characters>4751</Characters>
  <Application>Microsoft Office Word</Application>
  <DocSecurity>0</DocSecurity>
  <Lines>79</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5579</CharactersWithSpaces>
  <SharedDoc>false</SharedDoc>
  <HLinks>
    <vt:vector size="24" baseType="variant">
      <vt:variant>
        <vt:i4>2752531</vt:i4>
      </vt:variant>
      <vt:variant>
        <vt:i4>9</vt:i4>
      </vt:variant>
      <vt:variant>
        <vt:i4>0</vt:i4>
      </vt:variant>
      <vt:variant>
        <vt:i4>5</vt:i4>
      </vt:variant>
      <vt:variant>
        <vt:lpwstr>mailto:info@liongraphite.com</vt:lpwstr>
      </vt:variant>
      <vt:variant>
        <vt:lpwstr/>
      </vt:variant>
      <vt:variant>
        <vt:i4>1572956</vt:i4>
      </vt:variant>
      <vt:variant>
        <vt:i4>6</vt:i4>
      </vt:variant>
      <vt:variant>
        <vt:i4>0</vt:i4>
      </vt:variant>
      <vt:variant>
        <vt:i4>5</vt:i4>
      </vt:variant>
      <vt:variant>
        <vt:lpwstr>http://www.globalli-iongraphite.com/</vt:lpwstr>
      </vt:variant>
      <vt:variant>
        <vt:lpwstr/>
      </vt:variant>
      <vt:variant>
        <vt:i4>2555952</vt:i4>
      </vt:variant>
      <vt:variant>
        <vt:i4>3</vt:i4>
      </vt:variant>
      <vt:variant>
        <vt:i4>0</vt:i4>
      </vt:variant>
      <vt:variant>
        <vt:i4>5</vt:i4>
      </vt:variant>
      <vt:variant>
        <vt:lpwstr>http://www.thecse.com/</vt:lpwstr>
      </vt:variant>
      <vt:variant>
        <vt:lpwstr/>
      </vt:variant>
      <vt:variant>
        <vt:i4>4194325</vt:i4>
      </vt:variant>
      <vt:variant>
        <vt:i4>0</vt:i4>
      </vt:variant>
      <vt:variant>
        <vt:i4>0</vt:i4>
      </vt:variant>
      <vt:variant>
        <vt:i4>5</vt:i4>
      </vt:variant>
      <vt:variant>
        <vt:lpwstr>http://www.sedar.com/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Graham</dc:creator>
  <cp:keywords/>
  <cp:lastModifiedBy>Jason Walsh</cp:lastModifiedBy>
  <cp:revision>2</cp:revision>
  <cp:lastPrinted>2017-10-20T13:12:00Z</cp:lastPrinted>
  <dcterms:created xsi:type="dcterms:W3CDTF">2026-04-22T02:45:00Z</dcterms:created>
  <dcterms:modified xsi:type="dcterms:W3CDTF">2026-04-22T02:45:00Z</dcterms:modified>
</cp:coreProperties>
</file>