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207B7" w:rsidR="00022B1C" w:rsidP="0065274B" w:rsidRDefault="007505FC" w14:paraId="10DD3AF4" w14:textId="6D3F1D82">
      <w:pPr>
        <w:spacing w:line="480" w:lineRule="auto"/>
      </w:pPr>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rsidRPr="0065274B" w:rsidR="00AF6984" w:rsidP="0065274B" w:rsidRDefault="00063966" w14:paraId="257F1875" w14:textId="5882CDDF">
      <w:pPr>
        <w:pStyle w:val="BodyText"/>
        <w:spacing w:before="0" w:line="480" w:lineRule="auto"/>
        <w:jc w:val="center"/>
        <w:outlineLvl w:val="0"/>
        <w:rPr>
          <w:rStyle w:val="SubtleEmphasis"/>
          <w:rFonts w:asciiTheme="minorHAnsi" w:hAnsiTheme="minorHAnsi"/>
          <w:b/>
          <w:sz w:val="28"/>
          <w:szCs w:val="28"/>
        </w:rPr>
      </w:pPr>
      <w:r w:rsidRPr="0065274B">
        <w:rPr>
          <w:rStyle w:val="SubtleEmphasis"/>
          <w:rFonts w:asciiTheme="minorHAnsi" w:hAnsiTheme="minorHAnsi"/>
          <w:b/>
          <w:sz w:val="28"/>
          <w:szCs w:val="28"/>
        </w:rPr>
        <w:t xml:space="preserve">NetCents Technology </w:t>
      </w:r>
      <w:r w:rsidRPr="0065274B" w:rsidR="003C1E70">
        <w:rPr>
          <w:rStyle w:val="SubtleEmphasis"/>
          <w:rFonts w:asciiTheme="minorHAnsi" w:hAnsiTheme="minorHAnsi"/>
          <w:b/>
          <w:sz w:val="28"/>
          <w:szCs w:val="28"/>
        </w:rPr>
        <w:t>E</w:t>
      </w:r>
      <w:r w:rsidRPr="0065274B" w:rsidR="001B43D7">
        <w:rPr>
          <w:rStyle w:val="SubtleEmphasis"/>
          <w:rFonts w:asciiTheme="minorHAnsi" w:hAnsiTheme="minorHAnsi"/>
          <w:b/>
          <w:sz w:val="28"/>
          <w:szCs w:val="28"/>
        </w:rPr>
        <w:t>nters into</w:t>
      </w:r>
      <w:r w:rsidR="004E40CB">
        <w:rPr>
          <w:rStyle w:val="SubtleEmphasis"/>
          <w:rFonts w:asciiTheme="minorHAnsi" w:hAnsiTheme="minorHAnsi"/>
          <w:b/>
          <w:sz w:val="28"/>
          <w:szCs w:val="28"/>
        </w:rPr>
        <w:t xml:space="preserve"> </w:t>
      </w:r>
      <w:r w:rsidRPr="0065274B" w:rsidR="001B43D7">
        <w:rPr>
          <w:rStyle w:val="SubtleEmphasis"/>
          <w:rFonts w:asciiTheme="minorHAnsi" w:hAnsiTheme="minorHAnsi"/>
          <w:b/>
          <w:sz w:val="28"/>
          <w:szCs w:val="28"/>
        </w:rPr>
        <w:t>Agreement with ILO</w:t>
      </w:r>
      <w:r w:rsidR="004E40CB">
        <w:rPr>
          <w:rStyle w:val="SubtleEmphasis"/>
          <w:rFonts w:asciiTheme="minorHAnsi" w:hAnsiTheme="minorHAnsi"/>
          <w:b/>
          <w:sz w:val="28"/>
          <w:szCs w:val="28"/>
        </w:rPr>
        <w:t xml:space="preserve"> Crypto</w:t>
      </w:r>
    </w:p>
    <w:p w:rsidR="002E3472" w:rsidP="63EFB470" w:rsidRDefault="00AF6984" w14:paraId="407A4110" w14:textId="6C10BE63">
      <w:pPr>
        <w:spacing w:after="0" w:line="240" w:lineRule="auto"/>
        <w:rPr>
          <w:lang w:val="en-US"/>
        </w:rPr>
      </w:pPr>
      <w:r w:rsidRPr="63EFB470" w:rsidR="63EFB470">
        <w:rPr>
          <w:b w:val="1"/>
          <w:bCs w:val="1"/>
          <w:lang w:val="en-US"/>
        </w:rPr>
        <w:t>VANCOUVER, B.C., March 1</w:t>
      </w:r>
      <w:r w:rsidRPr="63EFB470" w:rsidR="63EFB470">
        <w:rPr>
          <w:b w:val="1"/>
          <w:bCs w:val="1"/>
          <w:lang w:val="en-US"/>
        </w:rPr>
        <w:t>3</w:t>
      </w:r>
      <w:r w:rsidRPr="63EFB470" w:rsidR="63EFB470">
        <w:rPr>
          <w:b w:val="1"/>
          <w:bCs w:val="1"/>
          <w:lang w:val="en-US"/>
        </w:rPr>
        <w:t>th, 2019</w:t>
      </w:r>
      <w:r w:rsidRPr="63EFB470" w:rsidR="63EFB470">
        <w:rPr>
          <w:lang w:val="en-US"/>
        </w:rPr>
        <w:t xml:space="preserve"> – </w:t>
      </w:r>
      <w:proofErr w:type="spellStart"/>
      <w:r w:rsidRPr="63EFB470" w:rsidR="63EFB470">
        <w:rPr>
          <w:b w:val="1"/>
          <w:bCs w:val="1"/>
          <w:lang w:val="en-US"/>
        </w:rPr>
        <w:t>Net</w:t>
      </w:r>
      <w:r w:rsidRPr="63EFB470" w:rsidR="63EFB470">
        <w:rPr>
          <w:b w:val="1"/>
          <w:bCs w:val="1"/>
          <w:lang w:val="en-US"/>
        </w:rPr>
        <w:t>C</w:t>
      </w:r>
      <w:r w:rsidRPr="63EFB470" w:rsidR="63EFB470">
        <w:rPr>
          <w:b w:val="1"/>
          <w:bCs w:val="1"/>
          <w:lang w:val="en-US"/>
        </w:rPr>
        <w:t>ents</w:t>
      </w:r>
      <w:proofErr w:type="spellEnd"/>
      <w:r w:rsidRPr="63EFB470" w:rsidR="63EFB470">
        <w:rPr>
          <w:b w:val="1"/>
          <w:bCs w:val="1"/>
          <w:lang w:val="en-US"/>
        </w:rPr>
        <w:t xml:space="preserve"> Technology Inc.</w:t>
      </w:r>
      <w:r w:rsidRPr="63EFB470" w:rsidR="63EFB470">
        <w:rPr>
          <w:lang w:val="en-US"/>
        </w:rPr>
        <w:t xml:space="preserve"> (“</w:t>
      </w:r>
      <w:r w:rsidRPr="63EFB470" w:rsidR="63EFB470">
        <w:rPr>
          <w:b w:val="1"/>
          <w:bCs w:val="1"/>
          <w:lang w:val="en-US"/>
        </w:rPr>
        <w:t>NetCents</w:t>
      </w:r>
      <w:r w:rsidRPr="63EFB470" w:rsidR="63EFB470">
        <w:rPr>
          <w:lang w:val="en-US"/>
        </w:rPr>
        <w:t>” or the “</w:t>
      </w:r>
      <w:r w:rsidRPr="63EFB470" w:rsidR="63EFB470">
        <w:rPr>
          <w:b w:val="1"/>
          <w:bCs w:val="1"/>
          <w:lang w:val="en-US"/>
        </w:rPr>
        <w:t>Company</w:t>
      </w:r>
      <w:r w:rsidRPr="63EFB470" w:rsidR="63EFB470">
        <w:rPr>
          <w:lang w:val="en-US"/>
        </w:rPr>
        <w:t>”) (CSE: NC</w:t>
      </w:r>
      <w:r w:rsidR="63EFB470">
        <w:rPr/>
        <w:t>/ Frankfurt: 26N / OTCQB: NTTCF</w:t>
      </w:r>
      <w:r w:rsidRPr="63EFB470" w:rsidR="63EFB470">
        <w:rPr>
          <w:lang w:val="en-US"/>
        </w:rPr>
        <w:t>), is pleased to announce that it has entered into an agreement allowing processing of cryptocurrency payments for ILO Crypto (“ILOCX”, part of ILOCX Limited, London, England.)</w:t>
      </w:r>
    </w:p>
    <w:p w:rsidR="001C65EA" w:rsidP="001C65EA" w:rsidRDefault="001C65EA" w14:paraId="41555EF4" w14:textId="77777777">
      <w:pPr>
        <w:spacing w:after="0" w:line="240" w:lineRule="auto"/>
        <w:rPr>
          <w:lang w:val="en-US"/>
        </w:rPr>
      </w:pPr>
    </w:p>
    <w:p w:rsidR="00D04F1A" w:rsidP="001C65EA" w:rsidRDefault="002D6333" w14:paraId="07E43762" w14:textId="5E542D95">
      <w:pPr>
        <w:spacing w:after="0" w:line="240" w:lineRule="auto"/>
        <w:rPr>
          <w:rFonts w:eastAsia="Questrial"/>
        </w:rPr>
      </w:pPr>
      <w:r>
        <w:rPr>
          <w:lang w:val="en-US"/>
        </w:rPr>
        <w:t xml:space="preserve">Edward Fitzpatrick CEO of </w:t>
      </w:r>
      <w:r w:rsidR="0065274B">
        <w:rPr>
          <w:lang w:val="en-US"/>
        </w:rPr>
        <w:t>ILOCX said</w:t>
      </w:r>
      <w:r>
        <w:rPr>
          <w:lang w:val="en-US"/>
        </w:rPr>
        <w:t xml:space="preserve"> “</w:t>
      </w:r>
      <w:r w:rsidR="00D04F1A">
        <w:rPr>
          <w:lang w:val="en-US"/>
        </w:rPr>
        <w:t xml:space="preserve">The significance of this transaction </w:t>
      </w:r>
      <w:r>
        <w:rPr>
          <w:rFonts w:eastAsia="Questrial"/>
        </w:rPr>
        <w:t xml:space="preserve">is enormous for crypto holders </w:t>
      </w:r>
      <w:r w:rsidR="0065274B">
        <w:rPr>
          <w:rFonts w:eastAsia="Questrial"/>
        </w:rPr>
        <w:t>everywhere</w:t>
      </w:r>
      <w:r>
        <w:rPr>
          <w:rFonts w:eastAsia="Questrial"/>
        </w:rPr>
        <w:t>, this partnership is giving them</w:t>
      </w:r>
      <w:r w:rsidR="0065274B">
        <w:rPr>
          <w:rFonts w:eastAsia="Questrial"/>
        </w:rPr>
        <w:t xml:space="preserve"> high quality</w:t>
      </w:r>
      <w:r>
        <w:rPr>
          <w:rFonts w:eastAsia="Questrial"/>
        </w:rPr>
        <w:t xml:space="preserve"> alternative options for utilizing their capital currently locked in Bitcoin, ETH and various other altcoins. Hundreds of </w:t>
      </w:r>
      <w:r w:rsidR="004E40CB">
        <w:rPr>
          <w:rFonts w:eastAsia="Questrial"/>
        </w:rPr>
        <w:t>b</w:t>
      </w:r>
      <w:r>
        <w:rPr>
          <w:rFonts w:eastAsia="Questrial"/>
        </w:rPr>
        <w:t xml:space="preserve">illions of dollars are sitting in crypto looking for </w:t>
      </w:r>
      <w:r w:rsidR="0065274B">
        <w:rPr>
          <w:rFonts w:eastAsia="Questrial"/>
        </w:rPr>
        <w:t xml:space="preserve">new </w:t>
      </w:r>
      <w:r>
        <w:rPr>
          <w:rFonts w:eastAsia="Questrial"/>
        </w:rPr>
        <w:t xml:space="preserve">ways to put this capital to work, </w:t>
      </w:r>
      <w:r w:rsidR="0065274B">
        <w:rPr>
          <w:rFonts w:eastAsia="Questrial"/>
        </w:rPr>
        <w:t>thanks to this partnership</w:t>
      </w:r>
      <w:r>
        <w:rPr>
          <w:rFonts w:eastAsia="Questrial"/>
        </w:rPr>
        <w:t xml:space="preserve"> NetCents and ILOCX we can say </w:t>
      </w:r>
      <w:r w:rsidR="0065274B">
        <w:rPr>
          <w:rFonts w:eastAsia="Questrial"/>
        </w:rPr>
        <w:t xml:space="preserve">with confidence </w:t>
      </w:r>
      <w:r>
        <w:rPr>
          <w:rFonts w:eastAsia="Questrial"/>
        </w:rPr>
        <w:t xml:space="preserve">that </w:t>
      </w:r>
      <w:r w:rsidR="0065274B">
        <w:rPr>
          <w:rFonts w:eastAsia="Questrial"/>
          <w:b/>
          <w:i/>
        </w:rPr>
        <w:t>t</w:t>
      </w:r>
      <w:r w:rsidRPr="0065274B">
        <w:rPr>
          <w:rFonts w:eastAsia="Questrial"/>
          <w:b/>
          <w:i/>
        </w:rPr>
        <w:t>he era of utilization</w:t>
      </w:r>
      <w:r>
        <w:rPr>
          <w:rFonts w:eastAsia="Questrial"/>
        </w:rPr>
        <w:t xml:space="preserve"> is here”</w:t>
      </w:r>
      <w:r w:rsidR="004E40CB">
        <w:rPr>
          <w:rFonts w:eastAsia="Questrial"/>
        </w:rPr>
        <w:t>.</w:t>
      </w:r>
    </w:p>
    <w:p w:rsidR="001C65EA" w:rsidP="001C65EA" w:rsidRDefault="001C65EA" w14:paraId="478BE139" w14:textId="77777777">
      <w:pPr>
        <w:spacing w:after="0" w:line="240" w:lineRule="auto"/>
        <w:rPr>
          <w:lang w:val="en-US"/>
        </w:rPr>
      </w:pPr>
    </w:p>
    <w:p w:rsidR="009A7D8D" w:rsidP="001C65EA" w:rsidRDefault="00A776F1" w14:paraId="51A682FE" w14:textId="77E4FFCF">
      <w:pPr>
        <w:spacing w:after="0" w:line="240" w:lineRule="auto"/>
        <w:outlineLvl w:val="0"/>
        <w:rPr>
          <w:rFonts w:eastAsia="Questrial"/>
        </w:rPr>
      </w:pPr>
      <w:r>
        <w:rPr>
          <w:rFonts w:eastAsia="Questrial"/>
        </w:rPr>
        <w:t>ILO</w:t>
      </w:r>
      <w:r w:rsidR="002D6333">
        <w:rPr>
          <w:rFonts w:eastAsia="Questrial"/>
        </w:rPr>
        <w:t xml:space="preserve">CX </w:t>
      </w:r>
      <w:r>
        <w:rPr>
          <w:rFonts w:eastAsia="Questrial"/>
        </w:rPr>
        <w:t xml:space="preserve">is a platform which raises </w:t>
      </w:r>
      <w:r w:rsidR="00BA25D4">
        <w:rPr>
          <w:rFonts w:eastAsia="Questrial"/>
        </w:rPr>
        <w:t xml:space="preserve">non-equity </w:t>
      </w:r>
      <w:r>
        <w:rPr>
          <w:rFonts w:eastAsia="Questrial"/>
        </w:rPr>
        <w:t>capital for companies in a unique way by</w:t>
      </w:r>
      <w:r w:rsidR="001B43D7">
        <w:rPr>
          <w:rFonts w:eastAsia="Questrial"/>
        </w:rPr>
        <w:t xml:space="preserve"> </w:t>
      </w:r>
      <w:r w:rsidR="00B0448D">
        <w:rPr>
          <w:rFonts w:eastAsia="Questrial"/>
        </w:rPr>
        <w:t>selling Initial</w:t>
      </w:r>
      <w:r w:rsidR="001B43D7">
        <w:rPr>
          <w:rFonts w:eastAsia="Questrial"/>
        </w:rPr>
        <w:t xml:space="preserve"> License Offerings (“ILO’s”)</w:t>
      </w:r>
      <w:r w:rsidR="00BA25D4">
        <w:rPr>
          <w:rFonts w:eastAsia="Questrial"/>
        </w:rPr>
        <w:t xml:space="preserve">. ILO’s are a revenue-based method of raising capital, </w:t>
      </w:r>
      <w:r w:rsidR="001B43D7">
        <w:rPr>
          <w:rFonts w:eastAsia="Questrial"/>
        </w:rPr>
        <w:t>giv</w:t>
      </w:r>
      <w:r w:rsidR="00BA25D4">
        <w:rPr>
          <w:rFonts w:eastAsia="Questrial"/>
        </w:rPr>
        <w:t xml:space="preserve">ing </w:t>
      </w:r>
      <w:r w:rsidR="001B43D7">
        <w:rPr>
          <w:rFonts w:eastAsia="Questrial"/>
        </w:rPr>
        <w:t>buyer</w:t>
      </w:r>
      <w:r w:rsidR="00BA25D4">
        <w:rPr>
          <w:rFonts w:eastAsia="Questrial"/>
        </w:rPr>
        <w:t>s</w:t>
      </w:r>
      <w:r w:rsidR="001B43D7">
        <w:rPr>
          <w:rFonts w:eastAsia="Questrial"/>
        </w:rPr>
        <w:t xml:space="preserve"> the right to promote and or sell an underlying product</w:t>
      </w:r>
      <w:r w:rsidR="00B0448D">
        <w:rPr>
          <w:rFonts w:eastAsia="Questrial"/>
        </w:rPr>
        <w:t xml:space="preserve"> or service</w:t>
      </w:r>
      <w:r w:rsidR="001B43D7">
        <w:rPr>
          <w:rFonts w:eastAsia="Questrial"/>
        </w:rPr>
        <w:t xml:space="preserve"> and receive royalties based on the gross revenue of the company</w:t>
      </w:r>
      <w:r>
        <w:rPr>
          <w:rFonts w:eastAsia="Questrial"/>
        </w:rPr>
        <w:t xml:space="preserve">. </w:t>
      </w:r>
      <w:r w:rsidR="00BA25D4">
        <w:rPr>
          <w:rFonts w:eastAsia="Questrial"/>
        </w:rPr>
        <w:t xml:space="preserve">ILOCX’s first exchange </w:t>
      </w:r>
      <w:r>
        <w:rPr>
          <w:rFonts w:eastAsia="Questrial"/>
        </w:rPr>
        <w:t xml:space="preserve">platform allows </w:t>
      </w:r>
      <w:r w:rsidR="009A7D8D">
        <w:rPr>
          <w:rFonts w:eastAsia="Questrial"/>
        </w:rPr>
        <w:t xml:space="preserve">its </w:t>
      </w:r>
      <w:r>
        <w:rPr>
          <w:rFonts w:eastAsia="Questrial"/>
        </w:rPr>
        <w:t xml:space="preserve">companies to list </w:t>
      </w:r>
      <w:r w:rsidR="00BA25D4">
        <w:rPr>
          <w:rFonts w:eastAsia="Questrial"/>
        </w:rPr>
        <w:t xml:space="preserve">and sell </w:t>
      </w:r>
      <w:r>
        <w:rPr>
          <w:rFonts w:eastAsia="Questrial"/>
        </w:rPr>
        <w:t>an ILO to raise capital and enhance sales.</w:t>
      </w:r>
      <w:r w:rsidR="00FF62D9">
        <w:rPr>
          <w:rFonts w:eastAsia="Questrial"/>
        </w:rPr>
        <w:t xml:space="preserve"> </w:t>
      </w:r>
      <w:r w:rsidR="002D6333">
        <w:rPr>
          <w:rFonts w:eastAsia="Questrial"/>
        </w:rPr>
        <w:t>ILOCX</w:t>
      </w:r>
      <w:r w:rsidR="00FF62D9">
        <w:rPr>
          <w:rFonts w:eastAsia="Questrial"/>
        </w:rPr>
        <w:t xml:space="preserve"> has signed 54 companies </w:t>
      </w:r>
      <w:r w:rsidR="00BA25D4">
        <w:rPr>
          <w:rFonts w:eastAsia="Questrial"/>
        </w:rPr>
        <w:t>with 20</w:t>
      </w:r>
      <w:r w:rsidR="004E40CB">
        <w:rPr>
          <w:rFonts w:eastAsia="Questrial"/>
        </w:rPr>
        <w:t>+</w:t>
      </w:r>
      <w:r w:rsidR="002D6333">
        <w:rPr>
          <w:rFonts w:eastAsia="Questrial"/>
        </w:rPr>
        <w:t xml:space="preserve"> already</w:t>
      </w:r>
      <w:r w:rsidR="00BA25D4">
        <w:rPr>
          <w:rFonts w:eastAsia="Questrial"/>
        </w:rPr>
        <w:t xml:space="preserve"> listed</w:t>
      </w:r>
      <w:r w:rsidR="00FF62D9">
        <w:rPr>
          <w:rFonts w:eastAsia="Questrial"/>
        </w:rPr>
        <w:t xml:space="preserve"> on the </w:t>
      </w:r>
      <w:r w:rsidR="005028E5">
        <w:rPr>
          <w:rFonts w:eastAsia="Questrial"/>
        </w:rPr>
        <w:t>e</w:t>
      </w:r>
      <w:r w:rsidR="00FF62D9">
        <w:rPr>
          <w:rFonts w:eastAsia="Questrial"/>
        </w:rPr>
        <w:t>xchange</w:t>
      </w:r>
      <w:r w:rsidR="00842058">
        <w:rPr>
          <w:rFonts w:eastAsia="Questrial"/>
        </w:rPr>
        <w:t xml:space="preserve">. Additionally, ILOCX will be </w:t>
      </w:r>
      <w:r w:rsidR="0065274B">
        <w:rPr>
          <w:rFonts w:eastAsia="Questrial"/>
        </w:rPr>
        <w:t xml:space="preserve">approving the listing of </w:t>
      </w:r>
      <w:r w:rsidR="00FF62D9">
        <w:rPr>
          <w:rFonts w:eastAsia="Questrial"/>
        </w:rPr>
        <w:t xml:space="preserve">30+ </w:t>
      </w:r>
      <w:r w:rsidR="0065274B">
        <w:rPr>
          <w:rFonts w:eastAsia="Questrial"/>
        </w:rPr>
        <w:t xml:space="preserve">more </w:t>
      </w:r>
      <w:r w:rsidR="00842058">
        <w:rPr>
          <w:rFonts w:eastAsia="Questrial"/>
        </w:rPr>
        <w:t xml:space="preserve">companies </w:t>
      </w:r>
      <w:r w:rsidR="00FF62D9">
        <w:rPr>
          <w:rFonts w:eastAsia="Questrial"/>
        </w:rPr>
        <w:t xml:space="preserve">over the </w:t>
      </w:r>
      <w:r w:rsidR="002D6333">
        <w:rPr>
          <w:rFonts w:eastAsia="Questrial"/>
        </w:rPr>
        <w:t>coming</w:t>
      </w:r>
      <w:r w:rsidR="00FF62D9">
        <w:rPr>
          <w:rFonts w:eastAsia="Questrial"/>
        </w:rPr>
        <w:t xml:space="preserve"> weeks and </w:t>
      </w:r>
      <w:r w:rsidR="00B0448D">
        <w:rPr>
          <w:rFonts w:eastAsia="Questrial"/>
        </w:rPr>
        <w:t>has over</w:t>
      </w:r>
      <w:r w:rsidR="00842058">
        <w:rPr>
          <w:rFonts w:eastAsia="Questrial"/>
        </w:rPr>
        <w:t xml:space="preserve"> </w:t>
      </w:r>
      <w:r w:rsidR="00FF62D9">
        <w:rPr>
          <w:rFonts w:eastAsia="Questrial"/>
        </w:rPr>
        <w:t>40 companies in the</w:t>
      </w:r>
      <w:r w:rsidR="0065274B">
        <w:rPr>
          <w:rFonts w:eastAsia="Questrial"/>
        </w:rPr>
        <w:t xml:space="preserve"> immediate</w:t>
      </w:r>
      <w:r w:rsidR="00FF62D9">
        <w:rPr>
          <w:rFonts w:eastAsia="Questrial"/>
        </w:rPr>
        <w:t xml:space="preserve"> pipeline.</w:t>
      </w:r>
    </w:p>
    <w:p w:rsidR="001C65EA" w:rsidP="001C65EA" w:rsidRDefault="001C65EA" w14:paraId="7219E4BA" w14:textId="77777777">
      <w:pPr>
        <w:spacing w:after="0" w:line="240" w:lineRule="auto"/>
        <w:outlineLvl w:val="0"/>
        <w:rPr>
          <w:rFonts w:eastAsia="Questrial"/>
        </w:rPr>
      </w:pPr>
    </w:p>
    <w:p w:rsidR="00D84187" w:rsidP="001C65EA" w:rsidRDefault="002D6333" w14:paraId="77BFED09" w14:textId="13FC3134">
      <w:pPr>
        <w:spacing w:after="0" w:line="240" w:lineRule="auto"/>
        <w:outlineLvl w:val="0"/>
        <w:rPr>
          <w:rFonts w:eastAsia="Questrial"/>
        </w:rPr>
      </w:pPr>
      <w:r>
        <w:rPr>
          <w:rFonts w:eastAsia="Questrial"/>
        </w:rPr>
        <w:t>As part of this exclusive agreement with NetCents</w:t>
      </w:r>
      <w:r w:rsidR="004E40CB">
        <w:rPr>
          <w:rFonts w:eastAsia="Questrial"/>
        </w:rPr>
        <w:t>,</w:t>
      </w:r>
      <w:r>
        <w:rPr>
          <w:rFonts w:eastAsia="Questrial"/>
        </w:rPr>
        <w:t xml:space="preserve"> ILOCX has launched </w:t>
      </w:r>
      <w:hyperlink w:history="1" r:id="rId6">
        <w:r w:rsidRPr="00505662">
          <w:rPr>
            <w:rStyle w:val="Hyperlink"/>
            <w:rFonts w:eastAsia="Questrial"/>
          </w:rPr>
          <w:t>www.ILOcrypto.com</w:t>
        </w:r>
      </w:hyperlink>
      <w:r>
        <w:rPr>
          <w:rFonts w:eastAsia="Questrial"/>
        </w:rPr>
        <w:t xml:space="preserve"> a </w:t>
      </w:r>
      <w:r w:rsidR="0065274B">
        <w:rPr>
          <w:rFonts w:eastAsia="Questrial"/>
        </w:rPr>
        <w:t xml:space="preserve">specialist exchange focused on </w:t>
      </w:r>
      <w:r w:rsidR="009A7D8D">
        <w:rPr>
          <w:rFonts w:eastAsia="Questrial"/>
        </w:rPr>
        <w:t>allowing</w:t>
      </w:r>
      <w:r w:rsidR="00A776F1">
        <w:rPr>
          <w:rFonts w:eastAsia="Questrial"/>
        </w:rPr>
        <w:t xml:space="preserve"> anyone holding Bitcoin, ETH, and various other altcoins to use that cryptocurrency to buy ILO’s</w:t>
      </w:r>
      <w:r w:rsidR="009A7D8D">
        <w:rPr>
          <w:rFonts w:eastAsia="Questrial"/>
        </w:rPr>
        <w:t>.</w:t>
      </w:r>
      <w:r w:rsidR="00122B40">
        <w:rPr>
          <w:rFonts w:eastAsia="Questrial"/>
        </w:rPr>
        <w:t xml:space="preserve"> Through th</w:t>
      </w:r>
      <w:r w:rsidR="0065274B">
        <w:rPr>
          <w:rFonts w:eastAsia="Questrial"/>
        </w:rPr>
        <w:t>e</w:t>
      </w:r>
      <w:r w:rsidR="00122B40">
        <w:rPr>
          <w:rFonts w:eastAsia="Questrial"/>
        </w:rPr>
        <w:t xml:space="preserve"> merchant agreement,</w:t>
      </w:r>
      <w:r w:rsidR="008A5F9F">
        <w:rPr>
          <w:rFonts w:eastAsia="Questrial"/>
        </w:rPr>
        <w:t xml:space="preserve"> ILOCX will use the NetCents Merchant Gateway to </w:t>
      </w:r>
      <w:r w:rsidR="001B43D7">
        <w:rPr>
          <w:rFonts w:eastAsia="Questrial"/>
        </w:rPr>
        <w:t>power cryptocurrency transactions for its capital raising services</w:t>
      </w:r>
      <w:r w:rsidR="008A5F9F">
        <w:rPr>
          <w:rFonts w:eastAsia="Questrial"/>
        </w:rPr>
        <w:t xml:space="preserve">. </w:t>
      </w:r>
      <w:r w:rsidR="00FF62D9">
        <w:rPr>
          <w:rFonts w:eastAsia="Questrial"/>
        </w:rPr>
        <w:t xml:space="preserve">With $300 million in deals on the exchange </w:t>
      </w:r>
      <w:r w:rsidR="005028E5">
        <w:rPr>
          <w:rFonts w:eastAsia="Questrial"/>
        </w:rPr>
        <w:t xml:space="preserve">to date, this </w:t>
      </w:r>
      <w:r w:rsidR="00FF62D9">
        <w:rPr>
          <w:rFonts w:eastAsia="Questrial"/>
        </w:rPr>
        <w:t xml:space="preserve">platform demonstrates another way the NetCents and ILOCX partnership can tap into the </w:t>
      </w:r>
      <w:r w:rsidR="00D84187">
        <w:rPr>
          <w:rFonts w:eastAsia="Questrial"/>
        </w:rPr>
        <w:t>hundreds of billions in</w:t>
      </w:r>
      <w:r w:rsidR="00FF62D9">
        <w:rPr>
          <w:rFonts w:eastAsia="Questrial"/>
        </w:rPr>
        <w:t xml:space="preserve"> crypto capital, giving crypto-holders alternative options for utilizing their capital</w:t>
      </w:r>
      <w:r w:rsidR="0065274B">
        <w:rPr>
          <w:rFonts w:eastAsia="Questrial"/>
        </w:rPr>
        <w:t xml:space="preserve"> and giving companies listing on ILOCX </w:t>
      </w:r>
      <w:r w:rsidR="00887E44">
        <w:rPr>
          <w:rFonts w:eastAsia="Questrial"/>
        </w:rPr>
        <w:t xml:space="preserve">access to </w:t>
      </w:r>
      <w:r w:rsidR="0065274B">
        <w:rPr>
          <w:rFonts w:eastAsia="Questrial"/>
        </w:rPr>
        <w:t xml:space="preserve">the capital they need. </w:t>
      </w:r>
    </w:p>
    <w:p w:rsidR="004E40CB" w:rsidP="001C65EA" w:rsidRDefault="004E40CB" w14:paraId="7D8DF5DB" w14:textId="77777777">
      <w:pPr>
        <w:spacing w:after="0" w:line="240" w:lineRule="auto"/>
        <w:outlineLvl w:val="0"/>
        <w:rPr>
          <w:rFonts w:eastAsia="Questrial"/>
        </w:rPr>
      </w:pPr>
    </w:p>
    <w:p w:rsidR="00316376" w:rsidP="001C65EA" w:rsidRDefault="00316376" w14:paraId="15F6F8AB" w14:textId="67B3F369">
      <w:pPr>
        <w:spacing w:after="0" w:line="240" w:lineRule="auto"/>
        <w:outlineLvl w:val="0"/>
        <w:rPr>
          <w:rFonts w:eastAsia="Questrial"/>
        </w:rPr>
      </w:pPr>
      <w:r>
        <w:rPr>
          <w:rFonts w:eastAsia="Questrial"/>
        </w:rPr>
        <w:t xml:space="preserve">If your company or organization wishes to integrate the NetCents platform into your website, visit </w:t>
      </w:r>
      <w:hyperlink w:history="1" r:id="rId7">
        <w:r w:rsidRPr="00584DF1">
          <w:rPr>
            <w:rStyle w:val="Hyperlink"/>
            <w:rFonts w:eastAsia="Questrial"/>
          </w:rPr>
          <w:t>http://net-cents.com/business/register</w:t>
        </w:r>
      </w:hyperlink>
      <w:r>
        <w:rPr>
          <w:rFonts w:eastAsia="Questrial"/>
        </w:rPr>
        <w:t xml:space="preserve"> and sign up for a business account to complete the online form to get the digital integration and application processes started.</w:t>
      </w:r>
    </w:p>
    <w:p w:rsidRPr="00FF62D9" w:rsidR="001C65EA" w:rsidP="001C65EA" w:rsidRDefault="001C65EA" w14:paraId="57CB9B70" w14:textId="77777777">
      <w:pPr>
        <w:spacing w:after="0" w:line="240" w:lineRule="auto"/>
        <w:outlineLvl w:val="0"/>
        <w:rPr>
          <w:rFonts w:eastAsia="Questrial"/>
        </w:rPr>
      </w:pPr>
    </w:p>
    <w:p w:rsidR="002E3472" w:rsidP="001C65EA" w:rsidRDefault="002E3472" w14:paraId="595ADA0A" w14:textId="59492F95">
      <w:pPr>
        <w:spacing w:after="0" w:line="240" w:lineRule="auto"/>
        <w:rPr>
          <w:b/>
          <w:u w:val="single"/>
        </w:rPr>
      </w:pPr>
      <w:bookmarkStart w:name="_GoBack" w:id="0"/>
      <w:bookmarkEnd w:id="0"/>
      <w:r w:rsidRPr="002E3472">
        <w:rPr>
          <w:b/>
          <w:u w:val="single"/>
        </w:rPr>
        <w:t xml:space="preserve">About </w:t>
      </w:r>
      <w:r w:rsidR="00CA677E">
        <w:rPr>
          <w:b/>
          <w:u w:val="single"/>
        </w:rPr>
        <w:t>ILO Crypto</w:t>
      </w:r>
    </w:p>
    <w:p w:rsidRPr="002E3472" w:rsidR="004E40CB" w:rsidP="001C65EA" w:rsidRDefault="004E40CB" w14:paraId="67B33EDE" w14:textId="77777777">
      <w:pPr>
        <w:spacing w:after="0" w:line="240" w:lineRule="auto"/>
        <w:rPr>
          <w:b/>
          <w:u w:val="single"/>
        </w:rPr>
      </w:pPr>
    </w:p>
    <w:p w:rsidR="00914A8B" w:rsidP="001C65EA" w:rsidRDefault="006F27FC" w14:paraId="7B21CAAE" w14:textId="3916F473">
      <w:pPr>
        <w:spacing w:after="0" w:line="240" w:lineRule="auto"/>
        <w:outlineLvl w:val="0"/>
        <w:rPr>
          <w:rFonts w:eastAsia="Questrial"/>
        </w:rPr>
      </w:pPr>
      <w:r>
        <w:rPr>
          <w:rFonts w:eastAsia="Questrial"/>
        </w:rPr>
        <w:t xml:space="preserve">ILOCX </w:t>
      </w:r>
      <w:r w:rsidR="00CC72C2">
        <w:rPr>
          <w:rFonts w:eastAsia="Questrial"/>
        </w:rPr>
        <w:t>is a</w:t>
      </w:r>
      <w:r w:rsidR="00B0448D">
        <w:rPr>
          <w:rFonts w:eastAsia="Questrial"/>
        </w:rPr>
        <w:t xml:space="preserve"> platform that allows companies to raise non-equity capital through the sale of ILO’s and gives interested buyers the ability to earn revenue by purchasing a license to socially promote and or sell a product or service. </w:t>
      </w:r>
    </w:p>
    <w:p w:rsidR="001C65EA" w:rsidP="001C65EA" w:rsidRDefault="001C65EA" w14:paraId="40ACB4AC" w14:textId="77777777">
      <w:pPr>
        <w:spacing w:after="0" w:line="240" w:lineRule="auto"/>
        <w:outlineLvl w:val="0"/>
        <w:rPr>
          <w:rFonts w:eastAsia="Questrial"/>
        </w:rPr>
      </w:pPr>
    </w:p>
    <w:p w:rsidR="00A776F1" w:rsidP="001C65EA" w:rsidRDefault="00CC72C2" w14:paraId="721A4F15" w14:textId="7FE92376">
      <w:pPr>
        <w:spacing w:after="0" w:line="240" w:lineRule="auto"/>
        <w:outlineLvl w:val="0"/>
        <w:rPr>
          <w:rFonts w:ascii="Calibri" w:hAnsi="Calibri" w:eastAsia="Times New Roman" w:cs="Calibri"/>
          <w:color w:val="222222"/>
        </w:rPr>
      </w:pPr>
      <w:r>
        <w:rPr>
          <w:rFonts w:eastAsia="Questrial"/>
        </w:rPr>
        <w:t xml:space="preserve">ILOCX has mixed together a real market need with a matching tech solution by </w:t>
      </w:r>
      <w:r w:rsidR="00FC77FE">
        <w:rPr>
          <w:rFonts w:eastAsia="Questrial"/>
        </w:rPr>
        <w:t>eliminating the dependency on equity as funding grows sparse</w:t>
      </w:r>
      <w:r w:rsidR="0065274B">
        <w:rPr>
          <w:rFonts w:eastAsia="Questrial"/>
        </w:rPr>
        <w:t>,</w:t>
      </w:r>
      <w:r w:rsidR="00FC77FE">
        <w:rPr>
          <w:rFonts w:eastAsia="Questrial"/>
        </w:rPr>
        <w:t xml:space="preserve"> </w:t>
      </w:r>
      <w:r>
        <w:rPr>
          <w:rFonts w:eastAsia="Questrial"/>
        </w:rPr>
        <w:t>providing companies with the benefits of</w:t>
      </w:r>
      <w:r w:rsidR="00EB6EF2">
        <w:rPr>
          <w:rFonts w:eastAsia="Questrial"/>
        </w:rPr>
        <w:t xml:space="preserve"> </w:t>
      </w:r>
      <w:r w:rsidR="00A776F1">
        <w:rPr>
          <w:rFonts w:ascii="Calibri" w:hAnsi="Calibri" w:eastAsia="Times New Roman" w:cs="Calibri"/>
          <w:color w:val="222222"/>
        </w:rPr>
        <w:t>boost</w:t>
      </w:r>
      <w:r w:rsidR="00EB6EF2">
        <w:rPr>
          <w:rFonts w:ascii="Calibri" w:hAnsi="Calibri" w:eastAsia="Times New Roman" w:cs="Calibri"/>
          <w:color w:val="222222"/>
        </w:rPr>
        <w:t xml:space="preserve">ed </w:t>
      </w:r>
      <w:r w:rsidR="00A776F1">
        <w:rPr>
          <w:rFonts w:ascii="Calibri" w:hAnsi="Calibri" w:eastAsia="Times New Roman" w:cs="Calibri"/>
          <w:color w:val="222222"/>
        </w:rPr>
        <w:lastRenderedPageBreak/>
        <w:t>awareness and sales which in turn boosts revenues, royalties and the trading price of the ILO, resulting in putting a sustainable business on the map.</w:t>
      </w:r>
    </w:p>
    <w:p w:rsidR="004E40CB" w:rsidP="001C65EA" w:rsidRDefault="004E40CB" w14:paraId="2E026087" w14:textId="77777777">
      <w:pPr>
        <w:spacing w:after="0" w:line="240" w:lineRule="auto"/>
        <w:outlineLvl w:val="0"/>
        <w:rPr>
          <w:rFonts w:eastAsia="Questrial"/>
        </w:rPr>
      </w:pPr>
    </w:p>
    <w:p w:rsidR="00CC72C2" w:rsidP="001C65EA" w:rsidRDefault="000C40AC" w14:paraId="5BB28116" w14:textId="7F908E67">
      <w:pPr>
        <w:spacing w:after="0" w:line="240" w:lineRule="auto"/>
        <w:outlineLvl w:val="0"/>
        <w:rPr>
          <w:rFonts w:eastAsia="Questrial"/>
        </w:rPr>
      </w:pPr>
      <w:r>
        <w:rPr>
          <w:rFonts w:eastAsia="Questrial"/>
        </w:rPr>
        <w:t xml:space="preserve">To learn more about how ILO’s work </w:t>
      </w:r>
      <w:proofErr w:type="gramStart"/>
      <w:r>
        <w:rPr>
          <w:rFonts w:eastAsia="Questrial"/>
        </w:rPr>
        <w:t>visit</w:t>
      </w:r>
      <w:proofErr w:type="gramEnd"/>
      <w:r>
        <w:rPr>
          <w:rFonts w:eastAsia="Questrial"/>
        </w:rPr>
        <w:t xml:space="preserve">  </w:t>
      </w:r>
      <w:hyperlink w:history="1" r:id="rId8">
        <w:r w:rsidRPr="00584DF1" w:rsidR="004E40CB">
          <w:rPr>
            <w:rStyle w:val="Hyperlink"/>
            <w:rFonts w:eastAsia="Questrial"/>
          </w:rPr>
          <w:t>www.ILOcrypto.com/how-it-works/</w:t>
        </w:r>
      </w:hyperlink>
      <w:r w:rsidR="00D41B27">
        <w:rPr>
          <w:rFonts w:eastAsia="Questrial"/>
        </w:rPr>
        <w:t xml:space="preserve"> </w:t>
      </w:r>
    </w:p>
    <w:p w:rsidR="004E40CB" w:rsidP="001C65EA" w:rsidRDefault="004E40CB" w14:paraId="5C283EF8" w14:textId="77777777">
      <w:pPr>
        <w:spacing w:after="0" w:line="240" w:lineRule="auto"/>
        <w:outlineLvl w:val="0"/>
        <w:rPr>
          <w:rFonts w:eastAsia="Questrial"/>
        </w:rPr>
      </w:pPr>
    </w:p>
    <w:p w:rsidR="00FF62D9" w:rsidP="001C65EA" w:rsidRDefault="000C40AC" w14:paraId="6A33039D" w14:textId="3C9BFC9B">
      <w:pPr>
        <w:spacing w:after="0" w:line="240" w:lineRule="auto"/>
        <w:outlineLvl w:val="0"/>
        <w:rPr>
          <w:rFonts w:eastAsia="Questrial"/>
        </w:rPr>
      </w:pPr>
      <w:r>
        <w:rPr>
          <w:rFonts w:eastAsia="Questrial"/>
        </w:rPr>
        <w:t xml:space="preserve">To view the exchange visit </w:t>
      </w:r>
      <w:hyperlink w:history="1" r:id="rId9">
        <w:r w:rsidRPr="00584DF1">
          <w:rPr>
            <w:rStyle w:val="Hyperlink"/>
            <w:rFonts w:eastAsia="Questrial"/>
          </w:rPr>
          <w:t>www.ILOexchange.com</w:t>
        </w:r>
      </w:hyperlink>
      <w:r w:rsidR="00FF62D9">
        <w:rPr>
          <w:rFonts w:eastAsia="Questrial"/>
        </w:rPr>
        <w:t xml:space="preserve"> </w:t>
      </w:r>
    </w:p>
    <w:p w:rsidRPr="006F27FC" w:rsidR="001C65EA" w:rsidP="001C65EA" w:rsidRDefault="001C65EA" w14:paraId="4736A325" w14:textId="77777777">
      <w:pPr>
        <w:spacing w:after="0" w:line="240" w:lineRule="auto"/>
        <w:outlineLvl w:val="0"/>
        <w:rPr>
          <w:rFonts w:eastAsia="Questrial"/>
        </w:rPr>
      </w:pPr>
    </w:p>
    <w:p w:rsidR="007505FC" w:rsidP="001C65EA" w:rsidRDefault="007505FC" w14:paraId="04792BAB" w14:textId="2A009652">
      <w:pPr>
        <w:spacing w:after="0" w:line="240" w:lineRule="auto"/>
        <w:outlineLvl w:val="0"/>
        <w:rPr>
          <w:rFonts w:eastAsia="Questrial"/>
          <w:b/>
          <w:u w:val="single"/>
        </w:rPr>
      </w:pPr>
      <w:r w:rsidRPr="004207B7">
        <w:rPr>
          <w:rFonts w:eastAsia="Questrial"/>
          <w:b/>
          <w:u w:val="single"/>
        </w:rPr>
        <w:t>About NetCents</w:t>
      </w:r>
    </w:p>
    <w:p w:rsidRPr="004207B7" w:rsidR="004E40CB" w:rsidP="001C65EA" w:rsidRDefault="004E40CB" w14:paraId="739395DD" w14:textId="77777777">
      <w:pPr>
        <w:spacing w:after="0" w:line="240" w:lineRule="auto"/>
        <w:outlineLvl w:val="0"/>
        <w:rPr>
          <w:rFonts w:eastAsia="Questrial"/>
          <w:b/>
          <w:u w:val="single"/>
        </w:rPr>
      </w:pPr>
    </w:p>
    <w:p w:rsidR="00AC6C60" w:rsidP="001C65EA" w:rsidRDefault="00AC6C60" w14:paraId="01102778" w14:textId="161D9E4E">
      <w:pPr>
        <w:spacing w:after="0" w:line="240" w:lineRule="auto"/>
        <w:rPr>
          <w:rFonts w:cstheme="minorHAnsi"/>
        </w:rPr>
      </w:pPr>
      <w:r w:rsidRPr="00AC6C60">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hAnsi="Gibson" w:cs="Gibson"/>
          <w:color w:val="000000"/>
          <w:sz w:val="38"/>
          <w:szCs w:val="38"/>
          <w:lang w:val="en-US"/>
        </w:rPr>
        <w:t xml:space="preserve"> </w:t>
      </w:r>
      <w:r w:rsidRPr="002B4EB6">
        <w:rPr>
          <w:rFonts w:cstheme="minorHAnsi"/>
        </w:rPr>
        <w:t xml:space="preserve">NetCents Technology is registered as a Money Services Business (MSB) with FINTRAC, which ensures our consumer's security and privacy. </w:t>
      </w:r>
    </w:p>
    <w:p w:rsidRPr="002B4EB6" w:rsidR="001C65EA" w:rsidP="001C65EA" w:rsidRDefault="001C65EA" w14:paraId="094EE457" w14:textId="77777777">
      <w:pPr>
        <w:spacing w:after="0" w:line="240" w:lineRule="auto"/>
        <w:rPr>
          <w:rFonts w:cstheme="minorHAnsi"/>
        </w:rPr>
      </w:pPr>
    </w:p>
    <w:p w:rsidR="002F2CF8" w:rsidP="001C65EA" w:rsidRDefault="00AC6C60" w14:paraId="347BA7C0" w14:textId="6E5E0F3C">
      <w:pPr>
        <w:spacing w:after="0" w:line="240" w:lineRule="auto"/>
      </w:pPr>
      <w:r>
        <w:t xml:space="preserve">For more information, please visit the corporate website at </w:t>
      </w:r>
      <w:hyperlink r:id="rId10">
        <w:r>
          <w:rPr>
            <w:color w:val="0563C1"/>
            <w:u w:val="single"/>
          </w:rPr>
          <w:t>www.net-cents.com</w:t>
        </w:r>
      </w:hyperlink>
      <w:r>
        <w:t xml:space="preserve"> or contact </w:t>
      </w:r>
      <w:r w:rsidR="002F2CF8">
        <w:t xml:space="preserve">Investor Relations at </w:t>
      </w:r>
      <w:hyperlink w:history="1" r:id="rId11">
        <w:r w:rsidRPr="007228E2" w:rsidR="002F2CF8">
          <w:rPr>
            <w:rStyle w:val="Hyperlink"/>
          </w:rPr>
          <w:t>investor@net-cents.com</w:t>
        </w:r>
      </w:hyperlink>
      <w:r w:rsidR="002F2CF8">
        <w:t xml:space="preserve"> </w:t>
      </w:r>
    </w:p>
    <w:p w:rsidR="004E40CB" w:rsidP="001C65EA" w:rsidRDefault="004E40CB" w14:paraId="297B65D6" w14:textId="77777777">
      <w:pPr>
        <w:spacing w:after="0" w:line="240" w:lineRule="auto"/>
      </w:pPr>
    </w:p>
    <w:p w:rsidR="00AC6C60" w:rsidP="001C65EA" w:rsidRDefault="00AC6C60" w14:paraId="60802100" w14:textId="7DFE9216">
      <w:pPr>
        <w:spacing w:after="0" w:line="240" w:lineRule="auto"/>
      </w:pPr>
      <w:r>
        <w:t xml:space="preserve">On Behalf of the Board of Directors </w:t>
      </w:r>
    </w:p>
    <w:p w:rsidR="004E40CB" w:rsidP="001C65EA" w:rsidRDefault="004E40CB" w14:paraId="2A3763E8" w14:textId="77777777">
      <w:pPr>
        <w:spacing w:after="0" w:line="240" w:lineRule="auto"/>
      </w:pPr>
    </w:p>
    <w:p w:rsidRPr="00F05A00" w:rsidR="007505FC" w:rsidP="001C65EA" w:rsidRDefault="007505FC" w14:paraId="4702F3D9" w14:textId="77777777">
      <w:pPr>
        <w:spacing w:after="0" w:line="240" w:lineRule="auto"/>
        <w:rPr>
          <w:rFonts w:eastAsia="Questrial" w:cs="Questrial"/>
        </w:rPr>
      </w:pPr>
      <w:r w:rsidRPr="00F05A00">
        <w:rPr>
          <w:rFonts w:eastAsia="Questrial" w:cs="Questrial"/>
        </w:rPr>
        <w:t>NetCents Technology Inc.</w:t>
      </w:r>
    </w:p>
    <w:p w:rsidRPr="00F05A00" w:rsidR="007505FC" w:rsidP="001C65EA" w:rsidRDefault="007505FC" w14:paraId="575194E3" w14:textId="77777777">
      <w:pPr>
        <w:spacing w:after="0" w:line="240" w:lineRule="auto"/>
        <w:rPr>
          <w:rFonts w:eastAsia="Questrial" w:cs="Questrial"/>
        </w:rPr>
      </w:pPr>
    </w:p>
    <w:p w:rsidRPr="00F05A00" w:rsidR="007505FC" w:rsidP="001C65EA" w:rsidRDefault="007505FC" w14:paraId="6FC9A61F" w14:textId="77777777">
      <w:pPr>
        <w:spacing w:after="0" w:line="240" w:lineRule="auto"/>
        <w:outlineLvl w:val="0"/>
        <w:rPr>
          <w:rFonts w:eastAsia="Questrial" w:cs="Questrial"/>
        </w:rPr>
      </w:pPr>
      <w:r w:rsidRPr="00F05A00">
        <w:rPr>
          <w:rFonts w:eastAsia="Questrial" w:cs="Questrial"/>
          <w:u w:val="single"/>
        </w:rPr>
        <w:t>“Clayton Moore”</w:t>
      </w:r>
    </w:p>
    <w:p w:rsidRPr="00F05A00" w:rsidR="007505FC" w:rsidP="001C65EA" w:rsidRDefault="007505FC" w14:paraId="25F6F56A" w14:textId="77777777">
      <w:pPr>
        <w:spacing w:after="0" w:line="240" w:lineRule="auto"/>
        <w:outlineLvl w:val="0"/>
        <w:rPr>
          <w:rFonts w:eastAsia="Questrial" w:cs="Questrial"/>
        </w:rPr>
      </w:pPr>
      <w:r w:rsidRPr="00F05A00">
        <w:rPr>
          <w:rFonts w:eastAsia="Questrial" w:cs="Questrial"/>
        </w:rPr>
        <w:t>Clayton Moore, CEO, Founder and Director</w:t>
      </w:r>
    </w:p>
    <w:p w:rsidRPr="00F05A00" w:rsidR="007505FC" w:rsidP="001C65EA" w:rsidRDefault="007505FC" w14:paraId="0E31AA9E" w14:textId="77777777">
      <w:pPr>
        <w:spacing w:after="0" w:line="240" w:lineRule="auto"/>
        <w:rPr>
          <w:rFonts w:eastAsia="Questrial" w:cs="Questrial"/>
        </w:rPr>
      </w:pPr>
    </w:p>
    <w:p w:rsidRPr="00F05A00" w:rsidR="007505FC" w:rsidP="001C65EA" w:rsidRDefault="007505FC" w14:paraId="226B3156" w14:textId="77777777">
      <w:pPr>
        <w:spacing w:after="0" w:line="240" w:lineRule="auto"/>
        <w:rPr>
          <w:rFonts w:eastAsia="Questrial" w:cs="Questrial"/>
        </w:rPr>
      </w:pPr>
      <w:r w:rsidRPr="00F05A00">
        <w:rPr>
          <w:rFonts w:eastAsia="Questrial" w:cs="Questrial"/>
        </w:rPr>
        <w:t>NetCents Technology Inc.</w:t>
      </w:r>
    </w:p>
    <w:p w:rsidRPr="00F05A00" w:rsidR="007505FC" w:rsidP="001C65EA" w:rsidRDefault="002F2CF8" w14:paraId="05508417" w14:textId="2BD664C9">
      <w:pPr>
        <w:spacing w:after="0" w:line="240" w:lineRule="auto"/>
        <w:rPr>
          <w:rFonts w:eastAsia="Questrial" w:cs="Questrial"/>
        </w:rPr>
      </w:pPr>
      <w:r>
        <w:rPr>
          <w:rFonts w:eastAsia="Questrial" w:cs="Questrial"/>
        </w:rPr>
        <w:t>1000 – 1021 West Hastings Street</w:t>
      </w:r>
    </w:p>
    <w:p w:rsidRPr="00F05A00" w:rsidR="007505FC" w:rsidP="001C65EA" w:rsidRDefault="007505FC" w14:paraId="7CE823A5" w14:textId="16A2A7EC">
      <w:pPr>
        <w:spacing w:after="0" w:line="240" w:lineRule="auto"/>
        <w:rPr>
          <w:rFonts w:eastAsia="Questrial" w:cs="Questrial"/>
        </w:rPr>
      </w:pPr>
      <w:r w:rsidRPr="00F05A00">
        <w:rPr>
          <w:rFonts w:eastAsia="Questrial" w:cs="Questrial"/>
        </w:rPr>
        <w:t>Vancouver, BC, V</w:t>
      </w:r>
      <w:r w:rsidR="002F2CF8">
        <w:rPr>
          <w:rFonts w:eastAsia="Questrial" w:cs="Questrial"/>
        </w:rPr>
        <w:t>6E 0C3</w:t>
      </w:r>
    </w:p>
    <w:p w:rsidRPr="00F05A00" w:rsidR="007505FC" w:rsidP="001C65EA" w:rsidRDefault="007505FC" w14:paraId="70AC611B" w14:textId="77777777">
      <w:pPr>
        <w:spacing w:after="0" w:line="240" w:lineRule="auto"/>
        <w:rPr>
          <w:rFonts w:eastAsia="Questrial" w:cs="Questrial"/>
        </w:rPr>
      </w:pPr>
    </w:p>
    <w:p w:rsidR="007505FC" w:rsidP="001C65EA" w:rsidRDefault="007505FC" w14:paraId="201645DE" w14:textId="77F3AAB9">
      <w:pPr>
        <w:spacing w:after="0" w:line="240" w:lineRule="auto"/>
        <w:outlineLvl w:val="0"/>
        <w:rPr>
          <w:rFonts w:eastAsia="Questrial" w:cs="Questrial"/>
        </w:rPr>
      </w:pPr>
      <w:bookmarkStart w:name="_Hlk491254387" w:id="1"/>
      <w:r w:rsidRPr="00F05A00">
        <w:rPr>
          <w:rFonts w:eastAsia="Questrial" w:cs="Questrial"/>
        </w:rPr>
        <w:t xml:space="preserve">Cautionary Note Regarding </w:t>
      </w:r>
      <w:bookmarkEnd w:id="1"/>
      <w:r w:rsidRPr="00F05A00">
        <w:rPr>
          <w:rFonts w:eastAsia="Questrial" w:cs="Questrial"/>
        </w:rPr>
        <w:t>Forward Looking Information</w:t>
      </w:r>
    </w:p>
    <w:p w:rsidRPr="00F05A00" w:rsidR="004E40CB" w:rsidP="001C65EA" w:rsidRDefault="004E40CB" w14:paraId="59E98347" w14:textId="77777777">
      <w:pPr>
        <w:spacing w:after="0" w:line="240" w:lineRule="auto"/>
        <w:outlineLvl w:val="0"/>
        <w:rPr>
          <w:rFonts w:eastAsia="Questrial" w:cs="Questrial"/>
        </w:rPr>
      </w:pPr>
    </w:p>
    <w:p w:rsidR="007505FC" w:rsidP="001C65EA" w:rsidRDefault="007505FC" w14:paraId="11830F45" w14:textId="329A9474">
      <w:pPr>
        <w:spacing w:after="0" w:line="240" w:lineRule="auto"/>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rsidRPr="00F05A00">
        <w:rPr>
          <w:rFonts w:eastAsia="Questrial" w:cs="Questrial"/>
        </w:rPr>
        <w:t>guarantees</w:t>
      </w:r>
      <w:proofErr w:type="gramEnd"/>
      <w:r w:rsidRPr="00F05A00">
        <w:rPr>
          <w:rFonts w:eastAsia="Questrial" w:cs="Questrial"/>
        </w:rPr>
        <w:t xml:space="preserve">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w:t>
      </w:r>
      <w:r w:rsidRPr="00F05A00">
        <w:rPr>
          <w:rFonts w:eastAsia="Questrial" w:cs="Questrial"/>
        </w:rPr>
        <w:lastRenderedPageBreak/>
        <w:t xml:space="preserve">statements </w:t>
      </w:r>
      <w:proofErr w:type="gramStart"/>
      <w:r w:rsidRPr="00F05A00">
        <w:rPr>
          <w:rFonts w:eastAsia="Questrial" w:cs="Questrial"/>
        </w:rPr>
        <w:t>in the event that</w:t>
      </w:r>
      <w:proofErr w:type="gramEnd"/>
      <w:r w:rsidRPr="00F05A00">
        <w:rPr>
          <w:rFonts w:eastAsia="Questrial" w:cs="Questrial"/>
        </w:rPr>
        <w:t xml:space="preserve"> management’s beliefs, estimates or opinions, or other factors, should change. </w:t>
      </w:r>
    </w:p>
    <w:p w:rsidRPr="00F05A00" w:rsidR="001C65EA" w:rsidP="001C65EA" w:rsidRDefault="001C65EA" w14:paraId="6F3DFE7B" w14:textId="77777777">
      <w:pPr>
        <w:spacing w:after="0" w:line="240" w:lineRule="auto"/>
        <w:rPr>
          <w:rFonts w:eastAsia="Questrial" w:cs="Questrial"/>
        </w:rPr>
      </w:pPr>
    </w:p>
    <w:p w:rsidRPr="00F05A00" w:rsidR="006E0158" w:rsidP="001C65EA" w:rsidRDefault="006E0158" w14:paraId="6BED97B1" w14:textId="4CF850C3">
      <w:pPr>
        <w:spacing w:after="0" w:line="240" w:lineRule="auto"/>
        <w:outlineLvl w:val="0"/>
        <w:rPr>
          <w:rFonts w:eastAsia="Questrial" w:cs="Questrial"/>
        </w:rPr>
      </w:pPr>
      <w:r w:rsidRPr="00F05A00">
        <w:rPr>
          <w:rFonts w:eastAsia="Questrial" w:cs="Questrial"/>
        </w:rPr>
        <w:t>The CSE has not reviewed, approved or disapproved the content of this press release</w:t>
      </w:r>
      <w:r w:rsidR="004E40CB">
        <w:rPr>
          <w:rFonts w:eastAsia="Questrial" w:cs="Questrial"/>
        </w:rPr>
        <w:t>.</w:t>
      </w:r>
    </w:p>
    <w:p w:rsidRPr="00F05A00" w:rsidR="006E0158" w:rsidP="001C65EA" w:rsidRDefault="006E0158" w14:paraId="14E14209" w14:textId="77777777">
      <w:pPr>
        <w:spacing w:after="0" w:line="240" w:lineRule="auto"/>
        <w:rPr>
          <w:rFonts w:eastAsia="Questrial" w:cs="Questrial"/>
        </w:rPr>
      </w:pPr>
    </w:p>
    <w:p w:rsidRPr="00F05A00" w:rsidR="006E0158" w:rsidP="0065274B" w:rsidRDefault="006E0158" w14:paraId="20AF19EE" w14:textId="77777777">
      <w:pPr>
        <w:spacing w:after="0" w:line="480" w:lineRule="auto"/>
        <w:rPr>
          <w:rFonts w:eastAsia="Questrial" w:cs="Questrial"/>
        </w:rPr>
      </w:pPr>
    </w:p>
    <w:sectPr w:rsidRPr="00F05A00" w:rsidR="006E0158" w:rsidSect="008D182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Gibso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7C231A1"/>
    <w:multiLevelType w:val="hybridMultilevel"/>
    <w:tmpl w:val="5BD432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4"/>
    <w:rsid w:val="000000AB"/>
    <w:rsid w:val="00015A58"/>
    <w:rsid w:val="00021F5D"/>
    <w:rsid w:val="00022B1C"/>
    <w:rsid w:val="0003177F"/>
    <w:rsid w:val="00032258"/>
    <w:rsid w:val="00032F6B"/>
    <w:rsid w:val="00034D30"/>
    <w:rsid w:val="000561FD"/>
    <w:rsid w:val="00063966"/>
    <w:rsid w:val="00070BDF"/>
    <w:rsid w:val="00072BFA"/>
    <w:rsid w:val="00074130"/>
    <w:rsid w:val="000842CE"/>
    <w:rsid w:val="0009713B"/>
    <w:rsid w:val="000A168D"/>
    <w:rsid w:val="000A760E"/>
    <w:rsid w:val="000C382C"/>
    <w:rsid w:val="000C40AC"/>
    <w:rsid w:val="000D19F8"/>
    <w:rsid w:val="000D2BE6"/>
    <w:rsid w:val="000D5D0E"/>
    <w:rsid w:val="000E173A"/>
    <w:rsid w:val="000E7396"/>
    <w:rsid w:val="000F3EF4"/>
    <w:rsid w:val="001035F4"/>
    <w:rsid w:val="00111165"/>
    <w:rsid w:val="0011271F"/>
    <w:rsid w:val="0011632F"/>
    <w:rsid w:val="00122B40"/>
    <w:rsid w:val="00134D41"/>
    <w:rsid w:val="00145A8D"/>
    <w:rsid w:val="00150C0E"/>
    <w:rsid w:val="0016069F"/>
    <w:rsid w:val="00160AAD"/>
    <w:rsid w:val="00166D4B"/>
    <w:rsid w:val="001A41C2"/>
    <w:rsid w:val="001B43D7"/>
    <w:rsid w:val="001C65EA"/>
    <w:rsid w:val="001D05B5"/>
    <w:rsid w:val="001D0F0F"/>
    <w:rsid w:val="001E13F9"/>
    <w:rsid w:val="001E6A19"/>
    <w:rsid w:val="001F453C"/>
    <w:rsid w:val="00206B06"/>
    <w:rsid w:val="0021534A"/>
    <w:rsid w:val="00220871"/>
    <w:rsid w:val="0023311B"/>
    <w:rsid w:val="00263474"/>
    <w:rsid w:val="0028398E"/>
    <w:rsid w:val="00286771"/>
    <w:rsid w:val="002879F3"/>
    <w:rsid w:val="0029465A"/>
    <w:rsid w:val="002A04D1"/>
    <w:rsid w:val="002B09AE"/>
    <w:rsid w:val="002B4F3D"/>
    <w:rsid w:val="002B5935"/>
    <w:rsid w:val="002B75C8"/>
    <w:rsid w:val="002D6333"/>
    <w:rsid w:val="002E3472"/>
    <w:rsid w:val="002E3A4A"/>
    <w:rsid w:val="002E63A5"/>
    <w:rsid w:val="002F01F6"/>
    <w:rsid w:val="002F2CF8"/>
    <w:rsid w:val="002F4A50"/>
    <w:rsid w:val="003062B2"/>
    <w:rsid w:val="00306B6C"/>
    <w:rsid w:val="00311922"/>
    <w:rsid w:val="00316376"/>
    <w:rsid w:val="0032016F"/>
    <w:rsid w:val="003263FC"/>
    <w:rsid w:val="0034001E"/>
    <w:rsid w:val="00344B1F"/>
    <w:rsid w:val="003560FA"/>
    <w:rsid w:val="00365E4D"/>
    <w:rsid w:val="0037075A"/>
    <w:rsid w:val="00370AF6"/>
    <w:rsid w:val="00375080"/>
    <w:rsid w:val="00381B6F"/>
    <w:rsid w:val="00383AC2"/>
    <w:rsid w:val="003869CA"/>
    <w:rsid w:val="003A6351"/>
    <w:rsid w:val="003C1E70"/>
    <w:rsid w:val="003D463E"/>
    <w:rsid w:val="003D5D70"/>
    <w:rsid w:val="003E7A64"/>
    <w:rsid w:val="003F05E0"/>
    <w:rsid w:val="003F4B95"/>
    <w:rsid w:val="004126CF"/>
    <w:rsid w:val="004127AD"/>
    <w:rsid w:val="004207B7"/>
    <w:rsid w:val="00427F09"/>
    <w:rsid w:val="0043605D"/>
    <w:rsid w:val="00455A7B"/>
    <w:rsid w:val="00462999"/>
    <w:rsid w:val="00467637"/>
    <w:rsid w:val="00470311"/>
    <w:rsid w:val="004971BF"/>
    <w:rsid w:val="004A464F"/>
    <w:rsid w:val="004A539B"/>
    <w:rsid w:val="004B72A2"/>
    <w:rsid w:val="004C3E7F"/>
    <w:rsid w:val="004D12FB"/>
    <w:rsid w:val="004D5D14"/>
    <w:rsid w:val="004E40CB"/>
    <w:rsid w:val="004F7810"/>
    <w:rsid w:val="005028E5"/>
    <w:rsid w:val="0050615F"/>
    <w:rsid w:val="0051690E"/>
    <w:rsid w:val="00532528"/>
    <w:rsid w:val="00543706"/>
    <w:rsid w:val="00544B9D"/>
    <w:rsid w:val="00551AD3"/>
    <w:rsid w:val="00561642"/>
    <w:rsid w:val="0056730A"/>
    <w:rsid w:val="005811A2"/>
    <w:rsid w:val="00581CF2"/>
    <w:rsid w:val="005833C2"/>
    <w:rsid w:val="00585F3C"/>
    <w:rsid w:val="005874EE"/>
    <w:rsid w:val="005900A4"/>
    <w:rsid w:val="005A42BD"/>
    <w:rsid w:val="005A6F92"/>
    <w:rsid w:val="005B3A01"/>
    <w:rsid w:val="005B481B"/>
    <w:rsid w:val="005B62AE"/>
    <w:rsid w:val="005D3580"/>
    <w:rsid w:val="005D5ABC"/>
    <w:rsid w:val="00605E08"/>
    <w:rsid w:val="0061785D"/>
    <w:rsid w:val="006324C6"/>
    <w:rsid w:val="00635312"/>
    <w:rsid w:val="0064154C"/>
    <w:rsid w:val="00645610"/>
    <w:rsid w:val="006473EA"/>
    <w:rsid w:val="00650F72"/>
    <w:rsid w:val="0065274B"/>
    <w:rsid w:val="00652C10"/>
    <w:rsid w:val="0066002C"/>
    <w:rsid w:val="0066541B"/>
    <w:rsid w:val="00670AE3"/>
    <w:rsid w:val="006775CE"/>
    <w:rsid w:val="00681DE0"/>
    <w:rsid w:val="00683746"/>
    <w:rsid w:val="00696EAD"/>
    <w:rsid w:val="006B1091"/>
    <w:rsid w:val="006C223E"/>
    <w:rsid w:val="006C6C65"/>
    <w:rsid w:val="006D292D"/>
    <w:rsid w:val="006D5DB3"/>
    <w:rsid w:val="006E0158"/>
    <w:rsid w:val="006F27FC"/>
    <w:rsid w:val="006F2E7A"/>
    <w:rsid w:val="006F2F4F"/>
    <w:rsid w:val="00702110"/>
    <w:rsid w:val="00720559"/>
    <w:rsid w:val="00723561"/>
    <w:rsid w:val="00724AD5"/>
    <w:rsid w:val="00725B6C"/>
    <w:rsid w:val="00726F68"/>
    <w:rsid w:val="00737B66"/>
    <w:rsid w:val="00741AC3"/>
    <w:rsid w:val="007439DB"/>
    <w:rsid w:val="007505FC"/>
    <w:rsid w:val="00752AF4"/>
    <w:rsid w:val="007568FE"/>
    <w:rsid w:val="00765E72"/>
    <w:rsid w:val="00771CE5"/>
    <w:rsid w:val="00773389"/>
    <w:rsid w:val="00790425"/>
    <w:rsid w:val="0079369B"/>
    <w:rsid w:val="007969F1"/>
    <w:rsid w:val="007B026A"/>
    <w:rsid w:val="007C4400"/>
    <w:rsid w:val="007D7F1F"/>
    <w:rsid w:val="00830011"/>
    <w:rsid w:val="00834969"/>
    <w:rsid w:val="00842058"/>
    <w:rsid w:val="008509F1"/>
    <w:rsid w:val="00875673"/>
    <w:rsid w:val="00875865"/>
    <w:rsid w:val="00882B6F"/>
    <w:rsid w:val="00887E44"/>
    <w:rsid w:val="00891369"/>
    <w:rsid w:val="008A0B03"/>
    <w:rsid w:val="008A5F9F"/>
    <w:rsid w:val="008D182D"/>
    <w:rsid w:val="008D2856"/>
    <w:rsid w:val="008E16A7"/>
    <w:rsid w:val="00901A45"/>
    <w:rsid w:val="00914A8B"/>
    <w:rsid w:val="009157A4"/>
    <w:rsid w:val="00922A13"/>
    <w:rsid w:val="009301D2"/>
    <w:rsid w:val="009354DE"/>
    <w:rsid w:val="0094503E"/>
    <w:rsid w:val="00955961"/>
    <w:rsid w:val="00955E71"/>
    <w:rsid w:val="0095606F"/>
    <w:rsid w:val="00976F88"/>
    <w:rsid w:val="009A7D8D"/>
    <w:rsid w:val="009B64F3"/>
    <w:rsid w:val="009C3B7D"/>
    <w:rsid w:val="00A074B3"/>
    <w:rsid w:val="00A07592"/>
    <w:rsid w:val="00A17CE2"/>
    <w:rsid w:val="00A42E6B"/>
    <w:rsid w:val="00A462EC"/>
    <w:rsid w:val="00A61B87"/>
    <w:rsid w:val="00A6523C"/>
    <w:rsid w:val="00A663EF"/>
    <w:rsid w:val="00A7487E"/>
    <w:rsid w:val="00A770EE"/>
    <w:rsid w:val="00A776F1"/>
    <w:rsid w:val="00A86EFA"/>
    <w:rsid w:val="00A922A4"/>
    <w:rsid w:val="00A93FF3"/>
    <w:rsid w:val="00AA0211"/>
    <w:rsid w:val="00AA06D8"/>
    <w:rsid w:val="00AA263C"/>
    <w:rsid w:val="00AB27F3"/>
    <w:rsid w:val="00AB4B5D"/>
    <w:rsid w:val="00AB6D28"/>
    <w:rsid w:val="00AC11DA"/>
    <w:rsid w:val="00AC4659"/>
    <w:rsid w:val="00AC6BCB"/>
    <w:rsid w:val="00AC6C60"/>
    <w:rsid w:val="00AD0CE1"/>
    <w:rsid w:val="00AD527B"/>
    <w:rsid w:val="00AE4930"/>
    <w:rsid w:val="00AE56A2"/>
    <w:rsid w:val="00AE785C"/>
    <w:rsid w:val="00AF18FD"/>
    <w:rsid w:val="00AF41E4"/>
    <w:rsid w:val="00AF6782"/>
    <w:rsid w:val="00AF6984"/>
    <w:rsid w:val="00B0448D"/>
    <w:rsid w:val="00B164B7"/>
    <w:rsid w:val="00B209B2"/>
    <w:rsid w:val="00B34BB5"/>
    <w:rsid w:val="00B41743"/>
    <w:rsid w:val="00B44A4C"/>
    <w:rsid w:val="00B63764"/>
    <w:rsid w:val="00B67EE0"/>
    <w:rsid w:val="00B8685D"/>
    <w:rsid w:val="00B93066"/>
    <w:rsid w:val="00B955CA"/>
    <w:rsid w:val="00BA09C8"/>
    <w:rsid w:val="00BA25D4"/>
    <w:rsid w:val="00BA7D0A"/>
    <w:rsid w:val="00BD79EE"/>
    <w:rsid w:val="00C116A6"/>
    <w:rsid w:val="00C11CA6"/>
    <w:rsid w:val="00C1490D"/>
    <w:rsid w:val="00C435FC"/>
    <w:rsid w:val="00C4598A"/>
    <w:rsid w:val="00C5006B"/>
    <w:rsid w:val="00C5297E"/>
    <w:rsid w:val="00C64831"/>
    <w:rsid w:val="00C65835"/>
    <w:rsid w:val="00C67A4F"/>
    <w:rsid w:val="00C87593"/>
    <w:rsid w:val="00CA0A1B"/>
    <w:rsid w:val="00CA677E"/>
    <w:rsid w:val="00CB663B"/>
    <w:rsid w:val="00CC2648"/>
    <w:rsid w:val="00CC3644"/>
    <w:rsid w:val="00CC72C2"/>
    <w:rsid w:val="00CD03A4"/>
    <w:rsid w:val="00CD35B9"/>
    <w:rsid w:val="00CD4232"/>
    <w:rsid w:val="00CD7592"/>
    <w:rsid w:val="00CD7DAC"/>
    <w:rsid w:val="00D04F1A"/>
    <w:rsid w:val="00D115D1"/>
    <w:rsid w:val="00D14E33"/>
    <w:rsid w:val="00D15D6A"/>
    <w:rsid w:val="00D16581"/>
    <w:rsid w:val="00D16839"/>
    <w:rsid w:val="00D30CBF"/>
    <w:rsid w:val="00D41B27"/>
    <w:rsid w:val="00D447BD"/>
    <w:rsid w:val="00D44985"/>
    <w:rsid w:val="00D71FF7"/>
    <w:rsid w:val="00D84187"/>
    <w:rsid w:val="00D8537C"/>
    <w:rsid w:val="00D93128"/>
    <w:rsid w:val="00DB5DD9"/>
    <w:rsid w:val="00DB7D92"/>
    <w:rsid w:val="00DC1B8B"/>
    <w:rsid w:val="00DC61AB"/>
    <w:rsid w:val="00DE2079"/>
    <w:rsid w:val="00DE3117"/>
    <w:rsid w:val="00DE6792"/>
    <w:rsid w:val="00DF1926"/>
    <w:rsid w:val="00E01CE2"/>
    <w:rsid w:val="00E04CBC"/>
    <w:rsid w:val="00E15A3D"/>
    <w:rsid w:val="00E255E1"/>
    <w:rsid w:val="00E46349"/>
    <w:rsid w:val="00E573A2"/>
    <w:rsid w:val="00E57EA4"/>
    <w:rsid w:val="00E7758E"/>
    <w:rsid w:val="00E801BB"/>
    <w:rsid w:val="00E93830"/>
    <w:rsid w:val="00EA7A50"/>
    <w:rsid w:val="00EB2AA2"/>
    <w:rsid w:val="00EB3949"/>
    <w:rsid w:val="00EB64AE"/>
    <w:rsid w:val="00EB693B"/>
    <w:rsid w:val="00EB6D74"/>
    <w:rsid w:val="00EB6EF2"/>
    <w:rsid w:val="00EC651C"/>
    <w:rsid w:val="00ED30CB"/>
    <w:rsid w:val="00EE2646"/>
    <w:rsid w:val="00F0171A"/>
    <w:rsid w:val="00F04463"/>
    <w:rsid w:val="00F05A00"/>
    <w:rsid w:val="00F073F7"/>
    <w:rsid w:val="00F12139"/>
    <w:rsid w:val="00F1767F"/>
    <w:rsid w:val="00F31D9F"/>
    <w:rsid w:val="00F35A3A"/>
    <w:rsid w:val="00F4297B"/>
    <w:rsid w:val="00F50AA4"/>
    <w:rsid w:val="00F51EA3"/>
    <w:rsid w:val="00F54F94"/>
    <w:rsid w:val="00F622B1"/>
    <w:rsid w:val="00F771A8"/>
    <w:rsid w:val="00FA17D3"/>
    <w:rsid w:val="00FB64A7"/>
    <w:rsid w:val="00FC2A16"/>
    <w:rsid w:val="00FC77FE"/>
    <w:rsid w:val="00FC7CB3"/>
    <w:rsid w:val="00FD2966"/>
    <w:rsid w:val="00FE13D8"/>
    <w:rsid w:val="00FF62D9"/>
    <w:rsid w:val="63EFB4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A17F68F4-90F4-E443-9C1A-E12E2F2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D18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hAnsi="Times New Roman" w:eastAsia="Times New Roman" w:cs="Times New Roman"/>
      <w:sz w:val="24"/>
      <w:szCs w:val="20"/>
    </w:rPr>
  </w:style>
  <w:style w:type="character" w:styleId="BodyTextChar" w:customStyle="1">
    <w:name w:val="Body Text Char"/>
    <w:aliases w:val="BT Char,Names Char Char,bt Char"/>
    <w:basedOn w:val="DefaultParagraphFont"/>
    <w:link w:val="BodyText"/>
    <w:rsid w:val="00AF6984"/>
    <w:rPr>
      <w:rFonts w:ascii="Times New Roman" w:hAnsi="Times New Roman" w:eastAsia="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styleId="gmail-contextualextensionhighlight" w:customStyle="1">
    <w:name w:val="gmail-contextualextensionhighlight"/>
    <w:basedOn w:val="DefaultParagraphFont"/>
    <w:rsid w:val="00F771A8"/>
  </w:style>
  <w:style w:type="character" w:styleId="UnresolvedMention1" w:customStyle="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styleId="CommentTextChar" w:customStyle="1">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styleId="CommentSubjectChar" w:customStyle="1">
    <w:name w:val="Comment Subject Char"/>
    <w:basedOn w:val="CommentTextChar"/>
    <w:link w:val="CommentSubject"/>
    <w:uiPriority w:val="99"/>
    <w:semiHidden/>
    <w:rsid w:val="00AA0211"/>
    <w:rPr>
      <w:b/>
      <w:bCs/>
      <w:sz w:val="20"/>
      <w:szCs w:val="20"/>
    </w:rPr>
  </w:style>
  <w:style w:type="character" w:styleId="UnresolvedMention2" w:customStyle="1">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9465A"/>
    <w:pPr>
      <w:spacing w:after="0" w:line="240" w:lineRule="auto"/>
    </w:pPr>
  </w:style>
  <w:style w:type="paragraph" w:styleId="Normal0" w:customStyle="1">
    <w:name w:val="Normal_0"/>
    <w:qFormat/>
    <w:rsid w:val="00AB6D28"/>
    <w:pPr>
      <w:pBdr>
        <w:top w:val="nil"/>
        <w:left w:val="nil"/>
        <w:bottom w:val="nil"/>
        <w:right w:val="nil"/>
        <w:between w:val="nil"/>
      </w:pBdr>
    </w:pPr>
    <w:rPr>
      <w:rFonts w:ascii="Calibri" w:hAnsi="Calibri" w:eastAsia="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2F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26174634">
      <w:bodyDiv w:val="1"/>
      <w:marLeft w:val="0"/>
      <w:marRight w:val="0"/>
      <w:marTop w:val="0"/>
      <w:marBottom w:val="0"/>
      <w:divBdr>
        <w:top w:val="none" w:sz="0" w:space="0" w:color="auto"/>
        <w:left w:val="none" w:sz="0" w:space="0" w:color="auto"/>
        <w:bottom w:val="none" w:sz="0" w:space="0" w:color="auto"/>
        <w:right w:val="none" w:sz="0" w:space="0" w:color="auto"/>
      </w:divBdr>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378627378">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6791">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998775630">
      <w:bodyDiv w:val="1"/>
      <w:marLeft w:val="0"/>
      <w:marRight w:val="0"/>
      <w:marTop w:val="0"/>
      <w:marBottom w:val="0"/>
      <w:divBdr>
        <w:top w:val="none" w:sz="0" w:space="0" w:color="auto"/>
        <w:left w:val="none" w:sz="0" w:space="0" w:color="auto"/>
        <w:bottom w:val="none" w:sz="0" w:space="0" w:color="auto"/>
        <w:right w:val="none" w:sz="0" w:space="0" w:color="auto"/>
      </w:divBdr>
      <w:divsChild>
        <w:div w:id="1047755644">
          <w:marLeft w:val="0"/>
          <w:marRight w:val="0"/>
          <w:marTop w:val="0"/>
          <w:marBottom w:val="0"/>
          <w:divBdr>
            <w:top w:val="none" w:sz="0" w:space="0" w:color="auto"/>
            <w:left w:val="none" w:sz="0" w:space="0" w:color="auto"/>
            <w:bottom w:val="none" w:sz="0" w:space="0" w:color="auto"/>
            <w:right w:val="none" w:sz="0" w:space="0" w:color="auto"/>
          </w:divBdr>
        </w:div>
        <w:div w:id="1900944824">
          <w:marLeft w:val="0"/>
          <w:marRight w:val="0"/>
          <w:marTop w:val="0"/>
          <w:marBottom w:val="0"/>
          <w:divBdr>
            <w:top w:val="none" w:sz="0" w:space="0" w:color="auto"/>
            <w:left w:val="none" w:sz="0" w:space="0" w:color="auto"/>
            <w:bottom w:val="none" w:sz="0" w:space="0" w:color="auto"/>
            <w:right w:val="none" w:sz="0" w:space="0" w:color="auto"/>
          </w:divBdr>
        </w:div>
        <w:div w:id="521751759">
          <w:marLeft w:val="0"/>
          <w:marRight w:val="0"/>
          <w:marTop w:val="0"/>
          <w:marBottom w:val="0"/>
          <w:divBdr>
            <w:top w:val="none" w:sz="0" w:space="0" w:color="auto"/>
            <w:left w:val="none" w:sz="0" w:space="0" w:color="auto"/>
            <w:bottom w:val="none" w:sz="0" w:space="0" w:color="auto"/>
            <w:right w:val="none" w:sz="0" w:space="0" w:color="auto"/>
          </w:divBdr>
        </w:div>
      </w:divsChild>
    </w:div>
    <w:div w:id="1041396896">
      <w:bodyDiv w:val="1"/>
      <w:marLeft w:val="0"/>
      <w:marRight w:val="0"/>
      <w:marTop w:val="0"/>
      <w:marBottom w:val="0"/>
      <w:divBdr>
        <w:top w:val="none" w:sz="0" w:space="0" w:color="auto"/>
        <w:left w:val="none" w:sz="0" w:space="0" w:color="auto"/>
        <w:bottom w:val="none" w:sz="0" w:space="0" w:color="auto"/>
        <w:right w:val="none" w:sz="0" w:space="0" w:color="auto"/>
      </w:divBdr>
      <w:divsChild>
        <w:div w:id="170531339">
          <w:marLeft w:val="0"/>
          <w:marRight w:val="0"/>
          <w:marTop w:val="0"/>
          <w:marBottom w:val="0"/>
          <w:divBdr>
            <w:top w:val="none" w:sz="0" w:space="0" w:color="auto"/>
            <w:left w:val="none" w:sz="0" w:space="0" w:color="auto"/>
            <w:bottom w:val="none" w:sz="0" w:space="0" w:color="auto"/>
            <w:right w:val="none" w:sz="0" w:space="0" w:color="auto"/>
          </w:divBdr>
        </w:div>
        <w:div w:id="563838376">
          <w:marLeft w:val="0"/>
          <w:marRight w:val="0"/>
          <w:marTop w:val="0"/>
          <w:marBottom w:val="0"/>
          <w:divBdr>
            <w:top w:val="none" w:sz="0" w:space="0" w:color="auto"/>
            <w:left w:val="none" w:sz="0" w:space="0" w:color="auto"/>
            <w:bottom w:val="none" w:sz="0" w:space="0" w:color="auto"/>
            <w:right w:val="none" w:sz="0" w:space="0" w:color="auto"/>
          </w:divBdr>
        </w:div>
        <w:div w:id="1215313685">
          <w:marLeft w:val="0"/>
          <w:marRight w:val="0"/>
          <w:marTop w:val="0"/>
          <w:marBottom w:val="0"/>
          <w:divBdr>
            <w:top w:val="none" w:sz="0" w:space="0" w:color="auto"/>
            <w:left w:val="none" w:sz="0" w:space="0" w:color="auto"/>
            <w:bottom w:val="none" w:sz="0" w:space="0" w:color="auto"/>
            <w:right w:val="none" w:sz="0" w:space="0" w:color="auto"/>
          </w:divBdr>
        </w:div>
      </w:divsChild>
    </w:div>
    <w:div w:id="1084691364">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398476767">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509633943">
      <w:bodyDiv w:val="1"/>
      <w:marLeft w:val="0"/>
      <w:marRight w:val="0"/>
      <w:marTop w:val="0"/>
      <w:marBottom w:val="0"/>
      <w:divBdr>
        <w:top w:val="none" w:sz="0" w:space="0" w:color="auto"/>
        <w:left w:val="none" w:sz="0" w:space="0" w:color="auto"/>
        <w:bottom w:val="none" w:sz="0" w:space="0" w:color="auto"/>
        <w:right w:val="none" w:sz="0" w:space="0" w:color="auto"/>
      </w:divBdr>
    </w:div>
    <w:div w:id="1676806970">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LOcrypto.com/how-it-work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net-cents.com/business/register"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ILOcrypto.com" TargetMode="External" Id="rId6" /><Relationship Type="http://schemas.openxmlformats.org/officeDocument/2006/relationships/hyperlink" Target="mailto:investor@net-cents.com" TargetMode="External" Id="rId11" /><Relationship Type="http://schemas.openxmlformats.org/officeDocument/2006/relationships/image" Target="media/image1.png" Id="rId5" /><Relationship Type="http://schemas.openxmlformats.org/officeDocument/2006/relationships/hyperlink" Target="http://www.net-cents.com" TargetMode="External" Id="rId10" /><Relationship Type="http://schemas.openxmlformats.org/officeDocument/2006/relationships/webSettings" Target="webSettings.xml" Id="rId4" /><Relationship Type="http://schemas.openxmlformats.org/officeDocument/2006/relationships/hyperlink" Target="http://www.ILOexchange.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Head Office</dc:creator>
  <lastModifiedBy>Nastassia Machaj</lastModifiedBy>
  <revision>5</revision>
  <lastPrinted>2019-03-11T17:24:00.0000000Z</lastPrinted>
  <dcterms:created xsi:type="dcterms:W3CDTF">2019-03-11T17:36:00.0000000Z</dcterms:created>
  <dcterms:modified xsi:type="dcterms:W3CDTF">2019-03-13T12:55:35.4938771Z</dcterms:modified>
</coreProperties>
</file>