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4C886" w14:textId="0448F7AC" w:rsidR="00924A8A" w:rsidRDefault="008C0B4E">
      <w:pPr>
        <w:pStyle w:val="Heading1"/>
        <w:tabs>
          <w:tab w:val="left" w:pos="357"/>
          <w:tab w:val="center" w:pos="5182"/>
          <w:tab w:val="left" w:pos="7786"/>
        </w:tabs>
        <w:spacing w:before="276"/>
        <w:ind w:left="0"/>
        <w:rPr>
          <w:sz w:val="20"/>
          <w:szCs w:val="20"/>
        </w:rPr>
      </w:pPr>
      <w:bookmarkStart w:id="0" w:name="_heading=h.gjdgxs" w:colFirst="0" w:colLast="0"/>
      <w:bookmarkEnd w:id="0"/>
      <w:r>
        <w:rPr>
          <w:sz w:val="20"/>
          <w:szCs w:val="20"/>
        </w:rPr>
        <w:softHyphen/>
      </w:r>
      <w:r w:rsidR="004156E5">
        <w:rPr>
          <w:noProof/>
          <w:sz w:val="20"/>
          <w:szCs w:val="20"/>
        </w:rPr>
        <w:drawing>
          <wp:inline distT="114300" distB="114300" distL="114300" distR="114300" wp14:anchorId="21DDB5FA" wp14:editId="519B05EF">
            <wp:extent cx="6489700" cy="1892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89700" cy="1892300"/>
                    </a:xfrm>
                    <a:prstGeom prst="rect">
                      <a:avLst/>
                    </a:prstGeom>
                    <a:ln/>
                  </pic:spPr>
                </pic:pic>
              </a:graphicData>
            </a:graphic>
          </wp:inline>
        </w:drawing>
      </w:r>
    </w:p>
    <w:p w14:paraId="3073F786" w14:textId="77777777" w:rsidR="00924A8A" w:rsidRDefault="004156E5">
      <w:pPr>
        <w:pStyle w:val="Heading1"/>
        <w:spacing w:before="276"/>
        <w:ind w:left="0"/>
        <w:rPr>
          <w:rFonts w:ascii="Arial" w:eastAsia="Arial" w:hAnsi="Arial" w:cs="Arial"/>
          <w:b/>
          <w:sz w:val="24"/>
          <w:szCs w:val="24"/>
        </w:rPr>
      </w:pPr>
      <w:bookmarkStart w:id="1" w:name="_heading=h.u6s5axg0lqj5" w:colFirst="0" w:colLast="0"/>
      <w:bookmarkEnd w:id="1"/>
      <w:r>
        <w:rPr>
          <w:rFonts w:ascii="Arial" w:eastAsia="Arial" w:hAnsi="Arial" w:cs="Arial"/>
          <w:b/>
          <w:sz w:val="24"/>
          <w:szCs w:val="24"/>
        </w:rPr>
        <w:t>INTERNATIONAL BATTERY METALS LTD. ANNOUNCE</w:t>
      </w:r>
      <w:r w:rsidR="00737053">
        <w:rPr>
          <w:rFonts w:ascii="Arial" w:eastAsia="Arial" w:hAnsi="Arial" w:cs="Arial"/>
          <w:b/>
          <w:sz w:val="24"/>
          <w:szCs w:val="24"/>
        </w:rPr>
        <w:t>S</w:t>
      </w:r>
      <w:r>
        <w:rPr>
          <w:rFonts w:ascii="Arial" w:eastAsia="Arial" w:hAnsi="Arial" w:cs="Arial"/>
          <w:b/>
          <w:sz w:val="24"/>
          <w:szCs w:val="24"/>
        </w:rPr>
        <w:t xml:space="preserve"> ASSEMBLY OF COMMERCIAL LITHIUM EXTRACTION PLANT</w:t>
      </w:r>
    </w:p>
    <w:p w14:paraId="6BEB9AD5" w14:textId="77777777" w:rsidR="00924A8A" w:rsidRDefault="004156E5">
      <w:pPr>
        <w:pStyle w:val="Heading1"/>
        <w:spacing w:before="276"/>
        <w:ind w:left="0"/>
        <w:jc w:val="both"/>
        <w:rPr>
          <w:rFonts w:ascii="Arial" w:eastAsia="Arial" w:hAnsi="Arial" w:cs="Arial"/>
          <w:color w:val="1D2228"/>
          <w:sz w:val="24"/>
          <w:szCs w:val="24"/>
          <w:highlight w:val="white"/>
        </w:rPr>
      </w:pPr>
      <w:r>
        <w:rPr>
          <w:rFonts w:ascii="Arial" w:eastAsia="Arial" w:hAnsi="Arial" w:cs="Arial"/>
          <w:b/>
          <w:sz w:val="24"/>
          <w:szCs w:val="24"/>
        </w:rPr>
        <w:t>Vancouver, British Columbia, Canada – March 14, 2022 - International Battery Metals Ltd. (the “Company”) (CSE: “IBAT”) (OTC: IBATF)</w:t>
      </w:r>
      <w:r>
        <w:rPr>
          <w:rFonts w:ascii="Arial" w:eastAsia="Arial" w:hAnsi="Arial" w:cs="Arial"/>
          <w:color w:val="1D2228"/>
          <w:sz w:val="24"/>
          <w:szCs w:val="24"/>
          <w:highlight w:val="white"/>
        </w:rPr>
        <w:t xml:space="preserve">, is pleased to announce the successful assembly of the first commercial-scale, Mobile Lithium Extraction Plant. </w:t>
      </w:r>
    </w:p>
    <w:p w14:paraId="489FBE56" w14:textId="77777777" w:rsidR="00924A8A" w:rsidRDefault="00924A8A">
      <w:pPr>
        <w:pStyle w:val="Heading1"/>
        <w:ind w:left="0"/>
        <w:jc w:val="both"/>
        <w:rPr>
          <w:rFonts w:ascii="Arial" w:eastAsia="Arial" w:hAnsi="Arial" w:cs="Arial"/>
          <w:color w:val="1D2228"/>
          <w:sz w:val="24"/>
          <w:szCs w:val="24"/>
          <w:highlight w:val="white"/>
        </w:rPr>
      </w:pPr>
    </w:p>
    <w:p w14:paraId="3355C4E1" w14:textId="63A085C0" w:rsidR="00924A8A" w:rsidRDefault="004156E5" w:rsidP="001872A5">
      <w:pPr>
        <w:jc w:val="both"/>
        <w:rPr>
          <w:rFonts w:ascii="Arial" w:eastAsia="Arial" w:hAnsi="Arial" w:cs="Arial"/>
          <w:color w:val="1D2228"/>
          <w:sz w:val="24"/>
          <w:szCs w:val="24"/>
        </w:rPr>
      </w:pPr>
      <w:r>
        <w:rPr>
          <w:rFonts w:ascii="Arial" w:eastAsia="Arial" w:hAnsi="Arial" w:cs="Arial"/>
          <w:color w:val="1D2228"/>
          <w:sz w:val="24"/>
          <w:szCs w:val="24"/>
        </w:rPr>
        <w:t xml:space="preserve">Chief Executive Officer, John Burba, Ph.D., unveiled and explained the versatility of the Company’s assembled </w:t>
      </w:r>
      <w:r w:rsidR="00262DBA">
        <w:rPr>
          <w:rFonts w:ascii="Arial" w:eastAsia="Arial" w:hAnsi="Arial" w:cs="Arial"/>
          <w:color w:val="1D2228"/>
          <w:sz w:val="24"/>
          <w:szCs w:val="24"/>
        </w:rPr>
        <w:t>p</w:t>
      </w:r>
      <w:r>
        <w:rPr>
          <w:rFonts w:ascii="Arial" w:eastAsia="Arial" w:hAnsi="Arial" w:cs="Arial"/>
          <w:color w:val="1D2228"/>
          <w:sz w:val="24"/>
          <w:szCs w:val="24"/>
        </w:rPr>
        <w:t xml:space="preserve">lant to a group of </w:t>
      </w:r>
      <w:r w:rsidR="00F81A7B">
        <w:rPr>
          <w:rFonts w:ascii="Arial" w:eastAsia="Arial" w:hAnsi="Arial" w:cs="Arial"/>
          <w:color w:val="1D2228"/>
          <w:sz w:val="24"/>
          <w:szCs w:val="24"/>
        </w:rPr>
        <w:t>interested parties</w:t>
      </w:r>
      <w:r>
        <w:rPr>
          <w:rFonts w:ascii="Arial" w:eastAsia="Arial" w:hAnsi="Arial" w:cs="Arial"/>
          <w:color w:val="1D2228"/>
          <w:sz w:val="24"/>
          <w:szCs w:val="24"/>
        </w:rPr>
        <w:t xml:space="preserve"> during a site visit in Lake Charles, Louisiana, directly following </w:t>
      </w:r>
      <w:r w:rsidR="00F81A7B">
        <w:rPr>
          <w:rFonts w:ascii="Arial" w:eastAsia="Arial" w:hAnsi="Arial" w:cs="Arial"/>
          <w:color w:val="1D2228"/>
          <w:sz w:val="24"/>
          <w:szCs w:val="24"/>
        </w:rPr>
        <w:t>Dr. Burba’s presentation at the</w:t>
      </w:r>
      <w:r>
        <w:rPr>
          <w:rFonts w:ascii="Arial" w:eastAsia="Arial" w:hAnsi="Arial" w:cs="Arial"/>
          <w:color w:val="1D2228"/>
          <w:sz w:val="24"/>
          <w:szCs w:val="24"/>
        </w:rPr>
        <w:t xml:space="preserve"> BMO Capital Markets 31</w:t>
      </w:r>
      <w:r>
        <w:rPr>
          <w:rFonts w:ascii="Arial" w:eastAsia="Arial" w:hAnsi="Arial" w:cs="Arial"/>
          <w:color w:val="1D2228"/>
          <w:sz w:val="24"/>
          <w:szCs w:val="24"/>
          <w:vertAlign w:val="superscript"/>
        </w:rPr>
        <w:t xml:space="preserve">st </w:t>
      </w:r>
      <w:r>
        <w:rPr>
          <w:rFonts w:ascii="Arial" w:eastAsia="Arial" w:hAnsi="Arial" w:cs="Arial"/>
          <w:color w:val="1D2228"/>
          <w:sz w:val="24"/>
          <w:szCs w:val="24"/>
        </w:rPr>
        <w:t>Global Metals &amp; Mining Conference</w:t>
      </w:r>
      <w:r w:rsidR="00F81A7B">
        <w:rPr>
          <w:rFonts w:ascii="Arial" w:eastAsia="Arial" w:hAnsi="Arial" w:cs="Arial"/>
          <w:color w:val="1D2228"/>
          <w:sz w:val="24"/>
          <w:szCs w:val="24"/>
        </w:rPr>
        <w:t xml:space="preserve"> held at the end of February</w:t>
      </w:r>
      <w:r>
        <w:rPr>
          <w:rFonts w:ascii="Arial" w:eastAsia="Arial" w:hAnsi="Arial" w:cs="Arial"/>
          <w:color w:val="1D2228"/>
          <w:sz w:val="24"/>
          <w:szCs w:val="24"/>
        </w:rPr>
        <w:t xml:space="preserve">. </w:t>
      </w:r>
      <w:r w:rsidR="001872A5" w:rsidRPr="001872A5">
        <w:rPr>
          <w:rFonts w:ascii="Arial" w:eastAsia="Times New Roman" w:hAnsi="Arial" w:cs="Arial"/>
          <w:color w:val="1D2228"/>
          <w:sz w:val="24"/>
          <w:szCs w:val="24"/>
          <w:lang w:bidi="ar-SA"/>
        </w:rPr>
        <w:t>The plant is currently undergoing factory acceptance testing</w:t>
      </w:r>
      <w:r w:rsidR="00B25DC2">
        <w:rPr>
          <w:rFonts w:ascii="Arial" w:eastAsia="Times New Roman" w:hAnsi="Arial" w:cs="Arial"/>
          <w:color w:val="1D2228"/>
          <w:sz w:val="24"/>
          <w:szCs w:val="24"/>
          <w:lang w:bidi="ar-SA"/>
        </w:rPr>
        <w:t xml:space="preserve"> and once completed</w:t>
      </w:r>
      <w:r w:rsidR="001872A5" w:rsidRPr="001872A5">
        <w:rPr>
          <w:rFonts w:ascii="Arial" w:eastAsia="Times New Roman" w:hAnsi="Arial" w:cs="Arial"/>
          <w:color w:val="1D2228"/>
          <w:sz w:val="24"/>
          <w:szCs w:val="24"/>
          <w:lang w:bidi="ar-SA"/>
        </w:rPr>
        <w:t xml:space="preserve"> </w:t>
      </w:r>
      <w:r w:rsidR="00262DBA">
        <w:rPr>
          <w:rFonts w:ascii="Arial" w:eastAsia="Times New Roman" w:hAnsi="Arial" w:cs="Arial"/>
          <w:color w:val="1D2228"/>
          <w:sz w:val="24"/>
          <w:szCs w:val="24"/>
          <w:lang w:bidi="ar-SA"/>
        </w:rPr>
        <w:t>it</w:t>
      </w:r>
      <w:r w:rsidR="001872A5" w:rsidRPr="001872A5">
        <w:rPr>
          <w:rFonts w:ascii="Arial" w:eastAsia="Times New Roman" w:hAnsi="Arial" w:cs="Arial"/>
          <w:color w:val="1D2228"/>
          <w:sz w:val="24"/>
          <w:szCs w:val="24"/>
          <w:lang w:bidi="ar-SA"/>
        </w:rPr>
        <w:t xml:space="preserve"> will begin brine acceptance testing</w:t>
      </w:r>
      <w:r w:rsidR="00262DBA">
        <w:rPr>
          <w:rFonts w:ascii="Arial" w:eastAsia="Times New Roman" w:hAnsi="Arial" w:cs="Arial"/>
          <w:color w:val="1D2228"/>
          <w:sz w:val="24"/>
          <w:szCs w:val="24"/>
          <w:lang w:bidi="ar-SA"/>
        </w:rPr>
        <w:t xml:space="preserve"> and producing lithium-chloride (LiCl)</w:t>
      </w:r>
      <w:r w:rsidR="001872A5" w:rsidRPr="001872A5">
        <w:rPr>
          <w:rFonts w:ascii="Arial" w:eastAsia="Times New Roman" w:hAnsi="Arial" w:cs="Arial"/>
          <w:color w:val="1D2228"/>
          <w:sz w:val="24"/>
          <w:szCs w:val="24"/>
          <w:lang w:bidi="ar-SA"/>
        </w:rPr>
        <w:t xml:space="preserve">. </w:t>
      </w:r>
    </w:p>
    <w:p w14:paraId="7C6ECB32" w14:textId="77777777" w:rsidR="001872A5" w:rsidRPr="001872A5" w:rsidRDefault="001872A5" w:rsidP="001872A5">
      <w:pPr>
        <w:jc w:val="both"/>
        <w:rPr>
          <w:rFonts w:ascii="Times New Roman" w:eastAsia="Times New Roman" w:hAnsi="Times New Roman" w:cs="Times New Roman"/>
          <w:sz w:val="24"/>
          <w:szCs w:val="24"/>
          <w:lang w:bidi="ar-SA"/>
        </w:rPr>
      </w:pPr>
    </w:p>
    <w:p w14:paraId="417626BD" w14:textId="77777777" w:rsidR="00924A8A" w:rsidRDefault="004156E5">
      <w:pPr>
        <w:jc w:val="both"/>
        <w:rPr>
          <w:rFonts w:ascii="Arial" w:eastAsia="Arial" w:hAnsi="Arial" w:cs="Arial"/>
          <w:color w:val="1D2228"/>
          <w:sz w:val="24"/>
          <w:szCs w:val="24"/>
        </w:rPr>
      </w:pPr>
      <w:r>
        <w:rPr>
          <w:rFonts w:ascii="Arial" w:eastAsia="Arial" w:hAnsi="Arial" w:cs="Arial"/>
          <w:color w:val="1D2228"/>
          <w:sz w:val="24"/>
          <w:szCs w:val="24"/>
        </w:rPr>
        <w:t xml:space="preserve">“Not only have we developed patented, proprietary technology that allows for the rapid extraction of lithium-chloride, but our system uses virtually no chemicals allowing for minimal production of </w:t>
      </w:r>
      <w:r w:rsidR="00A802EF">
        <w:rPr>
          <w:rFonts w:ascii="Arial" w:eastAsia="Arial" w:hAnsi="Arial" w:cs="Arial"/>
          <w:color w:val="1D2228"/>
          <w:sz w:val="24"/>
          <w:szCs w:val="24"/>
        </w:rPr>
        <w:t>wastewater</w:t>
      </w:r>
      <w:r>
        <w:rPr>
          <w:rFonts w:ascii="Arial" w:eastAsia="Arial" w:hAnsi="Arial" w:cs="Arial"/>
          <w:color w:val="1D2228"/>
          <w:sz w:val="24"/>
          <w:szCs w:val="24"/>
        </w:rPr>
        <w:t>,” stated Dr. John Burba. “Our holistic approach sets a new standard of environmental care which we are calling ‘Rapid, Ethical Lithium Production.’”</w:t>
      </w:r>
    </w:p>
    <w:p w14:paraId="6CB8F7F3" w14:textId="77777777" w:rsidR="00924A8A" w:rsidRDefault="00924A8A">
      <w:pPr>
        <w:jc w:val="both"/>
        <w:rPr>
          <w:rFonts w:ascii="Arial" w:eastAsia="Arial" w:hAnsi="Arial" w:cs="Arial"/>
          <w:color w:val="1D2228"/>
          <w:sz w:val="24"/>
          <w:szCs w:val="24"/>
        </w:rPr>
      </w:pPr>
    </w:p>
    <w:p w14:paraId="0F0D1692" w14:textId="77777777" w:rsidR="00924A8A" w:rsidRDefault="004156E5">
      <w:pPr>
        <w:jc w:val="both"/>
        <w:rPr>
          <w:rFonts w:ascii="Arial" w:eastAsia="Arial" w:hAnsi="Arial" w:cs="Arial"/>
          <w:color w:val="1D2228"/>
          <w:sz w:val="24"/>
          <w:szCs w:val="24"/>
        </w:rPr>
      </w:pPr>
      <w:r>
        <w:rPr>
          <w:rFonts w:ascii="Arial" w:eastAsia="Arial" w:hAnsi="Arial" w:cs="Arial"/>
          <w:color w:val="1D2228"/>
          <w:sz w:val="24"/>
          <w:szCs w:val="24"/>
        </w:rPr>
        <w:t xml:space="preserve">The unique modular design of the Company’s lithium extraction plant allows for rapid plant deployment and onsite assembly. The plant, currently being tested in Louisiana, was assembled in an astonishing ten-day period by a small, nine-man crew, demonstrating the versatility of the plant's design and the feasibility of moving the plant between multiple lithium-bearing brine resources. </w:t>
      </w:r>
      <w:r w:rsidR="00F82422">
        <w:rPr>
          <w:rFonts w:ascii="Arial" w:eastAsia="Arial" w:hAnsi="Arial" w:cs="Arial"/>
          <w:color w:val="1D2228"/>
          <w:sz w:val="24"/>
          <w:szCs w:val="24"/>
        </w:rPr>
        <w:t xml:space="preserve">An official time-lapse video of the plant assembly can be </w:t>
      </w:r>
      <w:hyperlink r:id="rId8" w:history="1">
        <w:r w:rsidR="00F82422" w:rsidRPr="00F82422">
          <w:rPr>
            <w:rStyle w:val="Hyperlink"/>
            <w:rFonts w:ascii="Arial" w:eastAsia="Arial" w:hAnsi="Arial" w:cs="Arial"/>
            <w:sz w:val="24"/>
            <w:szCs w:val="24"/>
          </w:rPr>
          <w:t>viewed here</w:t>
        </w:r>
      </w:hyperlink>
      <w:r w:rsidR="00F82422">
        <w:rPr>
          <w:rFonts w:ascii="Arial" w:eastAsia="Arial" w:hAnsi="Arial" w:cs="Arial"/>
          <w:color w:val="1D2228"/>
          <w:sz w:val="24"/>
          <w:szCs w:val="24"/>
        </w:rPr>
        <w:t xml:space="preserve">. </w:t>
      </w:r>
    </w:p>
    <w:p w14:paraId="0427AB18" w14:textId="77777777" w:rsidR="00924A8A" w:rsidRDefault="00924A8A">
      <w:pPr>
        <w:jc w:val="both"/>
        <w:rPr>
          <w:rFonts w:ascii="Arial" w:eastAsia="Arial" w:hAnsi="Arial" w:cs="Arial"/>
          <w:color w:val="1D2228"/>
          <w:sz w:val="24"/>
          <w:szCs w:val="24"/>
        </w:rPr>
      </w:pPr>
    </w:p>
    <w:p w14:paraId="00DB7936" w14:textId="5C1F5C54" w:rsidR="00924A8A" w:rsidRDefault="004156E5">
      <w:pPr>
        <w:jc w:val="both"/>
        <w:rPr>
          <w:rFonts w:ascii="Arial" w:eastAsia="Arial" w:hAnsi="Arial" w:cs="Arial"/>
          <w:color w:val="1D2228"/>
          <w:sz w:val="24"/>
          <w:szCs w:val="24"/>
        </w:rPr>
      </w:pPr>
      <w:r>
        <w:rPr>
          <w:rFonts w:ascii="Arial" w:eastAsia="Arial" w:hAnsi="Arial" w:cs="Arial"/>
          <w:color w:val="1D2228"/>
          <w:sz w:val="24"/>
          <w:szCs w:val="24"/>
        </w:rPr>
        <w:t>While the Company’s technology represents a novel application of a proprietary, patented process, the fundamentals of the direct lithium extraction (DLE) process are proven and have been implemented for decades at FMC’s operation in Argentina, which was designed by Dr. John Burba.</w:t>
      </w:r>
    </w:p>
    <w:p w14:paraId="7EC5B6A6" w14:textId="77777777" w:rsidR="00924A8A" w:rsidRDefault="00924A8A">
      <w:pPr>
        <w:jc w:val="both"/>
        <w:rPr>
          <w:rFonts w:ascii="Arial" w:eastAsia="Arial" w:hAnsi="Arial" w:cs="Arial"/>
          <w:color w:val="1D2228"/>
          <w:sz w:val="24"/>
          <w:szCs w:val="24"/>
        </w:rPr>
      </w:pPr>
    </w:p>
    <w:p w14:paraId="01FCFAB1" w14:textId="4B3A1304" w:rsidR="00924A8A" w:rsidRDefault="004156E5">
      <w:pPr>
        <w:jc w:val="both"/>
        <w:rPr>
          <w:rFonts w:ascii="Arial" w:eastAsia="Arial" w:hAnsi="Arial" w:cs="Arial"/>
          <w:color w:val="1D2228"/>
          <w:sz w:val="24"/>
          <w:szCs w:val="24"/>
        </w:rPr>
      </w:pPr>
      <w:r>
        <w:rPr>
          <w:rFonts w:ascii="Arial" w:eastAsia="Arial" w:hAnsi="Arial" w:cs="Arial"/>
          <w:color w:val="1D2228"/>
          <w:sz w:val="24"/>
          <w:szCs w:val="24"/>
        </w:rPr>
        <w:t xml:space="preserve">“I am particularly excited about this innovation to DLE,” stated Dr. John Burba. “This modular plant demonstrates a fundamental advancement on the initial DLE patents I filed with Dr. Bauman in </w:t>
      </w:r>
      <w:r>
        <w:rPr>
          <w:rFonts w:ascii="Arial" w:eastAsia="Arial" w:hAnsi="Arial" w:cs="Arial"/>
          <w:color w:val="1D2228"/>
          <w:sz w:val="24"/>
          <w:szCs w:val="24"/>
        </w:rPr>
        <w:lastRenderedPageBreak/>
        <w:t xml:space="preserve">the </w:t>
      </w:r>
      <w:r w:rsidR="00DC2FEE">
        <w:rPr>
          <w:rFonts w:ascii="Arial" w:eastAsia="Arial" w:hAnsi="Arial" w:cs="Arial"/>
          <w:color w:val="1D2228"/>
          <w:sz w:val="24"/>
          <w:szCs w:val="24"/>
        </w:rPr>
        <w:t>1980s</w:t>
      </w:r>
      <w:r>
        <w:rPr>
          <w:rFonts w:ascii="Arial" w:eastAsia="Arial" w:hAnsi="Arial" w:cs="Arial"/>
          <w:color w:val="1D2228"/>
          <w:sz w:val="24"/>
          <w:szCs w:val="24"/>
        </w:rPr>
        <w:t xml:space="preserve"> </w:t>
      </w:r>
      <w:r w:rsidR="008B7BCA">
        <w:rPr>
          <w:rFonts w:ascii="Arial" w:eastAsia="Arial" w:hAnsi="Arial" w:cs="Arial"/>
          <w:color w:val="1D2228"/>
          <w:sz w:val="24"/>
          <w:szCs w:val="24"/>
        </w:rPr>
        <w:t xml:space="preserve">and 1990s, </w:t>
      </w:r>
      <w:r>
        <w:rPr>
          <w:rFonts w:ascii="Arial" w:eastAsia="Arial" w:hAnsi="Arial" w:cs="Arial"/>
          <w:color w:val="1D2228"/>
          <w:sz w:val="24"/>
          <w:szCs w:val="24"/>
        </w:rPr>
        <w:t>and commercialized through FMC in the 1990s.”</w:t>
      </w:r>
    </w:p>
    <w:p w14:paraId="612A0508" w14:textId="77777777" w:rsidR="00924A8A" w:rsidRDefault="00924A8A">
      <w:pPr>
        <w:jc w:val="both"/>
        <w:rPr>
          <w:rFonts w:ascii="Arial" w:eastAsia="Arial" w:hAnsi="Arial" w:cs="Arial"/>
          <w:color w:val="1D2228"/>
          <w:sz w:val="24"/>
          <w:szCs w:val="24"/>
        </w:rPr>
      </w:pPr>
    </w:p>
    <w:p w14:paraId="240FEE9C" w14:textId="77777777" w:rsidR="00924A8A" w:rsidRDefault="004156E5">
      <w:pPr>
        <w:jc w:val="both"/>
        <w:rPr>
          <w:rFonts w:ascii="Arial" w:eastAsia="Arial" w:hAnsi="Arial" w:cs="Arial"/>
          <w:color w:val="1D2228"/>
          <w:sz w:val="24"/>
          <w:szCs w:val="24"/>
        </w:rPr>
      </w:pPr>
      <w:r>
        <w:rPr>
          <w:rFonts w:ascii="Arial" w:eastAsia="Arial" w:hAnsi="Arial" w:cs="Arial"/>
          <w:color w:val="1D2228"/>
          <w:sz w:val="24"/>
          <w:szCs w:val="24"/>
        </w:rPr>
        <w:t>The Company is anticipating that its patented design will allow access and a means to capitalize on diverse lithium-bearing brine resources. The current plant is capable of producing 5,000 metric tons of commercial-</w:t>
      </w:r>
      <w:r w:rsidR="00DC2FEE">
        <w:rPr>
          <w:rFonts w:ascii="Arial" w:eastAsia="Arial" w:hAnsi="Arial" w:cs="Arial"/>
          <w:color w:val="1D2228"/>
          <w:sz w:val="24"/>
          <w:szCs w:val="24"/>
        </w:rPr>
        <w:t xml:space="preserve">grade </w:t>
      </w:r>
      <w:r w:rsidR="00262DBA">
        <w:rPr>
          <w:rFonts w:ascii="Arial" w:eastAsia="Arial" w:hAnsi="Arial" w:cs="Arial"/>
          <w:color w:val="1D2228"/>
          <w:sz w:val="24"/>
          <w:szCs w:val="24"/>
        </w:rPr>
        <w:t>LiCl</w:t>
      </w:r>
      <w:r>
        <w:rPr>
          <w:rFonts w:ascii="Arial" w:eastAsia="Arial" w:hAnsi="Arial" w:cs="Arial"/>
          <w:color w:val="1D2228"/>
          <w:sz w:val="24"/>
          <w:szCs w:val="24"/>
        </w:rPr>
        <w:t xml:space="preserve">, on </w:t>
      </w:r>
      <w:r w:rsidR="00DC2FEE">
        <w:rPr>
          <w:rFonts w:ascii="Arial" w:eastAsia="Arial" w:hAnsi="Arial" w:cs="Arial"/>
          <w:color w:val="1D2228"/>
          <w:sz w:val="24"/>
          <w:szCs w:val="24"/>
        </w:rPr>
        <w:t>a</w:t>
      </w:r>
      <w:r>
        <w:rPr>
          <w:rFonts w:ascii="Arial" w:eastAsia="Arial" w:hAnsi="Arial" w:cs="Arial"/>
          <w:color w:val="1D2228"/>
          <w:sz w:val="24"/>
          <w:szCs w:val="24"/>
        </w:rPr>
        <w:t xml:space="preserve"> lithium carbonate equivalent basis, each year. The </w:t>
      </w:r>
      <w:r w:rsidR="00084457">
        <w:rPr>
          <w:rFonts w:ascii="Arial" w:eastAsia="Arial" w:hAnsi="Arial" w:cs="Arial"/>
          <w:color w:val="1D2228"/>
          <w:sz w:val="24"/>
          <w:szCs w:val="24"/>
        </w:rPr>
        <w:t xml:space="preserve">same </w:t>
      </w:r>
      <w:r>
        <w:rPr>
          <w:rFonts w:ascii="Arial" w:eastAsia="Arial" w:hAnsi="Arial" w:cs="Arial"/>
          <w:color w:val="1D2228"/>
          <w:sz w:val="24"/>
          <w:szCs w:val="24"/>
        </w:rPr>
        <w:t xml:space="preserve">plant can be quickly expanded to produce up to 20,000 metric tons of LiCl per year, based on the capacity and unique </w:t>
      </w:r>
      <w:r w:rsidR="00BA6CC4">
        <w:rPr>
          <w:rFonts w:ascii="Arial" w:eastAsia="Arial" w:hAnsi="Arial" w:cs="Arial"/>
          <w:color w:val="1D2228"/>
          <w:sz w:val="24"/>
          <w:szCs w:val="24"/>
        </w:rPr>
        <w:t>composition</w:t>
      </w:r>
      <w:r>
        <w:rPr>
          <w:rFonts w:ascii="Arial" w:eastAsia="Arial" w:hAnsi="Arial" w:cs="Arial"/>
          <w:color w:val="1D2228"/>
          <w:sz w:val="24"/>
          <w:szCs w:val="24"/>
        </w:rPr>
        <w:t xml:space="preserve"> of the brine resource. </w:t>
      </w:r>
    </w:p>
    <w:p w14:paraId="124193F7" w14:textId="77777777" w:rsidR="00924A8A" w:rsidRDefault="00924A8A">
      <w:pPr>
        <w:jc w:val="both"/>
        <w:rPr>
          <w:rFonts w:ascii="Arial" w:eastAsia="Arial" w:hAnsi="Arial" w:cs="Arial"/>
          <w:color w:val="1D2228"/>
          <w:sz w:val="24"/>
          <w:szCs w:val="24"/>
        </w:rPr>
      </w:pPr>
    </w:p>
    <w:p w14:paraId="78D63488" w14:textId="77777777" w:rsidR="00924A8A" w:rsidRDefault="004156E5">
      <w:pPr>
        <w:jc w:val="both"/>
        <w:rPr>
          <w:rFonts w:ascii="Arial" w:eastAsia="Arial" w:hAnsi="Arial" w:cs="Arial"/>
          <w:sz w:val="24"/>
          <w:szCs w:val="24"/>
        </w:rPr>
      </w:pPr>
      <w:r>
        <w:rPr>
          <w:rFonts w:ascii="Arial" w:eastAsia="Arial" w:hAnsi="Arial" w:cs="Arial"/>
          <w:sz w:val="24"/>
          <w:szCs w:val="24"/>
        </w:rPr>
        <w:t xml:space="preserve">To learn more about International Battery </w:t>
      </w:r>
      <w:r w:rsidR="00DC2FEE">
        <w:rPr>
          <w:rFonts w:ascii="Arial" w:eastAsia="Arial" w:hAnsi="Arial" w:cs="Arial"/>
          <w:sz w:val="24"/>
          <w:szCs w:val="24"/>
        </w:rPr>
        <w:t>Metals’</w:t>
      </w:r>
      <w:r>
        <w:rPr>
          <w:rFonts w:ascii="Arial" w:eastAsia="Arial" w:hAnsi="Arial" w:cs="Arial"/>
          <w:sz w:val="24"/>
          <w:szCs w:val="24"/>
        </w:rPr>
        <w:t xml:space="preserve"> innovative approach to ecologically responsible and sustainable lithium extraction, visit </w:t>
      </w:r>
      <w:hyperlink r:id="rId9">
        <w:r>
          <w:rPr>
            <w:rFonts w:ascii="Arial" w:eastAsia="Arial" w:hAnsi="Arial" w:cs="Arial"/>
            <w:color w:val="0000FF"/>
            <w:sz w:val="24"/>
            <w:szCs w:val="24"/>
            <w:u w:val="single"/>
          </w:rPr>
          <w:t>ibatterymetals.com</w:t>
        </w:r>
      </w:hyperlink>
      <w:r>
        <w:rPr>
          <w:rFonts w:ascii="Arial" w:eastAsia="Arial" w:hAnsi="Arial" w:cs="Arial"/>
          <w:sz w:val="24"/>
          <w:szCs w:val="24"/>
        </w:rPr>
        <w:t>.</w:t>
      </w:r>
    </w:p>
    <w:p w14:paraId="4CAA4263" w14:textId="77777777" w:rsidR="00924A8A" w:rsidRDefault="00924A8A">
      <w:pPr>
        <w:spacing w:before="160"/>
        <w:rPr>
          <w:rFonts w:ascii="Arial" w:eastAsia="Arial" w:hAnsi="Arial" w:cs="Arial"/>
          <w:sz w:val="24"/>
          <w:szCs w:val="24"/>
        </w:rPr>
      </w:pPr>
    </w:p>
    <w:p w14:paraId="3AC1A8E8" w14:textId="77777777" w:rsidR="00924A8A" w:rsidRDefault="004156E5">
      <w:pPr>
        <w:spacing w:before="160"/>
        <w:rPr>
          <w:rFonts w:ascii="Arial" w:eastAsia="Arial" w:hAnsi="Arial" w:cs="Arial"/>
          <w:sz w:val="24"/>
          <w:szCs w:val="24"/>
        </w:rPr>
      </w:pPr>
      <w:r>
        <w:rPr>
          <w:rFonts w:ascii="Arial" w:eastAsia="Arial" w:hAnsi="Arial" w:cs="Arial"/>
          <w:sz w:val="24"/>
          <w:szCs w:val="24"/>
        </w:rPr>
        <w:t>ON BEHALF OF THE BOARD</w:t>
      </w:r>
    </w:p>
    <w:p w14:paraId="32799710" w14:textId="77777777" w:rsidR="00924A8A" w:rsidRDefault="00924A8A">
      <w:pPr>
        <w:spacing w:before="10"/>
        <w:rPr>
          <w:rFonts w:ascii="Arial" w:eastAsia="Arial" w:hAnsi="Arial" w:cs="Arial"/>
          <w:sz w:val="24"/>
          <w:szCs w:val="24"/>
        </w:rPr>
      </w:pPr>
    </w:p>
    <w:p w14:paraId="7DA4FEED" w14:textId="77777777" w:rsidR="00924A8A" w:rsidRDefault="004156E5">
      <w:pPr>
        <w:rPr>
          <w:rFonts w:ascii="Arial" w:eastAsia="Arial" w:hAnsi="Arial" w:cs="Arial"/>
          <w:i/>
          <w:sz w:val="24"/>
          <w:szCs w:val="24"/>
        </w:rPr>
      </w:pPr>
      <w:r>
        <w:rPr>
          <w:rFonts w:ascii="Arial" w:eastAsia="Arial" w:hAnsi="Arial" w:cs="Arial"/>
          <w:i/>
          <w:sz w:val="24"/>
          <w:szCs w:val="24"/>
        </w:rPr>
        <w:t>“Dr. John Burba”</w:t>
      </w:r>
    </w:p>
    <w:p w14:paraId="3DD4BA31" w14:textId="77777777" w:rsidR="00924A8A" w:rsidRDefault="00924A8A">
      <w:pPr>
        <w:spacing w:before="2"/>
        <w:rPr>
          <w:rFonts w:ascii="Arial" w:eastAsia="Arial" w:hAnsi="Arial" w:cs="Arial"/>
          <w:i/>
          <w:sz w:val="24"/>
          <w:szCs w:val="24"/>
        </w:rPr>
      </w:pPr>
    </w:p>
    <w:p w14:paraId="24F7B974" w14:textId="3A25F562" w:rsidR="00924A8A" w:rsidRDefault="004156E5">
      <w:pPr>
        <w:spacing w:line="259" w:lineRule="auto"/>
        <w:ind w:right="5318"/>
        <w:rPr>
          <w:rFonts w:ascii="Arial" w:eastAsia="Arial" w:hAnsi="Arial" w:cs="Arial"/>
          <w:sz w:val="24"/>
          <w:szCs w:val="24"/>
        </w:rPr>
      </w:pPr>
      <w:r>
        <w:rPr>
          <w:rFonts w:ascii="Arial" w:eastAsia="Arial" w:hAnsi="Arial" w:cs="Arial"/>
          <w:sz w:val="24"/>
          <w:szCs w:val="24"/>
        </w:rPr>
        <w:t xml:space="preserve">Dr. John Burba, CEO &amp; </w:t>
      </w:r>
      <w:r w:rsidR="008B7BCA">
        <w:rPr>
          <w:rFonts w:ascii="Arial" w:eastAsia="Arial" w:hAnsi="Arial" w:cs="Arial"/>
          <w:sz w:val="24"/>
          <w:szCs w:val="24"/>
        </w:rPr>
        <w:t xml:space="preserve">Chairman of the Board of </w:t>
      </w:r>
      <w:r>
        <w:rPr>
          <w:rFonts w:ascii="Arial" w:eastAsia="Arial" w:hAnsi="Arial" w:cs="Arial"/>
          <w:sz w:val="24"/>
          <w:szCs w:val="24"/>
        </w:rPr>
        <w:t>Director</w:t>
      </w:r>
      <w:r w:rsidR="008B7BCA">
        <w:rPr>
          <w:rFonts w:ascii="Arial" w:eastAsia="Arial" w:hAnsi="Arial" w:cs="Arial"/>
          <w:sz w:val="24"/>
          <w:szCs w:val="24"/>
        </w:rPr>
        <w:t>s</w:t>
      </w:r>
      <w:r>
        <w:rPr>
          <w:rFonts w:ascii="Arial" w:eastAsia="Arial" w:hAnsi="Arial" w:cs="Arial"/>
          <w:sz w:val="24"/>
          <w:szCs w:val="24"/>
        </w:rPr>
        <w:t xml:space="preserve"> </w:t>
      </w:r>
    </w:p>
    <w:p w14:paraId="5DC0FB82" w14:textId="77777777" w:rsidR="00924A8A" w:rsidRDefault="00924A8A">
      <w:pPr>
        <w:spacing w:before="11"/>
        <w:rPr>
          <w:rFonts w:ascii="Arial" w:eastAsia="Arial" w:hAnsi="Arial" w:cs="Arial"/>
        </w:rPr>
      </w:pPr>
    </w:p>
    <w:p w14:paraId="4F7D923A" w14:textId="77777777" w:rsidR="00924A8A" w:rsidRDefault="004156E5" w:rsidP="001872A5">
      <w:pPr>
        <w:spacing w:before="11"/>
        <w:jc w:val="both"/>
        <w:rPr>
          <w:rFonts w:ascii="Arial" w:eastAsia="Arial" w:hAnsi="Arial" w:cs="Arial"/>
          <w:sz w:val="20"/>
          <w:szCs w:val="20"/>
        </w:rPr>
      </w:pPr>
      <w:r>
        <w:rPr>
          <w:rFonts w:ascii="Arial" w:eastAsia="Arial" w:hAnsi="Arial" w:cs="Arial"/>
          <w:sz w:val="20"/>
          <w:szCs w:val="20"/>
        </w:rPr>
        <w:t>Neither Canadian Securities Exchange nor its Regulation Services Provider (as that term is defined in the policies of the Canadian Securities Exchange) accepts responsibility for the adequacy or accuracy of this release.</w:t>
      </w:r>
    </w:p>
    <w:p w14:paraId="1F5F9968" w14:textId="77777777" w:rsidR="001872A5" w:rsidRDefault="001872A5" w:rsidP="001872A5">
      <w:pPr>
        <w:spacing w:before="11"/>
        <w:jc w:val="both"/>
        <w:rPr>
          <w:rFonts w:ascii="Arial" w:eastAsia="Arial" w:hAnsi="Arial" w:cs="Arial"/>
          <w:sz w:val="20"/>
          <w:szCs w:val="20"/>
        </w:rPr>
      </w:pPr>
    </w:p>
    <w:p w14:paraId="318CF88F" w14:textId="77777777" w:rsidR="00924A8A" w:rsidRDefault="004156E5" w:rsidP="001872A5">
      <w:pPr>
        <w:spacing w:before="11"/>
        <w:jc w:val="both"/>
        <w:rPr>
          <w:rFonts w:ascii="Arial" w:eastAsia="Arial" w:hAnsi="Arial" w:cs="Arial"/>
          <w:sz w:val="20"/>
          <w:szCs w:val="20"/>
        </w:rPr>
      </w:pPr>
      <w:r>
        <w:rPr>
          <w:rFonts w:ascii="Arial" w:eastAsia="Arial" w:hAnsi="Arial" w:cs="Arial"/>
          <w:sz w:val="20"/>
          <w:szCs w:val="20"/>
        </w:rPr>
        <w:t>This news release may contain assumptions, estimates, and other forward-looking statements regarding future events. Such forward-looking statements involve inherent risks and uncertainties and are subject to factors, many of which are beyond the Company's control that may cause actual results or performance to differ materially from those currently anticipated in such statements.</w:t>
      </w:r>
    </w:p>
    <w:p w14:paraId="08284E42" w14:textId="77777777" w:rsidR="00924A8A" w:rsidRDefault="00924A8A">
      <w:pPr>
        <w:spacing w:before="11"/>
        <w:rPr>
          <w:rFonts w:ascii="Arial" w:eastAsia="Arial" w:hAnsi="Arial" w:cs="Arial"/>
          <w:sz w:val="20"/>
          <w:szCs w:val="20"/>
        </w:rPr>
      </w:pPr>
    </w:p>
    <w:p w14:paraId="0D4EF852" w14:textId="77777777" w:rsidR="00924A8A" w:rsidRDefault="004156E5">
      <w:pPr>
        <w:ind w:left="-90" w:firstLine="90"/>
        <w:jc w:val="both"/>
        <w:rPr>
          <w:rFonts w:ascii="Arial" w:eastAsia="Arial" w:hAnsi="Arial" w:cs="Arial"/>
          <w:i/>
          <w:sz w:val="20"/>
          <w:szCs w:val="20"/>
        </w:rPr>
      </w:pPr>
      <w:r>
        <w:rPr>
          <w:rFonts w:ascii="Arial" w:eastAsia="Arial" w:hAnsi="Arial" w:cs="Arial"/>
          <w:i/>
          <w:sz w:val="20"/>
          <w:szCs w:val="20"/>
          <w:u w:val="single"/>
        </w:rPr>
        <w:t>Forward</w:t>
      </w:r>
      <w:r>
        <w:rPr>
          <w:rFonts w:ascii="Cambria Math" w:eastAsia="Cambria Math" w:hAnsi="Cambria Math" w:cs="Cambria Math"/>
          <w:i/>
          <w:sz w:val="20"/>
          <w:szCs w:val="20"/>
          <w:u w:val="single"/>
        </w:rPr>
        <w:t>‐</w:t>
      </w:r>
      <w:r>
        <w:rPr>
          <w:rFonts w:ascii="Arial" w:eastAsia="Arial" w:hAnsi="Arial" w:cs="Arial"/>
          <w:i/>
          <w:sz w:val="20"/>
          <w:szCs w:val="20"/>
          <w:u w:val="single"/>
        </w:rPr>
        <w:t>looking and cautionary statements</w:t>
      </w:r>
    </w:p>
    <w:p w14:paraId="29991A10" w14:textId="4F8BF8B1" w:rsidR="00924A8A" w:rsidRDefault="004156E5" w:rsidP="001872A5">
      <w:pPr>
        <w:spacing w:before="58"/>
        <w:ind w:right="136"/>
        <w:jc w:val="both"/>
        <w:rPr>
          <w:rFonts w:ascii="Arial" w:eastAsia="Arial" w:hAnsi="Arial" w:cs="Arial"/>
          <w:i/>
          <w:sz w:val="20"/>
          <w:szCs w:val="20"/>
        </w:rPr>
      </w:pPr>
      <w:r>
        <w:rPr>
          <w:rFonts w:ascii="Arial" w:eastAsia="Arial" w:hAnsi="Arial" w:cs="Arial"/>
          <w:i/>
          <w:sz w:val="20"/>
          <w:szCs w:val="20"/>
        </w:rPr>
        <w:t xml:space="preserve">This press release shall not constitute an offer to sell or the solicitation of an offer to buy any securities, nor shall there be any sale of securities in any state in the United States in which such offer, solicitation or sale would be unlawful. </w:t>
      </w:r>
      <w:r w:rsidR="00F81A7B">
        <w:rPr>
          <w:rFonts w:ascii="Arial" w:eastAsia="Arial" w:hAnsi="Arial" w:cs="Arial"/>
          <w:i/>
          <w:sz w:val="20"/>
          <w:szCs w:val="20"/>
        </w:rPr>
        <w:t xml:space="preserve">Any </w:t>
      </w:r>
      <w:r>
        <w:rPr>
          <w:rFonts w:ascii="Arial" w:eastAsia="Arial" w:hAnsi="Arial" w:cs="Arial"/>
          <w:i/>
          <w:sz w:val="20"/>
          <w:szCs w:val="20"/>
        </w:rPr>
        <w:t>securities</w:t>
      </w:r>
      <w:r w:rsidR="00F81A7B">
        <w:rPr>
          <w:rFonts w:ascii="Arial" w:eastAsia="Arial" w:hAnsi="Arial" w:cs="Arial"/>
          <w:i/>
          <w:sz w:val="20"/>
          <w:szCs w:val="20"/>
        </w:rPr>
        <w:t xml:space="preserve"> of the Company</w:t>
      </w:r>
      <w:r>
        <w:rPr>
          <w:rFonts w:ascii="Arial" w:eastAsia="Arial" w:hAnsi="Arial" w:cs="Arial"/>
          <w:i/>
          <w:sz w:val="20"/>
          <w:szCs w:val="20"/>
        </w:rPr>
        <w:t xml:space="preserve"> referred to herein have not been and will not be registered under the United States Securities Act of 1933, as amended, and may not be offered or sold in the United States absent registration or an applicable exemption from registration requirements. This release may contain statements within the meaning of safe harbour provisions as defined under securities laws and regulations.</w:t>
      </w:r>
    </w:p>
    <w:p w14:paraId="71899B18" w14:textId="77777777" w:rsidR="001872A5" w:rsidRDefault="001872A5" w:rsidP="001872A5">
      <w:pPr>
        <w:spacing w:before="1"/>
        <w:ind w:right="251"/>
        <w:jc w:val="both"/>
        <w:rPr>
          <w:rFonts w:ascii="Arial" w:eastAsia="Arial" w:hAnsi="Arial" w:cs="Arial"/>
          <w:i/>
          <w:sz w:val="20"/>
          <w:szCs w:val="20"/>
        </w:rPr>
      </w:pPr>
    </w:p>
    <w:p w14:paraId="470FEC44" w14:textId="77777777" w:rsidR="00924A8A" w:rsidRDefault="004156E5" w:rsidP="001872A5">
      <w:pPr>
        <w:spacing w:before="1"/>
        <w:ind w:right="251"/>
        <w:jc w:val="both"/>
        <w:rPr>
          <w:rFonts w:ascii="Arial" w:eastAsia="Arial" w:hAnsi="Arial" w:cs="Arial"/>
          <w:i/>
          <w:sz w:val="20"/>
          <w:szCs w:val="20"/>
        </w:rPr>
      </w:pPr>
      <w:r>
        <w:rPr>
          <w:rFonts w:ascii="Arial" w:eastAsia="Arial" w:hAnsi="Arial" w:cs="Arial"/>
          <w:i/>
          <w:sz w:val="20"/>
          <w:szCs w:val="20"/>
        </w:rPr>
        <w:t>This release may contain certain forward</w:t>
      </w:r>
      <w:r>
        <w:rPr>
          <w:rFonts w:ascii="Cambria Math" w:eastAsia="Cambria Math" w:hAnsi="Cambria Math" w:cs="Cambria Math"/>
          <w:i/>
          <w:sz w:val="20"/>
          <w:szCs w:val="20"/>
        </w:rPr>
        <w:t>‐</w:t>
      </w:r>
      <w:r>
        <w:rPr>
          <w:rFonts w:ascii="Arial" w:eastAsia="Arial" w:hAnsi="Arial" w:cs="Arial"/>
          <w:i/>
          <w:sz w:val="20"/>
          <w:szCs w:val="20"/>
        </w:rPr>
        <w:t>looking statements with respect to the financial condition, results of</w:t>
      </w:r>
      <w:r w:rsidR="001872A5">
        <w:rPr>
          <w:rFonts w:ascii="Arial" w:eastAsia="Arial" w:hAnsi="Arial" w:cs="Arial"/>
          <w:i/>
          <w:sz w:val="20"/>
          <w:szCs w:val="20"/>
        </w:rPr>
        <w:t xml:space="preserve"> </w:t>
      </w:r>
      <w:r>
        <w:rPr>
          <w:rFonts w:ascii="Arial" w:eastAsia="Arial" w:hAnsi="Arial" w:cs="Arial"/>
          <w:i/>
          <w:sz w:val="20"/>
          <w:szCs w:val="20"/>
        </w:rPr>
        <w:t>operations and business of the Company and certain of the plans and objectives of the Company with respect to the same. There is no assurance that the company’s apparatus will be able to commercially produce lithium at the stated capacity. The purpose of the tests is to determine if it will be able to do so and successful completion of the tests cannot be assured as they are subject to risks and uncertainties associated with any new mineral processing method and characteristics of the material being processed.</w:t>
      </w:r>
    </w:p>
    <w:p w14:paraId="48E7D2FB" w14:textId="77777777" w:rsidR="001872A5" w:rsidRDefault="001872A5" w:rsidP="001872A5">
      <w:pPr>
        <w:spacing w:before="1"/>
        <w:ind w:right="251"/>
        <w:jc w:val="both"/>
        <w:rPr>
          <w:rFonts w:ascii="Arial" w:eastAsia="Arial" w:hAnsi="Arial" w:cs="Arial"/>
          <w:i/>
          <w:sz w:val="20"/>
          <w:szCs w:val="20"/>
        </w:rPr>
      </w:pPr>
    </w:p>
    <w:p w14:paraId="0095BEB4" w14:textId="77777777" w:rsidR="00924A8A" w:rsidRDefault="004156E5" w:rsidP="001872A5">
      <w:pPr>
        <w:spacing w:before="1"/>
        <w:ind w:right="251"/>
        <w:jc w:val="both"/>
        <w:rPr>
          <w:rFonts w:ascii="Arial" w:eastAsia="Arial" w:hAnsi="Arial" w:cs="Arial"/>
          <w:i/>
          <w:sz w:val="20"/>
          <w:szCs w:val="20"/>
        </w:rPr>
      </w:pPr>
      <w:r>
        <w:rPr>
          <w:rFonts w:ascii="Arial" w:eastAsia="Arial" w:hAnsi="Arial" w:cs="Arial"/>
          <w:i/>
          <w:sz w:val="20"/>
          <w:szCs w:val="20"/>
        </w:rPr>
        <w:t>By their nature, forward</w:t>
      </w:r>
      <w:r>
        <w:rPr>
          <w:rFonts w:ascii="Cambria Math" w:eastAsia="Cambria Math" w:hAnsi="Cambria Math" w:cs="Cambria Math"/>
          <w:i/>
          <w:sz w:val="20"/>
          <w:szCs w:val="20"/>
        </w:rPr>
        <w:t>‐</w:t>
      </w:r>
      <w:r>
        <w:rPr>
          <w:rFonts w:ascii="Arial" w:eastAsia="Arial" w:hAnsi="Arial" w:cs="Arial"/>
          <w:i/>
          <w:sz w:val="20"/>
          <w:szCs w:val="20"/>
        </w:rPr>
        <w:t>looking statements involve risk and uncertainty because they relate to events and depend on circumstances that will occur in the future and there are many factors that could cause actual results and developments to differ materially from those expressed or implied by these forward</w:t>
      </w:r>
      <w:r>
        <w:rPr>
          <w:rFonts w:ascii="Cambria Math" w:eastAsia="Cambria Math" w:hAnsi="Cambria Math" w:cs="Cambria Math"/>
          <w:i/>
          <w:sz w:val="20"/>
          <w:szCs w:val="20"/>
        </w:rPr>
        <w:t>‐</w:t>
      </w:r>
      <w:r>
        <w:rPr>
          <w:rFonts w:ascii="Arial" w:eastAsia="Arial" w:hAnsi="Arial" w:cs="Arial"/>
          <w:i/>
          <w:sz w:val="20"/>
          <w:szCs w:val="20"/>
        </w:rPr>
        <w:t>looking statements.</w:t>
      </w:r>
    </w:p>
    <w:p w14:paraId="0BC1B8DD" w14:textId="77777777" w:rsidR="00924A8A" w:rsidRDefault="00924A8A" w:rsidP="001872A5">
      <w:pPr>
        <w:pBdr>
          <w:top w:val="nil"/>
          <w:left w:val="nil"/>
          <w:bottom w:val="nil"/>
          <w:right w:val="nil"/>
          <w:between w:val="nil"/>
        </w:pBdr>
        <w:jc w:val="both"/>
        <w:rPr>
          <w:rFonts w:ascii="Arial" w:eastAsia="Arial" w:hAnsi="Arial" w:cs="Arial"/>
          <w:i/>
          <w:color w:val="000000"/>
        </w:rPr>
      </w:pPr>
    </w:p>
    <w:sectPr w:rsidR="00924A8A">
      <w:headerReference w:type="default" r:id="rId10"/>
      <w:pgSz w:w="12240" w:h="15840"/>
      <w:pgMar w:top="1000" w:right="940" w:bottom="2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770E0" w14:textId="77777777" w:rsidR="00D93A70" w:rsidRDefault="00D93A70">
      <w:r>
        <w:separator/>
      </w:r>
    </w:p>
  </w:endnote>
  <w:endnote w:type="continuationSeparator" w:id="0">
    <w:p w14:paraId="0B0DAFE0" w14:textId="77777777" w:rsidR="00D93A70" w:rsidRDefault="00D9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F658D" w14:textId="77777777" w:rsidR="00D93A70" w:rsidRDefault="00D93A70">
      <w:r>
        <w:separator/>
      </w:r>
    </w:p>
  </w:footnote>
  <w:footnote w:type="continuationSeparator" w:id="0">
    <w:p w14:paraId="1746499E" w14:textId="77777777" w:rsidR="00D93A70" w:rsidRDefault="00D93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CC63" w14:textId="535D8AC5" w:rsidR="00924A8A" w:rsidRDefault="00DC2FEE" w:rsidP="008C0B4E">
    <w:pPr>
      <w:spacing w:before="36"/>
      <w:ind w:left="7218" w:right="120" w:hanging="437"/>
      <w:jc w:val="right"/>
      <w:rPr>
        <w:sz w:val="18"/>
        <w:szCs w:val="18"/>
      </w:rPr>
    </w:pPr>
    <w:r w:rsidRPr="008C0B4E">
      <w:rPr>
        <w:b/>
        <w:noProof/>
      </w:rPr>
      <w:drawing>
        <wp:anchor distT="0" distB="0" distL="114300" distR="114300" simplePos="0" relativeHeight="251657216" behindDoc="1" locked="0" layoutInCell="1" allowOverlap="1" wp14:anchorId="19594332" wp14:editId="1073839F">
          <wp:simplePos x="0" y="0"/>
          <wp:positionH relativeFrom="column">
            <wp:posOffset>3175</wp:posOffset>
          </wp:positionH>
          <wp:positionV relativeFrom="paragraph">
            <wp:posOffset>-34925</wp:posOffset>
          </wp:positionV>
          <wp:extent cx="2534285" cy="506095"/>
          <wp:effectExtent l="0" t="0" r="0" b="1905"/>
          <wp:wrapTight wrapText="bothSides">
            <wp:wrapPolygon edited="0">
              <wp:start x="1299" y="0"/>
              <wp:lineTo x="0" y="2168"/>
              <wp:lineTo x="0" y="14093"/>
              <wp:lineTo x="649" y="17345"/>
              <wp:lineTo x="649" y="21139"/>
              <wp:lineTo x="3572" y="21139"/>
              <wp:lineTo x="7252" y="21139"/>
              <wp:lineTo x="20133" y="18429"/>
              <wp:lineTo x="20242" y="3252"/>
              <wp:lineTo x="19376" y="2710"/>
              <wp:lineTo x="2923" y="0"/>
              <wp:lineTo x="129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AT Logo - Grey Battery.png"/>
                  <pic:cNvPicPr/>
                </pic:nvPicPr>
                <pic:blipFill>
                  <a:blip r:embed="rId1">
                    <a:extLst>
                      <a:ext uri="{28A0092B-C50C-407E-A947-70E740481C1C}">
                        <a14:useLocalDpi xmlns:a14="http://schemas.microsoft.com/office/drawing/2010/main" val="0"/>
                      </a:ext>
                    </a:extLst>
                  </a:blip>
                  <a:stretch>
                    <a:fillRect/>
                  </a:stretch>
                </pic:blipFill>
                <pic:spPr>
                  <a:xfrm>
                    <a:off x="0" y="0"/>
                    <a:ext cx="2534285" cy="506095"/>
                  </a:xfrm>
                  <a:prstGeom prst="rect">
                    <a:avLst/>
                  </a:prstGeom>
                </pic:spPr>
              </pic:pic>
            </a:graphicData>
          </a:graphic>
          <wp14:sizeRelH relativeFrom="page">
            <wp14:pctWidth>0</wp14:pctWidth>
          </wp14:sizeRelH>
          <wp14:sizeRelV relativeFrom="page">
            <wp14:pctHeight>0</wp14:pctHeight>
          </wp14:sizeRelV>
        </wp:anchor>
      </w:drawing>
    </w:r>
    <w:r w:rsidR="008C0B4E" w:rsidRPr="008C0B4E">
      <w:rPr>
        <w:b/>
        <w:sz w:val="18"/>
        <w:szCs w:val="18"/>
      </w:rPr>
      <w:t>Media Contact</w:t>
    </w:r>
    <w:r w:rsidR="008C0B4E">
      <w:rPr>
        <w:sz w:val="18"/>
        <w:szCs w:val="18"/>
      </w:rPr>
      <w:t>:</w:t>
    </w:r>
  </w:p>
  <w:p w14:paraId="443AD7B0" w14:textId="1475E9D7" w:rsidR="008C0B4E" w:rsidRDefault="008C0B4E" w:rsidP="008C0B4E">
    <w:pPr>
      <w:spacing w:before="36"/>
      <w:ind w:left="7218" w:right="120" w:hanging="437"/>
      <w:jc w:val="right"/>
      <w:rPr>
        <w:sz w:val="18"/>
        <w:szCs w:val="18"/>
      </w:rPr>
    </w:pPr>
    <w:r>
      <w:rPr>
        <w:sz w:val="18"/>
        <w:szCs w:val="18"/>
      </w:rPr>
      <w:t>Janette McCallister</w:t>
    </w:r>
  </w:p>
  <w:p w14:paraId="0332B3E8" w14:textId="121A33BB" w:rsidR="00924A8A" w:rsidRDefault="00D93A70">
    <w:pPr>
      <w:ind w:right="123"/>
      <w:jc w:val="right"/>
      <w:rPr>
        <w:sz w:val="18"/>
        <w:szCs w:val="18"/>
      </w:rPr>
    </w:pPr>
    <w:hyperlink r:id="rId2" w:history="1">
      <w:r w:rsidR="008C0B4E" w:rsidRPr="008E2021">
        <w:rPr>
          <w:rStyle w:val="Hyperlink"/>
          <w:sz w:val="18"/>
          <w:szCs w:val="18"/>
        </w:rPr>
        <w:t>jmccallister@ibatterymetals.com</w:t>
      </w:r>
    </w:hyperlink>
  </w:p>
  <w:p w14:paraId="3832FBAE" w14:textId="77777777" w:rsidR="005D327B" w:rsidRDefault="005D327B" w:rsidP="005D327B">
    <w:pPr>
      <w:spacing w:before="36"/>
      <w:ind w:left="7218" w:right="120" w:hanging="437"/>
      <w:jc w:val="right"/>
      <w:rPr>
        <w:sz w:val="18"/>
        <w:szCs w:val="18"/>
      </w:rPr>
    </w:pPr>
    <w:r>
      <w:rPr>
        <w:sz w:val="18"/>
        <w:szCs w:val="18"/>
      </w:rPr>
      <w:t>720.302.3690</w:t>
    </w:r>
  </w:p>
  <w:p w14:paraId="4B2C78C3" w14:textId="77777777" w:rsidR="00924A8A" w:rsidRDefault="004156E5">
    <w:pPr>
      <w:spacing w:line="219" w:lineRule="auto"/>
      <w:ind w:right="118"/>
      <w:jc w:val="right"/>
      <w:rPr>
        <w:b/>
        <w:sz w:val="18"/>
        <w:szCs w:val="18"/>
      </w:rPr>
    </w:pPr>
    <w:r>
      <w:rPr>
        <w:b/>
        <w:sz w:val="18"/>
        <w:szCs w:val="18"/>
      </w:rPr>
      <w:t>ibatterymetals.com</w:t>
    </w:r>
  </w:p>
  <w:p w14:paraId="13B59E95" w14:textId="48C3F7C1" w:rsidR="004C63D5" w:rsidRPr="004C63D5" w:rsidRDefault="004C63D5" w:rsidP="004C63D5">
    <w:pPr>
      <w:tabs>
        <w:tab w:val="right" w:pos="10101"/>
      </w:tabs>
      <w:ind w:right="119"/>
      <w:rPr>
        <w:b/>
        <w:sz w:val="24"/>
        <w:szCs w:val="24"/>
      </w:rPr>
    </w:pPr>
    <w:r w:rsidRPr="004C63D5">
      <w:rPr>
        <w:b/>
        <w:sz w:val="24"/>
        <w:szCs w:val="24"/>
      </w:rPr>
      <w:t>1140-625 Howe Street</w:t>
    </w:r>
    <w:r>
      <w:rPr>
        <w:b/>
        <w:sz w:val="24"/>
        <w:szCs w:val="24"/>
      </w:rPr>
      <w:t xml:space="preserve">                                                                                                                               CSE: IBAT                                                                                                                                                                                                                                       </w:t>
    </w:r>
  </w:p>
  <w:p w14:paraId="34AB1358" w14:textId="38950A96" w:rsidR="004C63D5" w:rsidRDefault="004C63D5" w:rsidP="004C63D5">
    <w:pPr>
      <w:ind w:right="119"/>
      <w:rPr>
        <w:b/>
        <w:sz w:val="24"/>
        <w:szCs w:val="24"/>
      </w:rPr>
    </w:pPr>
    <w:r w:rsidRPr="004C63D5">
      <w:rPr>
        <w:b/>
        <w:sz w:val="24"/>
        <w:szCs w:val="24"/>
      </w:rPr>
      <w:t>Vancouver BC Canada V6C 2T6</w:t>
    </w:r>
    <w:r>
      <w:rPr>
        <w:b/>
        <w:sz w:val="24"/>
        <w:szCs w:val="24"/>
      </w:rPr>
      <w:t xml:space="preserve">                                                                                                             OTC: IBATF</w:t>
    </w:r>
  </w:p>
  <w:p w14:paraId="0421B480" w14:textId="2211D756" w:rsidR="00924A8A" w:rsidRDefault="004C63D5" w:rsidP="004C63D5">
    <w:pPr>
      <w:tabs>
        <w:tab w:val="right" w:pos="10101"/>
      </w:tabs>
      <w:ind w:right="119"/>
      <w:rPr>
        <w:b/>
        <w:sz w:val="24"/>
        <w:szCs w:val="24"/>
      </w:rPr>
    </w:pPr>
    <w:r>
      <w:rPr>
        <w:b/>
        <w:sz w:val="24"/>
        <w:szCs w:val="24"/>
      </w:rPr>
      <w:t xml:space="preserve">                                                                                                    </w:t>
    </w:r>
    <w:r>
      <w:rPr>
        <w:b/>
        <w:sz w:val="24"/>
        <w:szCs w:val="24"/>
      </w:rPr>
      <w:tab/>
    </w:r>
  </w:p>
  <w:p w14:paraId="1E92AD78" w14:textId="77777777" w:rsidR="00924A8A" w:rsidRDefault="00924A8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A8A"/>
    <w:rsid w:val="00084457"/>
    <w:rsid w:val="001872A5"/>
    <w:rsid w:val="00237A3D"/>
    <w:rsid w:val="00262DBA"/>
    <w:rsid w:val="00315899"/>
    <w:rsid w:val="00347B1A"/>
    <w:rsid w:val="003B2AE1"/>
    <w:rsid w:val="003E3BF0"/>
    <w:rsid w:val="004156E5"/>
    <w:rsid w:val="004B7C25"/>
    <w:rsid w:val="004C63D5"/>
    <w:rsid w:val="004E6496"/>
    <w:rsid w:val="00545E62"/>
    <w:rsid w:val="005D327B"/>
    <w:rsid w:val="00694BE1"/>
    <w:rsid w:val="006A0D74"/>
    <w:rsid w:val="00737053"/>
    <w:rsid w:val="00775C37"/>
    <w:rsid w:val="007E76B6"/>
    <w:rsid w:val="00846541"/>
    <w:rsid w:val="00847532"/>
    <w:rsid w:val="00870127"/>
    <w:rsid w:val="008B7BCA"/>
    <w:rsid w:val="008C0B4E"/>
    <w:rsid w:val="00924A8A"/>
    <w:rsid w:val="00944709"/>
    <w:rsid w:val="00A802EF"/>
    <w:rsid w:val="00B25DC2"/>
    <w:rsid w:val="00BA6CC4"/>
    <w:rsid w:val="00D93A70"/>
    <w:rsid w:val="00DC2FEE"/>
    <w:rsid w:val="00F0120C"/>
    <w:rsid w:val="00F81A7B"/>
    <w:rsid w:val="00F82422"/>
    <w:rsid w:val="00FC1E9A"/>
    <w:rsid w:val="00FF2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ABD03"/>
  <w15:docId w15:val="{EA51BDE6-B2AA-8840-BB26-42749328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ind w:left="144"/>
      <w:outlineLvl w:val="0"/>
    </w:pPr>
  </w:style>
  <w:style w:type="paragraph" w:styleId="Heading2">
    <w:name w:val="heading 2"/>
    <w:basedOn w:val="Normal"/>
    <w:next w:val="Normal"/>
    <w:link w:val="Heading2Char"/>
    <w:uiPriority w:val="9"/>
    <w:semiHidden/>
    <w:unhideWhenUsed/>
    <w:qFormat/>
    <w:rsid w:val="00C353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i/>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03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BAD"/>
    <w:rPr>
      <w:rFonts w:ascii="Segoe UI" w:eastAsia="Calibri" w:hAnsi="Segoe UI" w:cs="Segoe UI"/>
      <w:sz w:val="18"/>
      <w:szCs w:val="18"/>
      <w:lang w:bidi="en-US"/>
    </w:rPr>
  </w:style>
  <w:style w:type="paragraph" w:styleId="Header">
    <w:name w:val="header"/>
    <w:basedOn w:val="Normal"/>
    <w:link w:val="HeaderChar"/>
    <w:uiPriority w:val="99"/>
    <w:unhideWhenUsed/>
    <w:rsid w:val="00C74554"/>
    <w:pPr>
      <w:tabs>
        <w:tab w:val="center" w:pos="4680"/>
        <w:tab w:val="right" w:pos="9360"/>
      </w:tabs>
    </w:pPr>
  </w:style>
  <w:style w:type="character" w:customStyle="1" w:styleId="HeaderChar">
    <w:name w:val="Header Char"/>
    <w:basedOn w:val="DefaultParagraphFont"/>
    <w:link w:val="Header"/>
    <w:uiPriority w:val="99"/>
    <w:rsid w:val="00C74554"/>
    <w:rPr>
      <w:rFonts w:ascii="Calibri" w:eastAsia="Calibri" w:hAnsi="Calibri" w:cs="Calibri"/>
      <w:lang w:bidi="en-US"/>
    </w:rPr>
  </w:style>
  <w:style w:type="paragraph" w:styleId="Footer">
    <w:name w:val="footer"/>
    <w:basedOn w:val="Normal"/>
    <w:link w:val="FooterChar"/>
    <w:uiPriority w:val="99"/>
    <w:unhideWhenUsed/>
    <w:rsid w:val="00C74554"/>
    <w:pPr>
      <w:tabs>
        <w:tab w:val="center" w:pos="4680"/>
        <w:tab w:val="right" w:pos="9360"/>
      </w:tabs>
    </w:pPr>
  </w:style>
  <w:style w:type="character" w:customStyle="1" w:styleId="FooterChar">
    <w:name w:val="Footer Char"/>
    <w:basedOn w:val="DefaultParagraphFont"/>
    <w:link w:val="Footer"/>
    <w:uiPriority w:val="99"/>
    <w:rsid w:val="00C74554"/>
    <w:rPr>
      <w:rFonts w:ascii="Calibri" w:eastAsia="Calibri" w:hAnsi="Calibri" w:cs="Calibri"/>
      <w:lang w:bidi="en-US"/>
    </w:rPr>
  </w:style>
  <w:style w:type="character" w:customStyle="1" w:styleId="Heading2Char">
    <w:name w:val="Heading 2 Char"/>
    <w:basedOn w:val="DefaultParagraphFont"/>
    <w:link w:val="Heading2"/>
    <w:uiPriority w:val="9"/>
    <w:semiHidden/>
    <w:rsid w:val="00C35383"/>
    <w:rPr>
      <w:rFonts w:asciiTheme="majorHAnsi" w:eastAsiaTheme="majorEastAsia" w:hAnsiTheme="majorHAnsi" w:cstheme="majorBidi"/>
      <w:color w:val="365F91" w:themeColor="accent1" w:themeShade="BF"/>
      <w:sz w:val="26"/>
      <w:szCs w:val="26"/>
      <w:lang w:bidi="en-US"/>
    </w:rPr>
  </w:style>
  <w:style w:type="character" w:styleId="Strong">
    <w:name w:val="Strong"/>
    <w:basedOn w:val="DefaultParagraphFont"/>
    <w:uiPriority w:val="22"/>
    <w:qFormat/>
    <w:rsid w:val="000D2F2A"/>
    <w:rPr>
      <w:b/>
      <w:bCs/>
    </w:rPr>
  </w:style>
  <w:style w:type="character" w:styleId="Hyperlink">
    <w:name w:val="Hyperlink"/>
    <w:basedOn w:val="DefaultParagraphFont"/>
    <w:uiPriority w:val="99"/>
    <w:unhideWhenUsed/>
    <w:rsid w:val="00A3071A"/>
    <w:rPr>
      <w:color w:val="0000FF" w:themeColor="hyperlink"/>
      <w:u w:val="single"/>
    </w:rPr>
  </w:style>
  <w:style w:type="character" w:customStyle="1" w:styleId="UnresolvedMention1">
    <w:name w:val="Unresolved Mention1"/>
    <w:basedOn w:val="DefaultParagraphFont"/>
    <w:uiPriority w:val="99"/>
    <w:semiHidden/>
    <w:unhideWhenUsed/>
    <w:rsid w:val="00A3071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B2AE1"/>
    <w:pPr>
      <w:widowControl/>
      <w:spacing w:before="100" w:beforeAutospacing="1" w:after="100" w:afterAutospacing="1"/>
    </w:pPr>
    <w:rPr>
      <w:rFonts w:ascii="Times New Roman" w:eastAsiaTheme="minorEastAsia" w:hAnsi="Times New Roman" w:cs="Times New Roman"/>
      <w:sz w:val="24"/>
      <w:szCs w:val="24"/>
      <w:lang w:bidi="ar-SA"/>
    </w:rPr>
  </w:style>
  <w:style w:type="character" w:styleId="UnresolvedMention">
    <w:name w:val="Unresolved Mention"/>
    <w:basedOn w:val="DefaultParagraphFont"/>
    <w:uiPriority w:val="99"/>
    <w:semiHidden/>
    <w:unhideWhenUsed/>
    <w:rsid w:val="00F82422"/>
    <w:rPr>
      <w:color w:val="605E5C"/>
      <w:shd w:val="clear" w:color="auto" w:fill="E1DFDD"/>
    </w:rPr>
  </w:style>
  <w:style w:type="character" w:styleId="FollowedHyperlink">
    <w:name w:val="FollowedHyperlink"/>
    <w:basedOn w:val="DefaultParagraphFont"/>
    <w:uiPriority w:val="99"/>
    <w:semiHidden/>
    <w:unhideWhenUsed/>
    <w:rsid w:val="00262DBA"/>
    <w:rPr>
      <w:color w:val="800080" w:themeColor="followedHyperlink"/>
      <w:u w:val="single"/>
    </w:rPr>
  </w:style>
  <w:style w:type="paragraph" w:styleId="Revision">
    <w:name w:val="Revision"/>
    <w:hidden/>
    <w:uiPriority w:val="99"/>
    <w:semiHidden/>
    <w:rsid w:val="008B7BCA"/>
    <w:pPr>
      <w:widowControl/>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871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68572497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batterymetals.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jmccallister@ibatterymetals.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hY9if6QY7h4kXfvE9ah5eqp7Q==">AMUW2mVf21Mxj/4HpotlbUiljjekkok/sTNs/4m9EYUoFTW9h7GXc02g/s9SO/RaxulihJSJ33e5E7HRZD1/eAlEbIXUS5ajpAa0l2+0vL5+75C95fka5rgb237dCnVg3t14mPoV+5iRgCYKP+OnLq44kTA6S1EYLQ==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Lylyk</dc:creator>
  <cp:lastModifiedBy>Lorrie Archibald</cp:lastModifiedBy>
  <cp:revision>2</cp:revision>
  <dcterms:created xsi:type="dcterms:W3CDTF">2022-03-14T15:07:00Z</dcterms:created>
  <dcterms:modified xsi:type="dcterms:W3CDTF">2022-03-14T15:07:00Z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2019-07-30T00:00:00Z</vt:filetime>
  </property>
  <property fmtid="{D5CDD505-2E9C-101B-9397-08002B2CF9AE}" pid="3" name="Creator">
    <vt:lpwstr>Microsoft® Word 2010</vt:lpwstr>
  </property>
  <property fmtid="{D5CDD505-2E9C-101B-9397-08002B2CF9AE}" pid="4" name="LastSaved">
    <vt:filetime>2019-08-14T00:00:00Z</vt:filetime>
  </property>
</Properties>
</file>