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38A264FC"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971151">
        <w:rPr>
          <w:color w:val="000000"/>
          <w:sz w:val="28"/>
          <w:u w:val="single"/>
        </w:rPr>
        <w:t>APRIL</w:t>
      </w:r>
      <w:r w:rsidR="000C3A5D">
        <w:rPr>
          <w:color w:val="000000"/>
          <w:sz w:val="28"/>
          <w:u w:val="single"/>
        </w:rPr>
        <w:t xml:space="preserve"> </w:t>
      </w:r>
      <w:r w:rsidR="00582DCC">
        <w:rPr>
          <w:color w:val="000000"/>
          <w:sz w:val="28"/>
          <w:u w:val="single"/>
        </w:rPr>
        <w:t>201</w:t>
      </w:r>
      <w:r w:rsidR="009D73DA">
        <w:rPr>
          <w:color w:val="000000"/>
          <w:sz w:val="28"/>
          <w:u w:val="single"/>
        </w:rPr>
        <w:t>9</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7E230D36"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513A07" w:rsidRPr="00513A07">
        <w:rPr>
          <w:rFonts w:ascii="Arial" w:hAnsi="Arial"/>
          <w:b/>
          <w:color w:val="000000"/>
          <w:sz w:val="22"/>
          <w:szCs w:val="22"/>
        </w:rPr>
        <w:t>55,172,804</w:t>
      </w:r>
    </w:p>
    <w:p w14:paraId="19519B45" w14:textId="48C5E4D2"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846110">
        <w:rPr>
          <w:rFonts w:ascii="Arial" w:hAnsi="Arial"/>
          <w:b/>
          <w:color w:val="000000"/>
          <w:sz w:val="22"/>
          <w:szCs w:val="22"/>
        </w:rPr>
        <w:t>May</w:t>
      </w:r>
      <w:r w:rsidR="00EA7C2D">
        <w:rPr>
          <w:rFonts w:ascii="Arial" w:hAnsi="Arial"/>
          <w:b/>
          <w:color w:val="000000"/>
          <w:sz w:val="22"/>
          <w:szCs w:val="22"/>
        </w:rPr>
        <w:t xml:space="preserve"> </w:t>
      </w:r>
      <w:r w:rsidR="00846110">
        <w:rPr>
          <w:rFonts w:ascii="Arial" w:hAnsi="Arial"/>
          <w:b/>
          <w:color w:val="000000"/>
          <w:sz w:val="22"/>
          <w:szCs w:val="22"/>
        </w:rPr>
        <w:t>6</w:t>
      </w:r>
      <w:r w:rsidR="000061CC">
        <w:rPr>
          <w:rFonts w:ascii="Arial" w:hAnsi="Arial"/>
          <w:b/>
          <w:color w:val="000000"/>
          <w:sz w:val="22"/>
          <w:szCs w:val="22"/>
        </w:rPr>
        <w:t>, 201</w:t>
      </w:r>
      <w:r w:rsidR="00513A07">
        <w:rPr>
          <w:rFonts w:ascii="Arial" w:hAnsi="Arial"/>
          <w:b/>
          <w:color w:val="000000"/>
          <w:sz w:val="22"/>
          <w:szCs w:val="22"/>
        </w:rPr>
        <w:t>9</w:t>
      </w:r>
      <w:r w:rsidR="00AF2946" w:rsidRPr="00AF2946">
        <w:rPr>
          <w:rFonts w:ascii="Arial" w:hAnsi="Arial" w:cs="Arial"/>
          <w:b/>
          <w:sz w:val="22"/>
          <w:szCs w:val="22"/>
        </w:rPr>
        <w:t xml:space="preserve"> (for the month of </w:t>
      </w:r>
      <w:r w:rsidR="00846110">
        <w:rPr>
          <w:rFonts w:ascii="Arial" w:hAnsi="Arial" w:cs="Arial"/>
          <w:b/>
          <w:sz w:val="22"/>
          <w:szCs w:val="22"/>
        </w:rPr>
        <w:t>April</w:t>
      </w:r>
      <w:r w:rsidR="000C3A5D">
        <w:rPr>
          <w:rFonts w:ascii="Arial" w:hAnsi="Arial" w:cs="Arial"/>
          <w:b/>
          <w:sz w:val="22"/>
          <w:szCs w:val="22"/>
        </w:rPr>
        <w:t xml:space="preserve"> </w:t>
      </w:r>
      <w:r w:rsidR="00AF2946" w:rsidRPr="00AF2946">
        <w:rPr>
          <w:rFonts w:ascii="Arial" w:hAnsi="Arial" w:cs="Arial"/>
          <w:b/>
          <w:sz w:val="22"/>
          <w:szCs w:val="22"/>
        </w:rPr>
        <w:t>201</w:t>
      </w:r>
      <w:r w:rsidR="00513A07">
        <w:rPr>
          <w:rFonts w:ascii="Arial" w:hAnsi="Arial" w:cs="Arial"/>
          <w:b/>
          <w:sz w:val="22"/>
          <w:szCs w:val="22"/>
        </w:rPr>
        <w:t>9</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69347DB4"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Kootenays</w:t>
      </w:r>
      <w:r>
        <w:rPr>
          <w:rFonts w:ascii="Arial" w:hAnsi="Arial" w:cs="Arial"/>
          <w:b/>
          <w:sz w:val="22"/>
          <w:szCs w:val="22"/>
        </w:rPr>
        <w:t xml:space="preserve"> Clay”), gold property (known as “Bralorne”), a gold property (known as “Fairview Gold”). The Issuer continues to seek opportunities in its primary activities.</w:t>
      </w:r>
    </w:p>
    <w:p w14:paraId="25BF903F" w14:textId="6901E910"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174E0A9" w:rsidR="00AA7BE8" w:rsidRPr="004E44C7"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1A632C46" w14:textId="54ED8FF8"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Default="00EA7C2D" w:rsidP="003251A3">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lastRenderedPageBreak/>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264FA471" w14:textId="77777777"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318B4B90" w14:textId="6093877B" w:rsidR="00493C43" w:rsidRPr="00B05252" w:rsidRDefault="00482692" w:rsidP="00102430">
      <w:pPr>
        <w:pStyle w:val="List"/>
        <w:ind w:left="709" w:firstLine="0"/>
        <w:jc w:val="both"/>
        <w:rPr>
          <w:rFonts w:ascii="Arial" w:hAnsi="Arial" w:cs="Arial"/>
          <w:b/>
          <w:sz w:val="22"/>
          <w:szCs w:val="22"/>
        </w:rPr>
      </w:pPr>
      <w:r>
        <w:rPr>
          <w:rFonts w:ascii="Arial" w:hAnsi="Arial" w:cs="Arial"/>
          <w:b/>
          <w:sz w:val="22"/>
          <w:szCs w:val="22"/>
        </w:rPr>
        <w:t>Hi Ho Silver Resources Inc. announced that it will extend the expiry dates of an aggregate of 13,490,000 common share purchase warrants by two years. As a result of the fact that certain of the office and directors of the Company are warrant holders, the extension of the warrants in considered a “related party transaction”.</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142EF5D7" w:rsidR="00C525B7" w:rsidRPr="001842DA" w:rsidRDefault="00B54209" w:rsidP="00EB67C1">
      <w:pPr>
        <w:pStyle w:val="List"/>
        <w:ind w:left="720" w:firstLine="0"/>
        <w:jc w:val="both"/>
        <w:rPr>
          <w:rFonts w:ascii="Arial" w:hAnsi="Arial" w:cs="Arial"/>
          <w:b/>
          <w:sz w:val="22"/>
          <w:szCs w:val="22"/>
        </w:rPr>
      </w:pPr>
      <w:r w:rsidRPr="00B54209">
        <w:rPr>
          <w:rFonts w:ascii="Arial" w:hAnsi="Arial" w:cs="Arial"/>
          <w:b/>
          <w:sz w:val="22"/>
          <w:szCs w:val="22"/>
        </w:rPr>
        <w:t>Not applicable.</w:t>
      </w:r>
      <w:r w:rsidR="001842DA" w:rsidRPr="001842DA">
        <w:rPr>
          <w:rFonts w:ascii="Arial" w:hAnsi="Arial" w:cs="Arial"/>
          <w:b/>
          <w:sz w:val="22"/>
          <w:szCs w:val="22"/>
        </w:rPr>
        <w:t xml:space="preserve"> </w:t>
      </w:r>
      <w:r w:rsidR="001842DA" w:rsidRPr="001842DA">
        <w:rPr>
          <w:rFonts w:ascii="Arial" w:hAnsi="Arial" w:cs="Arial"/>
          <w:b/>
          <w:sz w:val="22"/>
          <w:szCs w:val="22"/>
        </w:rPr>
        <w:cr/>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lastRenderedPageBreak/>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225A79EE" w14:textId="77777777" w:rsidR="001318F5" w:rsidRDefault="001318F5">
      <w:pPr>
        <w:rPr>
          <w:rFonts w:ascii="Arial" w:hAnsi="Arial"/>
          <w:b/>
          <w:sz w:val="22"/>
          <w:szCs w:val="22"/>
          <w:lang w:val="en-GB"/>
        </w:rPr>
      </w:pPr>
    </w:p>
    <w:p w14:paraId="753C96BE" w14:textId="77777777" w:rsidR="00F66FCD" w:rsidRDefault="00C728C5" w:rsidP="00D2380D">
      <w:pPr>
        <w:ind w:left="720"/>
        <w:rPr>
          <w:rFonts w:ascii="Arial" w:hAnsi="Arial"/>
          <w:b/>
          <w:sz w:val="22"/>
          <w:szCs w:val="22"/>
        </w:rPr>
      </w:pPr>
      <w:r>
        <w:rPr>
          <w:rFonts w:ascii="Arial" w:hAnsi="Arial"/>
          <w:b/>
          <w:sz w:val="22"/>
          <w:szCs w:val="22"/>
          <w:lang w:val="en-GB"/>
        </w:rPr>
        <w:t>T</w:t>
      </w:r>
      <w:r w:rsidR="00D2380D">
        <w:rPr>
          <w:rFonts w:ascii="Arial" w:hAnsi="Arial"/>
          <w:b/>
          <w:sz w:val="22"/>
          <w:szCs w:val="22"/>
        </w:rPr>
        <w:t>he company disclosed a non-compliant inferred resource estimate for the Company’s Fairview Gold Property</w:t>
      </w:r>
      <w:r>
        <w:rPr>
          <w:rFonts w:ascii="Arial" w:hAnsi="Arial"/>
          <w:b/>
          <w:sz w:val="22"/>
          <w:szCs w:val="22"/>
        </w:rPr>
        <w:t xml:space="preserve"> in corporate presentations that were available on the Company’s website. The company advises investors that the Company does not have a current technical report supporting a mineral resource estimate at the Fairview Gold Property. </w:t>
      </w:r>
      <w:r w:rsidR="00F66FCD">
        <w:rPr>
          <w:rFonts w:ascii="Arial" w:hAnsi="Arial"/>
          <w:b/>
          <w:sz w:val="22"/>
          <w:szCs w:val="22"/>
        </w:rPr>
        <w:t>The corporate presentations with the estimate have now been removed from the company’s website and previous disclosure of a mineral resource on the property should not be relied upon until the Company is able to file a current and complete a technical report.</w:t>
      </w:r>
    </w:p>
    <w:p w14:paraId="4F869F2F" w14:textId="77777777" w:rsidR="00F66FCD" w:rsidRDefault="00F66FCD" w:rsidP="00D2380D">
      <w:pPr>
        <w:ind w:left="720"/>
        <w:rPr>
          <w:rFonts w:ascii="Arial" w:hAnsi="Arial"/>
          <w:b/>
          <w:sz w:val="22"/>
          <w:szCs w:val="22"/>
        </w:rPr>
      </w:pPr>
    </w:p>
    <w:p w14:paraId="222F3601" w14:textId="5F465B87" w:rsidR="00F66FCD" w:rsidRDefault="00F66FCD" w:rsidP="00D2380D">
      <w:pPr>
        <w:ind w:left="720"/>
        <w:rPr>
          <w:rFonts w:ascii="Arial" w:hAnsi="Arial"/>
          <w:b/>
          <w:sz w:val="22"/>
          <w:szCs w:val="22"/>
        </w:rPr>
      </w:pPr>
      <w:r>
        <w:rPr>
          <w:rFonts w:ascii="Arial" w:hAnsi="Arial"/>
          <w:b/>
          <w:sz w:val="22"/>
          <w:szCs w:val="22"/>
        </w:rPr>
        <w:t>The company is in the process of having a current and complete technical report for the Fairview Gold Property prepared and will provide an update when the technical report has been filed.</w:t>
      </w:r>
    </w:p>
    <w:p w14:paraId="29322ED3" w14:textId="053B2AE6" w:rsidR="004F0275" w:rsidRDefault="004F0275" w:rsidP="00D2380D">
      <w:pPr>
        <w:ind w:left="720"/>
        <w:rPr>
          <w:rFonts w:ascii="Arial" w:hAnsi="Arial"/>
          <w:b/>
          <w:sz w:val="22"/>
          <w:szCs w:val="22"/>
        </w:rPr>
      </w:pPr>
    </w:p>
    <w:p w14:paraId="5433B6CF" w14:textId="77777777" w:rsidR="00F66FCD" w:rsidRDefault="00F66FCD" w:rsidP="00D2380D">
      <w:pPr>
        <w:ind w:left="720"/>
        <w:rPr>
          <w:rFonts w:ascii="Arial" w:hAnsi="Arial"/>
          <w:b/>
          <w:sz w:val="22"/>
          <w:szCs w:val="22"/>
        </w:rPr>
      </w:pPr>
    </w:p>
    <w:p w14:paraId="35E007FF" w14:textId="08377FEF" w:rsidR="00B1612D" w:rsidRDefault="00B1612D" w:rsidP="00D2380D">
      <w:pPr>
        <w:ind w:left="720"/>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 xml:space="preserve">The undersigned is a director and/or senior officer of the Issuer and has been duly authorized by a resolution of the board of directors of the Issuer to sign this Certificate of </w:t>
      </w:r>
      <w:bookmarkStart w:id="5" w:name="_GoBack"/>
      <w:bookmarkEnd w:id="5"/>
      <w:r w:rsidRPr="00074BE1">
        <w:rPr>
          <w:rFonts w:ascii="Arial" w:hAnsi="Arial"/>
          <w:sz w:val="22"/>
          <w:szCs w:val="22"/>
        </w:rPr>
        <w:t>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01F52496" w14:textId="10C6E095"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971151">
        <w:rPr>
          <w:rFonts w:ascii="Arial" w:hAnsi="Arial"/>
          <w:b/>
          <w:sz w:val="22"/>
          <w:szCs w:val="22"/>
        </w:rPr>
        <w:t>May 6</w:t>
      </w:r>
      <w:r w:rsidR="0009447E">
        <w:rPr>
          <w:rFonts w:ascii="Arial" w:hAnsi="Arial"/>
          <w:b/>
          <w:sz w:val="22"/>
          <w:szCs w:val="22"/>
        </w:rPr>
        <w:t>, 201</w:t>
      </w:r>
      <w:r w:rsidR="00230BF7">
        <w:rPr>
          <w:rFonts w:ascii="Arial" w:hAnsi="Arial"/>
          <w:b/>
          <w:sz w:val="22"/>
          <w:szCs w:val="22"/>
        </w:rPr>
        <w:t>9</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560605">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702D6DA5" w:rsidR="003A4CF0" w:rsidRPr="00F05CFA" w:rsidRDefault="00971151" w:rsidP="008A04E0">
            <w:pPr>
              <w:rPr>
                <w:rFonts w:ascii="Arial" w:hAnsi="Arial" w:cs="Arial"/>
                <w:b/>
                <w:sz w:val="22"/>
                <w:szCs w:val="22"/>
              </w:rPr>
            </w:pPr>
            <w:r>
              <w:rPr>
                <w:rFonts w:ascii="Arial" w:hAnsi="Arial" w:cs="Arial"/>
                <w:b/>
                <w:sz w:val="22"/>
                <w:szCs w:val="22"/>
              </w:rPr>
              <w:t>April 30</w:t>
            </w:r>
            <w:r w:rsidR="00270CC5">
              <w:rPr>
                <w:rFonts w:ascii="Arial" w:hAnsi="Arial" w:cs="Arial"/>
                <w:b/>
                <w:sz w:val="22"/>
                <w:szCs w:val="22"/>
              </w:rPr>
              <w:t>, 201</w:t>
            </w:r>
            <w:r w:rsidR="009D73DA">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19D43ADF" w:rsidR="003A4CF0" w:rsidRPr="00074BE1" w:rsidRDefault="00971151" w:rsidP="00EA4448">
            <w:pPr>
              <w:rPr>
                <w:rFonts w:ascii="Arial" w:hAnsi="Arial" w:cs="Arial"/>
                <w:b/>
                <w:sz w:val="22"/>
                <w:szCs w:val="22"/>
              </w:rPr>
            </w:pPr>
            <w:r>
              <w:rPr>
                <w:rFonts w:ascii="Arial" w:hAnsi="Arial" w:cs="Arial"/>
                <w:b/>
                <w:sz w:val="22"/>
                <w:szCs w:val="22"/>
              </w:rPr>
              <w:t>May 6</w:t>
            </w:r>
            <w:r w:rsidR="00D05E29">
              <w:rPr>
                <w:rFonts w:ascii="Arial" w:hAnsi="Arial" w:cs="Arial"/>
                <w:b/>
                <w:sz w:val="22"/>
                <w:szCs w:val="22"/>
              </w:rPr>
              <w:t>,</w:t>
            </w:r>
            <w:r w:rsidR="00C525B7">
              <w:rPr>
                <w:rFonts w:ascii="Arial" w:hAnsi="Arial" w:cs="Arial"/>
                <w:b/>
                <w:sz w:val="22"/>
                <w:szCs w:val="22"/>
              </w:rPr>
              <w:t xml:space="preserve"> 201</w:t>
            </w:r>
            <w:r w:rsidR="009D73DA">
              <w:rPr>
                <w:rFonts w:ascii="Arial" w:hAnsi="Arial" w:cs="Arial"/>
                <w:b/>
                <w:sz w:val="22"/>
                <w:szCs w:val="22"/>
              </w:rPr>
              <w:t>9</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6B5D17E0" w:rsidR="003A4CF0" w:rsidRPr="00E214B2" w:rsidRDefault="00EA7C2D" w:rsidP="00E214B2">
            <w:pPr>
              <w:rPr>
                <w:rFonts w:ascii="Arial" w:hAnsi="Arial" w:cs="Arial"/>
                <w:b/>
                <w:sz w:val="22"/>
                <w:szCs w:val="22"/>
              </w:rPr>
            </w:pPr>
            <w:r>
              <w:rPr>
                <w:rFonts w:ascii="Arial" w:hAnsi="Arial" w:cs="Arial"/>
                <w:b/>
                <w:sz w:val="22"/>
                <w:szCs w:val="22"/>
              </w:rPr>
              <w:t>PO Box 21199, Maple Ridge Square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1874B76C" w:rsidR="003A4CF0" w:rsidRPr="00074BE1" w:rsidRDefault="00EA7C2D" w:rsidP="00C848C3">
            <w:pPr>
              <w:rPr>
                <w:rFonts w:ascii="Arial" w:hAnsi="Arial" w:cs="Arial"/>
                <w:b/>
                <w:sz w:val="22"/>
                <w:szCs w:val="22"/>
              </w:rPr>
            </w:pPr>
            <w:r>
              <w:rPr>
                <w:rFonts w:ascii="Arial" w:hAnsi="Arial" w:cs="Arial"/>
                <w:b/>
                <w:sz w:val="22"/>
                <w:szCs w:val="22"/>
              </w:rPr>
              <w:t>Maple Ridge, BC. V2X 1P7</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D0B6" w14:textId="77777777" w:rsidR="00E26C11" w:rsidRDefault="00E26C11">
      <w:r>
        <w:separator/>
      </w:r>
    </w:p>
  </w:endnote>
  <w:endnote w:type="continuationSeparator" w:id="0">
    <w:p w14:paraId="506E4E5F" w14:textId="77777777" w:rsidR="00E26C11" w:rsidRDefault="00E2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2FE40" w14:textId="77777777" w:rsidR="00E26C11" w:rsidRDefault="00E26C11">
      <w:r>
        <w:separator/>
      </w:r>
    </w:p>
  </w:footnote>
  <w:footnote w:type="continuationSeparator" w:id="0">
    <w:p w14:paraId="33DA61B0" w14:textId="77777777" w:rsidR="00E26C11" w:rsidRDefault="00E2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0E24"/>
    <w:rsid w:val="00043A86"/>
    <w:rsid w:val="000532F7"/>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E2248"/>
    <w:rsid w:val="000E22A7"/>
    <w:rsid w:val="000F2FB4"/>
    <w:rsid w:val="00102430"/>
    <w:rsid w:val="00105129"/>
    <w:rsid w:val="00105ADB"/>
    <w:rsid w:val="00105BAC"/>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4D8A"/>
    <w:rsid w:val="001B531B"/>
    <w:rsid w:val="001C1957"/>
    <w:rsid w:val="001C5DC1"/>
    <w:rsid w:val="001C67AB"/>
    <w:rsid w:val="001D5419"/>
    <w:rsid w:val="001D654C"/>
    <w:rsid w:val="001E4F74"/>
    <w:rsid w:val="001E5831"/>
    <w:rsid w:val="001E663B"/>
    <w:rsid w:val="001E681E"/>
    <w:rsid w:val="001F00F2"/>
    <w:rsid w:val="0021618A"/>
    <w:rsid w:val="00230BF7"/>
    <w:rsid w:val="00241997"/>
    <w:rsid w:val="002511DD"/>
    <w:rsid w:val="002551D1"/>
    <w:rsid w:val="0025583E"/>
    <w:rsid w:val="00261479"/>
    <w:rsid w:val="00270CC5"/>
    <w:rsid w:val="00272617"/>
    <w:rsid w:val="00276EF9"/>
    <w:rsid w:val="002822E2"/>
    <w:rsid w:val="002A00C8"/>
    <w:rsid w:val="002A2ACE"/>
    <w:rsid w:val="002B07E2"/>
    <w:rsid w:val="002B5A99"/>
    <w:rsid w:val="002C0ED8"/>
    <w:rsid w:val="002C281E"/>
    <w:rsid w:val="002D3B67"/>
    <w:rsid w:val="002E4B30"/>
    <w:rsid w:val="002F00EB"/>
    <w:rsid w:val="002F73F5"/>
    <w:rsid w:val="003237C6"/>
    <w:rsid w:val="003251A3"/>
    <w:rsid w:val="003254C1"/>
    <w:rsid w:val="003258DF"/>
    <w:rsid w:val="00326742"/>
    <w:rsid w:val="00333F07"/>
    <w:rsid w:val="00336618"/>
    <w:rsid w:val="003410AF"/>
    <w:rsid w:val="0034307C"/>
    <w:rsid w:val="00347514"/>
    <w:rsid w:val="00351F75"/>
    <w:rsid w:val="003579CE"/>
    <w:rsid w:val="003669A9"/>
    <w:rsid w:val="0036787E"/>
    <w:rsid w:val="003705F7"/>
    <w:rsid w:val="00371A64"/>
    <w:rsid w:val="0037427A"/>
    <w:rsid w:val="0038064D"/>
    <w:rsid w:val="003818DE"/>
    <w:rsid w:val="00383EDD"/>
    <w:rsid w:val="00384384"/>
    <w:rsid w:val="003851C2"/>
    <w:rsid w:val="00386B6A"/>
    <w:rsid w:val="00387153"/>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401809"/>
    <w:rsid w:val="0040373A"/>
    <w:rsid w:val="004175E7"/>
    <w:rsid w:val="00430F87"/>
    <w:rsid w:val="00442010"/>
    <w:rsid w:val="004466A1"/>
    <w:rsid w:val="0045434B"/>
    <w:rsid w:val="00470259"/>
    <w:rsid w:val="004727C5"/>
    <w:rsid w:val="00482692"/>
    <w:rsid w:val="00493568"/>
    <w:rsid w:val="00493C43"/>
    <w:rsid w:val="004949E1"/>
    <w:rsid w:val="00497B5E"/>
    <w:rsid w:val="004A3343"/>
    <w:rsid w:val="004A3DCB"/>
    <w:rsid w:val="004A56C9"/>
    <w:rsid w:val="004A6DBD"/>
    <w:rsid w:val="004C0A93"/>
    <w:rsid w:val="004D019F"/>
    <w:rsid w:val="004E0834"/>
    <w:rsid w:val="004E44C7"/>
    <w:rsid w:val="004E6168"/>
    <w:rsid w:val="004F0275"/>
    <w:rsid w:val="004F0A4D"/>
    <w:rsid w:val="004F75BF"/>
    <w:rsid w:val="005054E5"/>
    <w:rsid w:val="00511F2E"/>
    <w:rsid w:val="00513A07"/>
    <w:rsid w:val="00526146"/>
    <w:rsid w:val="005261F6"/>
    <w:rsid w:val="005343FD"/>
    <w:rsid w:val="00535A0A"/>
    <w:rsid w:val="00542251"/>
    <w:rsid w:val="005442BF"/>
    <w:rsid w:val="005453C8"/>
    <w:rsid w:val="00551E77"/>
    <w:rsid w:val="00560605"/>
    <w:rsid w:val="005649A0"/>
    <w:rsid w:val="005732E1"/>
    <w:rsid w:val="00582DCC"/>
    <w:rsid w:val="00586B80"/>
    <w:rsid w:val="00593690"/>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C19E7"/>
    <w:rsid w:val="006C4651"/>
    <w:rsid w:val="006C767F"/>
    <w:rsid w:val="006D1A06"/>
    <w:rsid w:val="006D339D"/>
    <w:rsid w:val="006D660E"/>
    <w:rsid w:val="006D6C4A"/>
    <w:rsid w:val="006E6275"/>
    <w:rsid w:val="006F7612"/>
    <w:rsid w:val="00705967"/>
    <w:rsid w:val="0070715B"/>
    <w:rsid w:val="00723B3D"/>
    <w:rsid w:val="00727BF8"/>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960D2"/>
    <w:rsid w:val="007A3DFF"/>
    <w:rsid w:val="007B1243"/>
    <w:rsid w:val="007B72C7"/>
    <w:rsid w:val="007C2029"/>
    <w:rsid w:val="007C75C2"/>
    <w:rsid w:val="007C774D"/>
    <w:rsid w:val="007D3490"/>
    <w:rsid w:val="007D68B4"/>
    <w:rsid w:val="007E12F2"/>
    <w:rsid w:val="007E177F"/>
    <w:rsid w:val="007E23C2"/>
    <w:rsid w:val="007F4B25"/>
    <w:rsid w:val="007F6CF4"/>
    <w:rsid w:val="00804BB6"/>
    <w:rsid w:val="00823801"/>
    <w:rsid w:val="00832522"/>
    <w:rsid w:val="008346E5"/>
    <w:rsid w:val="008348F4"/>
    <w:rsid w:val="00836A2D"/>
    <w:rsid w:val="0084030F"/>
    <w:rsid w:val="00846110"/>
    <w:rsid w:val="00857A8A"/>
    <w:rsid w:val="0086578B"/>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D07D3"/>
    <w:rsid w:val="008D423A"/>
    <w:rsid w:val="008E0C89"/>
    <w:rsid w:val="008E5BBC"/>
    <w:rsid w:val="00904AEB"/>
    <w:rsid w:val="00922A46"/>
    <w:rsid w:val="00930D0F"/>
    <w:rsid w:val="00933B4B"/>
    <w:rsid w:val="0093471C"/>
    <w:rsid w:val="0093609C"/>
    <w:rsid w:val="009509D0"/>
    <w:rsid w:val="009557BA"/>
    <w:rsid w:val="00961316"/>
    <w:rsid w:val="00971151"/>
    <w:rsid w:val="00982FB5"/>
    <w:rsid w:val="00993D02"/>
    <w:rsid w:val="009A7FBC"/>
    <w:rsid w:val="009B4088"/>
    <w:rsid w:val="009B682A"/>
    <w:rsid w:val="009C082F"/>
    <w:rsid w:val="009C65F8"/>
    <w:rsid w:val="009C7ECB"/>
    <w:rsid w:val="009D45AE"/>
    <w:rsid w:val="009D73DA"/>
    <w:rsid w:val="009E4218"/>
    <w:rsid w:val="009F1CD4"/>
    <w:rsid w:val="009F2590"/>
    <w:rsid w:val="009F6994"/>
    <w:rsid w:val="00A03A01"/>
    <w:rsid w:val="00A06A53"/>
    <w:rsid w:val="00A132B1"/>
    <w:rsid w:val="00A30E23"/>
    <w:rsid w:val="00A40499"/>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0F44"/>
    <w:rsid w:val="00AF1943"/>
    <w:rsid w:val="00AF2946"/>
    <w:rsid w:val="00AF40D2"/>
    <w:rsid w:val="00B04A0A"/>
    <w:rsid w:val="00B05252"/>
    <w:rsid w:val="00B06691"/>
    <w:rsid w:val="00B1123B"/>
    <w:rsid w:val="00B1612D"/>
    <w:rsid w:val="00B21D29"/>
    <w:rsid w:val="00B3774E"/>
    <w:rsid w:val="00B418EF"/>
    <w:rsid w:val="00B52318"/>
    <w:rsid w:val="00B54209"/>
    <w:rsid w:val="00B63FDC"/>
    <w:rsid w:val="00B72AF7"/>
    <w:rsid w:val="00B82DF0"/>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E13E7"/>
    <w:rsid w:val="00D00C40"/>
    <w:rsid w:val="00D0287E"/>
    <w:rsid w:val="00D05E29"/>
    <w:rsid w:val="00D150B6"/>
    <w:rsid w:val="00D2380D"/>
    <w:rsid w:val="00D34B23"/>
    <w:rsid w:val="00D37828"/>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5D9"/>
    <w:rsid w:val="00DE786C"/>
    <w:rsid w:val="00DF4F39"/>
    <w:rsid w:val="00E07CA8"/>
    <w:rsid w:val="00E214B2"/>
    <w:rsid w:val="00E245B2"/>
    <w:rsid w:val="00E24DE8"/>
    <w:rsid w:val="00E26C11"/>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A7C2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F00"/>
    <w:rsid w:val="00F106CC"/>
    <w:rsid w:val="00F17051"/>
    <w:rsid w:val="00F213C2"/>
    <w:rsid w:val="00F24312"/>
    <w:rsid w:val="00F3154D"/>
    <w:rsid w:val="00F31C31"/>
    <w:rsid w:val="00F32E1C"/>
    <w:rsid w:val="00F3405E"/>
    <w:rsid w:val="00F368C7"/>
    <w:rsid w:val="00F438D8"/>
    <w:rsid w:val="00F44715"/>
    <w:rsid w:val="00F47D9B"/>
    <w:rsid w:val="00F5186C"/>
    <w:rsid w:val="00F57BDE"/>
    <w:rsid w:val="00F619F9"/>
    <w:rsid w:val="00F6449E"/>
    <w:rsid w:val="00F655F7"/>
    <w:rsid w:val="00F66FCD"/>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D728-8DEC-4612-854D-AFA796D3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Andrew Wilson</cp:lastModifiedBy>
  <cp:revision>4</cp:revision>
  <dcterms:created xsi:type="dcterms:W3CDTF">2019-05-06T17:19:00Z</dcterms:created>
  <dcterms:modified xsi:type="dcterms:W3CDTF">2019-05-06T18:44:00Z</dcterms:modified>
</cp:coreProperties>
</file>