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Harvest Health &amp; Recreation Inc. CEO to Present at the Benzinga Cannabis Capital Conference in Miami Beach on Wednesday, January 16th</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Harvest on Town Hall Panel as One of the Top Multistate Cannabis Operators in the U.S.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January 14, 2018 (PHOENIX) </w:t>
      </w:r>
      <w:r w:rsidDel="00000000" w:rsidR="00000000" w:rsidRPr="00000000">
        <w:rPr>
          <w:rFonts w:ascii="Times New Roman" w:cs="Times New Roman" w:eastAsia="Times New Roman" w:hAnsi="Times New Roman"/>
          <w:rtl w:val="0"/>
        </w:rPr>
        <w:t xml:space="preserve">-- </w:t>
      </w:r>
      <w:hyperlink r:id="rId6">
        <w:r w:rsidDel="00000000" w:rsidR="00000000" w:rsidRPr="00000000">
          <w:rPr>
            <w:rFonts w:ascii="Times New Roman" w:cs="Times New Roman" w:eastAsia="Times New Roman" w:hAnsi="Times New Roman"/>
            <w:color w:val="0000ff"/>
            <w:u w:val="single"/>
            <w:rtl w:val="0"/>
          </w:rPr>
          <w:t xml:space="preserve">Harvest Health &amp; Recreation Inc</w:t>
        </w:r>
      </w:hyperlink>
      <w:hyperlink r:id="rId7">
        <w:r w:rsidDel="00000000" w:rsidR="00000000" w:rsidRPr="00000000">
          <w:rPr>
            <w:rFonts w:ascii="Times New Roman" w:cs="Times New Roman" w:eastAsia="Times New Roman" w:hAnsi="Times New Roman"/>
            <w:u w:val="single"/>
            <w:rtl w:val="0"/>
          </w:rPr>
          <w:t xml:space="preserve">.</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u w:val="single"/>
            <w:rtl w:val="0"/>
          </w:rPr>
          <w:t xml:space="preserve">CSE: HARV</w:t>
        </w:r>
      </w:hyperlink>
      <w:r w:rsidDel="00000000" w:rsidR="00000000" w:rsidRPr="00000000">
        <w:rPr>
          <w:rFonts w:ascii="Times New Roman" w:cs="Times New Roman" w:eastAsia="Times New Roman" w:hAnsi="Times New Roman"/>
          <w:rtl w:val="0"/>
        </w:rPr>
        <w:t xml:space="preserve">) (OTC: HTHHF), a vertically integrated public cannabis company with one of the largest footprints in the U.S., will present at the upcoming </w:t>
      </w:r>
      <w:hyperlink r:id="rId9">
        <w:r w:rsidDel="00000000" w:rsidR="00000000" w:rsidRPr="00000000">
          <w:rPr>
            <w:rFonts w:ascii="Times New Roman" w:cs="Times New Roman" w:eastAsia="Times New Roman" w:hAnsi="Times New Roman"/>
            <w:color w:val="0000ff"/>
            <w:u w:val="single"/>
            <w:rtl w:val="0"/>
          </w:rPr>
          <w:t xml:space="preserve">Benzinga Cannabis Capital Conference</w:t>
        </w:r>
      </w:hyperlink>
      <w:r w:rsidDel="00000000" w:rsidR="00000000" w:rsidRPr="00000000">
        <w:rPr>
          <w:rFonts w:ascii="Times New Roman" w:cs="Times New Roman" w:eastAsia="Times New Roman" w:hAnsi="Times New Roman"/>
          <w:rtl w:val="0"/>
        </w:rPr>
        <w:t xml:space="preserve"> in Miami Beach, Florida on Wednesday, January 16, 2019. Harvest Health &amp; Recreation Inc. (Harvest) CEO and Founder Steve White will be interviewed by </w:t>
      </w:r>
      <w:hyperlink r:id="rId10">
        <w:r w:rsidDel="00000000" w:rsidR="00000000" w:rsidRPr="00000000">
          <w:rPr>
            <w:rFonts w:ascii="Times New Roman" w:cs="Times New Roman" w:eastAsia="Times New Roman" w:hAnsi="Times New Roman"/>
            <w:color w:val="0000ff"/>
            <w:u w:val="single"/>
            <w:rtl w:val="0"/>
          </w:rPr>
          <w:t xml:space="preserve">Alan Brochstein</w:t>
        </w:r>
      </w:hyperlink>
      <w:r w:rsidDel="00000000" w:rsidR="00000000" w:rsidRPr="00000000">
        <w:rPr>
          <w:rFonts w:ascii="Times New Roman" w:cs="Times New Roman" w:eastAsia="Times New Roman" w:hAnsi="Times New Roman"/>
          <w:rtl w:val="0"/>
        </w:rPr>
        <w:t xml:space="preserve">, the founder of</w:t>
      </w:r>
      <w:r w:rsidDel="00000000" w:rsidR="00000000" w:rsidRPr="00000000">
        <w:rPr>
          <w:rFonts w:ascii="Times New Roman" w:cs="Times New Roman" w:eastAsia="Times New Roman" w:hAnsi="Times New Roman"/>
          <w:color w:val="0000ff"/>
          <w:rtl w:val="0"/>
        </w:rPr>
        <w:t xml:space="preserve"> </w:t>
      </w:r>
      <w:hyperlink r:id="rId11">
        <w:r w:rsidDel="00000000" w:rsidR="00000000" w:rsidRPr="00000000">
          <w:rPr>
            <w:rFonts w:ascii="Times New Roman" w:cs="Times New Roman" w:eastAsia="Times New Roman" w:hAnsi="Times New Roman"/>
            <w:i w:val="1"/>
            <w:color w:val="0000ff"/>
            <w:u w:val="single"/>
            <w:rtl w:val="0"/>
          </w:rPr>
          <w:t xml:space="preserve">420 Investor</w:t>
        </w:r>
      </w:hyperlink>
      <w:r w:rsidDel="00000000" w:rsidR="00000000" w:rsidRPr="00000000">
        <w:rPr>
          <w:rFonts w:ascii="Times New Roman" w:cs="Times New Roman" w:eastAsia="Times New Roman" w:hAnsi="Times New Roman"/>
          <w:rtl w:val="0"/>
        </w:rPr>
        <w:t xml:space="preserve">, during the conference’s </w:t>
      </w:r>
      <w:hyperlink r:id="rId12">
        <w:r w:rsidDel="00000000" w:rsidR="00000000" w:rsidRPr="00000000">
          <w:rPr>
            <w:rFonts w:ascii="Times New Roman" w:cs="Times New Roman" w:eastAsia="Times New Roman" w:hAnsi="Times New Roman"/>
            <w:color w:val="0000ff"/>
            <w:u w:val="single"/>
            <w:rtl w:val="0"/>
          </w:rPr>
          <w:t xml:space="preserve">Town Hall Panel: Multistate Operators (MSOs) Respond to a Changing Landscape</w:t>
        </w:r>
      </w:hyperlink>
      <w:r w:rsidDel="00000000" w:rsidR="00000000" w:rsidRPr="00000000">
        <w:rPr>
          <w:rFonts w:ascii="Times New Roman" w:cs="Times New Roman" w:eastAsia="Times New Roman" w:hAnsi="Times New Roman"/>
          <w:rtl w:val="0"/>
        </w:rPr>
        <w:t xml:space="preserve">. The interview will be a deep dive into how Harvest and other MSOs are responding to a changing landscape and initiating expansion into the U.S. and beyond.</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Brochstein-White interview will take place on Wednesday, January 16, 2019 at 12:25 p.m. EST at the Benzinga Cannabis Capital Conference, which is being held at </w:t>
      </w:r>
      <w:hyperlink r:id="rId13">
        <w:r w:rsidDel="00000000" w:rsidR="00000000" w:rsidRPr="00000000">
          <w:rPr>
            <w:rFonts w:ascii="Times New Roman" w:cs="Times New Roman" w:eastAsia="Times New Roman" w:hAnsi="Times New Roman"/>
            <w:color w:val="0000ff"/>
            <w:u w:val="single"/>
            <w:rtl w:val="0"/>
          </w:rPr>
          <w:t xml:space="preserve">Eden Roc Hotel</w:t>
        </w:r>
      </w:hyperlink>
      <w:r w:rsidDel="00000000" w:rsidR="00000000" w:rsidRPr="00000000">
        <w:rPr>
          <w:rFonts w:ascii="Times New Roman" w:cs="Times New Roman" w:eastAsia="Times New Roman" w:hAnsi="Times New Roman"/>
          <w:rtl w:val="0"/>
        </w:rPr>
        <w:t xml:space="preserve"> located at </w:t>
      </w:r>
      <w:hyperlink r:id="rId14">
        <w:r w:rsidDel="00000000" w:rsidR="00000000" w:rsidRPr="00000000">
          <w:rPr>
            <w:rFonts w:ascii="Times New Roman" w:cs="Times New Roman" w:eastAsia="Times New Roman" w:hAnsi="Times New Roman"/>
            <w:color w:val="0000ff"/>
            <w:u w:val="single"/>
            <w:rtl w:val="0"/>
          </w:rPr>
          <w:t xml:space="preserve">4525 Collins Avenue, Miami Beach, Florida</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br w:type="textWrapping"/>
        <w:t xml:space="preserve">Founded in 2011 in Arizona, Harvest is now one of the only consistently profitable, vertically integrated cannabis companies in the U.S. The company brings together in-house cultivation, manufacturing, retail facilities, construction, real estate and technologies, </w:t>
      </w:r>
      <w:r w:rsidDel="00000000" w:rsidR="00000000" w:rsidRPr="00000000">
        <w:rPr>
          <w:rFonts w:ascii="Times New Roman" w:cs="Times New Roman" w:eastAsia="Times New Roman" w:hAnsi="Times New Roman"/>
          <w:highlight w:val="white"/>
          <w:rtl w:val="0"/>
        </w:rPr>
        <w:t xml:space="preserve">backed by experienced finance, compliance, operations, real estate, human resources, marketing and legal teams, who have a proven and trusted track record in writing applications and working in the cannabis industry. With more than 525 employees, Harvest plans to continue to grow its operations across the U.S., including in states like California, Ohio, Pennsylvania and elsewhere throughout 2019.</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efefe" w:val="clear"/>
        <w:spacing w:after="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About Harvest Health &amp; Recreation, Inc.:</w:t>
      </w:r>
      <w:r w:rsidDel="00000000" w:rsidR="00000000" w:rsidRPr="00000000">
        <w:rPr>
          <w:rFonts w:ascii="Times New Roman" w:cs="Times New Roman" w:eastAsia="Times New Roman" w:hAnsi="Times New Roman"/>
          <w:rtl w:val="0"/>
        </w:rPr>
        <w:br w:type="textWrapping"/>
        <w:t xml:space="preserve">Harvest Health &amp; Recreation Inc. is one of the first consistently profitable, vertically integrated cannabis companies with one of the largest footprints in the U.S. Harvest’s complete vertical solution includes industry-leading cultivation, manufacturing, and retail facilities, construction, real estate, technology, operational, and brand building expertise — leveraging in-house legal, HR and marketing teams, along with proven experts in writing and winning state-based applications. The company has more than 525 employees with proven experience, expertise and knowledge of in-house best practices that are drawn upon whenever Harvest enters new markets. Harvest’s executive team is comprised of leaders in finance, compliance, real estate and operations. Since its founding in 2011, Harvest has grown its footprint every year and now has more than 60 licenses in 12 states, with planned expansion into additional states by 2020. Harvest shares timely updates and releases as part of its regular course of business with the media and the interested public. For more information, visit: </w:t>
      </w:r>
      <w:hyperlink r:id="rId15">
        <w:r w:rsidDel="00000000" w:rsidR="00000000" w:rsidRPr="00000000">
          <w:rPr>
            <w:rFonts w:ascii="Times New Roman" w:cs="Times New Roman" w:eastAsia="Times New Roman" w:hAnsi="Times New Roman"/>
            <w:u w:val="single"/>
            <w:rtl w:val="0"/>
          </w:rPr>
          <w:t xml:space="preserve">https://www.harvestinc.com/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efefe" w:val="clear"/>
        <w:spacing w:after="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About Benzinga:</w:t>
      </w:r>
      <w:r w:rsidDel="00000000" w:rsidR="00000000" w:rsidRPr="00000000">
        <w:rPr>
          <w:rFonts w:ascii="Times New Roman" w:cs="Times New Roman" w:eastAsia="Times New Roman" w:hAnsi="Times New Roman"/>
          <w:rtl w:val="0"/>
        </w:rPr>
        <w:br w:type="textWrapping"/>
        <w:t xml:space="preserve">Benzinga is a dynamic and innovative financial media outlet that empowers investors with high-quality, unique content that is coveted by Wall Street's top traders. Benzinga provides timely, actionable ideas that help users navigate even the most uncertain and volatile markets – in real-time with an unmatched caliber.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efefe" w:val="clear"/>
        <w:spacing w:after="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Forward-looking Statements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1"/>
          <w:rtl w:val="0"/>
        </w:rPr>
        <w:t xml:space="preserve">This press release contains statements which constitute "forward-looking information" within the meaning of applicable securities laws, including statements regarding the plans, intentions, beliefs and current expectations of Harvest with respect to future business activities. Forward-looking information is often identified by the words "may," "would," "could," "should," "will," "intend," "plan," "anticipate," "believe," "estimate," "expect" or similar expressions and include information regarding: (i) expectations regarding the size of the U.S. cannabis market, (ii) the ability of the Company to successfully achieve its business objectives, (iii) plans for expansion of Harvest, and (iv) expectations for other economic, business, and/or competitive factors.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efefe" w:val="clear"/>
        <w:spacing w:after="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Investors are cautioned that forward-looking information is not based on historical facts but instead reflects Harvest management's expectations, estimates or projections concerning future results or events based on the opinions, assumptions and estimates of management considered reasonable at the date the statements are made. Although Harvest believes that the expectations reflected in such forward-looking information are reasonable, such information involves risks and uncertainties, and undue reliance should not be placed on such information, as unknown or unpredictable factors could have material adverse effects on future results, performance or achievements of the Company. Among the key factors that could cause actual results to differ materially from those projected in the forward-looking information are the following: the potential impact of an announcement of a going public transaction on relationships, including with regulatory bodies, employees, suppliers, customers and competitors; changes in general economic, business and political conditions, including changes in the financial markets; and in particular in the ability of the Company to raise debt and equity capital in the amounts and at the costs that it expects; adverse changes in the public perception of cannabis; decreases in the prevailing prices for cannabis and cannabis products in the markets that the Company operates in; adverse changes in applicable laws; or adverse changes in the application or enforcement of current laws, including those related to taxation; the inability to locate and acquire suitable companies, properties and assets necessary to execute on the Company's business plans; and increasing costs of compliance with extensive government regulation. This forward-looking information may be affected by risks and uncertainties in the business of Harvest and market conditions.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efefe" w:val="clear"/>
        <w:spacing w:after="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Should one or more of these risks or uncertainties materialize, or should assumptions underlying the forward-looking information prove incorrect, actual results may vary materially from those described herein as intended, planned, anticipated, believed, estimated or expected. Although Harvest has attempted to identify important risks, uncertainties and factors which could cause actual results to differ materially, there may be others that cause results not to be as anticipated, estimated or intended. Harvest does not intend, and does not assume any obligation, to update this forward-looking information except as otherwise required by applicable law.</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Media Contact:</w:t>
        <w:br w:type="textWrapping"/>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 Howe, Powerplant Global Strategies</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202-271-7997</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u w:val="single"/>
            <w:rtl w:val="0"/>
          </w:rPr>
          <w:t xml:space="preserve">alex@powerplantstrategies.com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arketfy.com/portal/420investor/" TargetMode="External"/><Relationship Id="rId10" Type="http://schemas.openxmlformats.org/officeDocument/2006/relationships/hyperlink" Target="https://marketfy.com/item/420investor/?" TargetMode="External"/><Relationship Id="rId13" Type="http://schemas.openxmlformats.org/officeDocument/2006/relationships/hyperlink" Target="https://www.edenrochotelmiami.com/" TargetMode="External"/><Relationship Id="rId12" Type="http://schemas.openxmlformats.org/officeDocument/2006/relationships/hyperlink" Target="https://www.benzingacannabisconference.com/agen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enzingacannabisconference.com/" TargetMode="External"/><Relationship Id="rId15" Type="http://schemas.openxmlformats.org/officeDocument/2006/relationships/hyperlink" Target="https://cts.businesswire.com/ct/CT?id=smartlink&amp;url=https%3A%2F%2Fwww.harvestinc.com%2F&amp;esheet=51903537&amp;newsitemid=20181121005417&amp;lan=en-US&amp;anchor=https%3A%2F%2Fwww.harvestinc.com%2F&amp;index=2&amp;md5=6a1cca2302a98e153a6d5a745f12d242" TargetMode="External"/><Relationship Id="rId14" Type="http://schemas.openxmlformats.org/officeDocument/2006/relationships/hyperlink" Target="https://www.google.com/maps/place/4525+Collins+Ave,+Miami+Beach,+FL+33140/data=!4m2!3m1!1s0x88d9b36a6035932d:0x8b2d6eca91a92184?ved=2ahUKEwiv_fSA3uTfAhWKZd8KHRbBD8sQ8gEwAHoECAAQAQ" TargetMode="External"/><Relationship Id="rId16" Type="http://schemas.openxmlformats.org/officeDocument/2006/relationships/hyperlink" Target="mailto:alex@powerplantstrategies.com" TargetMode="External"/><Relationship Id="rId5" Type="http://schemas.openxmlformats.org/officeDocument/2006/relationships/styles" Target="styles.xml"/><Relationship Id="rId6" Type="http://schemas.openxmlformats.org/officeDocument/2006/relationships/hyperlink" Target="http://www.harvestinc.com/" TargetMode="External"/><Relationship Id="rId7" Type="http://schemas.openxmlformats.org/officeDocument/2006/relationships/hyperlink" Target="http://www.harvestinc.com/" TargetMode="External"/><Relationship Id="rId8" Type="http://schemas.openxmlformats.org/officeDocument/2006/relationships/hyperlink" Target="https://thecse.com/en/listings/life-sciences/harvest-health-recreation-inc-subordinate-voting-sh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