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EA4133" w:rsidRPr="0001060A">
      <w:pPr>
        <w:pStyle w:val="Title"/>
        <w:spacing w:before="0"/>
        <w:rPr>
          <w:color w:val="auto"/>
          <w:sz w:val="28"/>
          <w:shd w:val="clear" w:color="auto" w:fill="auto"/>
          <w:lang w:val="en-CA"/>
        </w:rPr>
      </w:pPr>
      <w:r w:rsidRPr="0001060A">
        <w:rPr>
          <w:sz w:val="28"/>
          <w:lang w:val="en-CA"/>
        </w:rPr>
        <w:t>FORM 9</w:t>
      </w:r>
    </w:p>
    <w:p w:rsidR="00EA4133" w:rsidRPr="007568B3">
      <w:pPr>
        <w:pStyle w:val="Title"/>
        <w:spacing w:before="0" w:after="0"/>
        <w:rPr>
          <w:color w:val="auto"/>
          <w:sz w:val="28"/>
          <w:u w:val="single"/>
          <w:shd w:val="clear" w:color="auto" w:fill="auto"/>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pPr>
        <w:pStyle w:val="Title"/>
        <w:spacing w:before="0" w:after="0"/>
        <w:rPr>
          <w:color w:val="auto"/>
          <w:sz w:val="28"/>
          <w:u w:val="single"/>
          <w:shd w:val="clear" w:color="auto" w:fill="auto"/>
          <w:lang w:val="en-CA"/>
        </w:rPr>
      </w:pPr>
      <w:r>
        <w:rPr>
          <w:sz w:val="28"/>
          <w:u w:val="single"/>
          <w:lang w:val="en-CA"/>
        </w:rPr>
        <w:t>(</w:t>
      </w:r>
      <w:r>
        <w:rPr>
          <w:sz w:val="28"/>
          <w:u w:val="single"/>
          <w:lang w:val="en-CA"/>
        </w:rPr>
        <w:t>or</w:t>
      </w:r>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pPr>
        <w:pStyle w:val="BodyText"/>
        <w:rPr>
          <w:rFonts w:ascii="Arial" w:hAnsi="Arial"/>
          <w:color w:val="auto"/>
          <w:shd w:val="clear" w:color="auto" w:fill="auto"/>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tblPr>
      <w:tblGrid>
        <w:gridCol w:w="6487"/>
        <w:gridCol w:w="3089"/>
      </w:tblGrid>
      <w:tr w:rsidTr="00840B45">
        <w:tblPrEx>
          <w:tblW w:w="0" w:type="auto"/>
          <w:tblLook w:val="04A0"/>
        </w:tblPrEx>
        <w:tc>
          <w:tcPr>
            <w:tcW w:w="6487" w:type="dxa"/>
          </w:tcPr>
          <w:p w:rsidR="0053658E" w:rsidP="00966A65">
            <w:pPr>
              <w:pStyle w:val="BodyText"/>
              <w:rPr>
                <w:rFonts w:ascii="Arial" w:hAnsi="Arial"/>
                <w:color w:val="auto"/>
                <w:shd w:val="clear" w:color="auto" w:fill="auto"/>
                <w:lang w:val="en-CA"/>
              </w:rPr>
            </w:pPr>
            <w:r>
              <w:rPr>
                <w:rFonts w:ascii="Arial" w:hAnsi="Arial"/>
                <w:lang w:val="en-CA"/>
              </w:rPr>
              <w:t>Global Compliance Applications Corp.</w:t>
            </w:r>
            <w:r>
              <w:rPr>
                <w:rFonts w:ascii="Arial" w:hAnsi="Arial"/>
                <w:lang w:val="en-CA"/>
              </w:rPr>
              <w:t xml:space="preserve"> (the “</w:t>
            </w:r>
            <w:r w:rsidRPr="00166CB3">
              <w:rPr>
                <w:rFonts w:ascii="Arial" w:hAnsi="Arial"/>
                <w:b/>
                <w:lang w:val="en-CA"/>
              </w:rPr>
              <w:t>Issuer</w:t>
            </w:r>
            <w:r>
              <w:rPr>
                <w:rFonts w:ascii="Arial" w:hAnsi="Arial"/>
                <w:lang w:val="en-CA"/>
              </w:rPr>
              <w:t xml:space="preserve">”)  </w:t>
            </w:r>
          </w:p>
        </w:tc>
        <w:tc>
          <w:tcPr>
            <w:tcW w:w="3089" w:type="dxa"/>
          </w:tcPr>
          <w:p w:rsidR="0053658E" w:rsidP="0053658E">
            <w:pPr>
              <w:pStyle w:val="BodyText"/>
              <w:rPr>
                <w:rFonts w:ascii="Arial" w:hAnsi="Arial"/>
                <w:color w:val="auto"/>
                <w:shd w:val="clear" w:color="auto" w:fill="auto"/>
                <w:lang w:val="en-CA"/>
              </w:rPr>
            </w:pPr>
            <w:r>
              <w:rPr>
                <w:rFonts w:ascii="Arial" w:hAnsi="Arial"/>
                <w:lang w:val="en-CA"/>
              </w:rPr>
              <w:t>APP</w:t>
            </w:r>
          </w:p>
        </w:tc>
      </w:tr>
    </w:tbl>
    <w:p w:rsidR="00EA4133" w:rsidP="00840B45">
      <w:pPr>
        <w:pStyle w:val="BodyText"/>
        <w:spacing w:after="240"/>
        <w:rPr>
          <w:rFonts w:ascii="Arial" w:hAnsi="Arial"/>
          <w:color w:val="auto"/>
          <w:sz w:val="32"/>
          <w:shd w:val="clear" w:color="auto" w:fill="auto"/>
          <w:lang w:val="en-CA"/>
        </w:rPr>
      </w:pPr>
      <w:r>
        <w:rPr>
          <w:rFonts w:ascii="Arial" w:hAnsi="Arial"/>
          <w:lang w:val="en-CA"/>
        </w:rPr>
        <w:t xml:space="preserve">Date:  </w:t>
      </w:r>
      <w:r w:rsidR="00966A65">
        <w:rPr>
          <w:rFonts w:ascii="Arial" w:hAnsi="Arial"/>
          <w:u w:val="single"/>
          <w:lang w:val="en-CA"/>
        </w:rPr>
        <w:t xml:space="preserve">May </w:t>
      </w:r>
      <w:r w:rsidR="0077197D">
        <w:rPr>
          <w:rFonts w:ascii="Arial" w:hAnsi="Arial"/>
          <w:u w:val="single"/>
          <w:lang w:val="en-CA"/>
        </w:rPr>
        <w:t>1</w:t>
      </w:r>
      <w:r w:rsidR="007B5911">
        <w:rPr>
          <w:rFonts w:ascii="Arial" w:hAnsi="Arial"/>
          <w:u w:val="single"/>
          <w:lang w:val="en-CA"/>
        </w:rPr>
        <w:t>7</w:t>
      </w:r>
      <w:r w:rsidR="00966A65">
        <w:rPr>
          <w:rFonts w:ascii="Arial" w:hAnsi="Arial"/>
          <w:u w:val="single"/>
          <w:lang w:val="en-CA"/>
        </w:rPr>
        <w:t>, 2023</w:t>
      </w:r>
      <w:r w:rsidRPr="00995C2B" w:rsidR="00BF66F5">
        <w:rPr>
          <w:rFonts w:ascii="Arial" w:hAnsi="Arial"/>
          <w:lang w:val="en-CA"/>
        </w:rPr>
        <w:t xml:space="preserve"> </w:t>
      </w:r>
      <w:r w:rsidRPr="00995C2B" w:rsidR="00995C2B">
        <w:rPr>
          <w:rFonts w:ascii="Arial" w:hAnsi="Arial"/>
          <w:lang w:val="en-CA"/>
        </w:rPr>
        <w:t xml:space="preserve">     </w:t>
      </w:r>
      <w:r w:rsidR="00995C2B">
        <w:rPr>
          <w:rFonts w:ascii="Arial" w:hAnsi="Arial"/>
          <w:lang w:val="en-CA"/>
        </w:rPr>
        <w:t xml:space="preserve">          </w:t>
      </w:r>
      <w:r>
        <w:rPr>
          <w:rFonts w:ascii="Arial" w:hAnsi="Arial"/>
          <w:lang w:val="en-CA"/>
        </w:rPr>
        <w:t>Is</w:t>
      </w:r>
      <w:r>
        <w:rPr>
          <w:rFonts w:ascii="Arial" w:hAnsi="Arial"/>
          <w:lang w:val="en-CA"/>
        </w:rPr>
        <w:t xml:space="preserve"> this </w:t>
      </w:r>
      <w:r w:rsidR="004A3C6C">
        <w:rPr>
          <w:rFonts w:ascii="Arial" w:hAnsi="Arial"/>
          <w:lang w:val="en-CA"/>
        </w:rPr>
        <w:t>an updating or amending Notice:</w:t>
      </w:r>
      <w:r>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sidR="006F6C5D">
        <w:rPr>
          <w:rFonts w:ascii="Wingdings 2" w:hAnsi="Wingdings 2"/>
          <w:lang w:val="en-CA"/>
        </w:rPr>
        <w:sym w:font="Wingdings 2" w:char="F054"/>
      </w:r>
      <w:r w:rsidR="00247ED1">
        <w:rPr>
          <w:rFonts w:ascii="Arial" w:hAnsi="Arial"/>
          <w:lang w:val="en-CA"/>
        </w:rPr>
        <w:t xml:space="preserve"> </w:t>
      </w:r>
      <w:r>
        <w:rPr>
          <w:rFonts w:ascii="Arial" w:hAnsi="Arial"/>
          <w:lang w:val="en-CA"/>
        </w:rPr>
        <w:t>No</w:t>
      </w:r>
    </w:p>
    <w:p w:rsidR="00EA4133"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If yes provide date(s) of prior Notices:  ________________________.</w:t>
      </w:r>
    </w:p>
    <w:p w:rsidR="00EA4133" w:rsidRPr="00247ED1" w:rsidP="00C10A32">
      <w:pPr>
        <w:pStyle w:val="BodyText"/>
        <w:tabs>
          <w:tab w:val="left" w:pos="9180"/>
        </w:tabs>
        <w:spacing w:before="0" w:after="120"/>
        <w:rPr>
          <w:rFonts w:ascii="Arial" w:hAnsi="Arial"/>
          <w:b/>
          <w:color w:val="auto"/>
          <w:shd w:val="clear" w:color="auto" w:fill="auto"/>
          <w:lang w:val="en-US"/>
        </w:rPr>
      </w:pPr>
      <w:r>
        <w:rPr>
          <w:rFonts w:ascii="Arial" w:hAnsi="Arial"/>
          <w:lang w:val="en-CA"/>
        </w:rPr>
        <w:t>Issued and Outstanding Securities of Issuer Prior to Issuance:</w:t>
      </w:r>
      <w:r w:rsidR="00247ED1">
        <w:rPr>
          <w:rFonts w:ascii="Arial" w:hAnsi="Arial"/>
          <w:lang w:val="en-CA"/>
        </w:rPr>
        <w:t xml:space="preserve"> </w:t>
      </w:r>
      <w:r w:rsidRPr="00966A65" w:rsidR="00966A65">
        <w:rPr>
          <w:rFonts w:ascii="Arial" w:hAnsi="Arial"/>
          <w:u w:val="single"/>
          <w:lang w:val="en-CA"/>
        </w:rPr>
        <w:t>227,142,499</w:t>
      </w:r>
      <w:r w:rsidRPr="00966A65" w:rsidR="00966A65">
        <w:rPr>
          <w:rFonts w:ascii="Tahoma" w:hAnsi="Tahoma" w:cs="Tahoma"/>
          <w:u w:val="single"/>
        </w:rPr>
        <w:t xml:space="preserve"> </w:t>
      </w:r>
      <w:r w:rsidRPr="00966A65" w:rsidR="008F3801">
        <w:rPr>
          <w:rFonts w:ascii="Arial" w:hAnsi="Arial"/>
          <w:u w:val="single"/>
          <w:lang w:val="en-CA"/>
        </w:rPr>
        <w:t>common</w:t>
      </w:r>
      <w:r w:rsidR="008F3801">
        <w:rPr>
          <w:rFonts w:ascii="Arial" w:hAnsi="Arial"/>
          <w:u w:val="single"/>
          <w:lang w:val="en-CA"/>
        </w:rPr>
        <w:t xml:space="preserve"> shares</w:t>
      </w:r>
    </w:p>
    <w:p w:rsidR="00840B45" w:rsidRPr="00840B45" w:rsidP="00C10A32">
      <w:pPr>
        <w:pStyle w:val="BodyText"/>
        <w:tabs>
          <w:tab w:val="left" w:pos="9180"/>
        </w:tabs>
        <w:spacing w:before="0" w:after="120"/>
        <w:rPr>
          <w:rFonts w:ascii="Arial" w:hAnsi="Arial"/>
          <w:b/>
          <w:color w:val="auto"/>
          <w:shd w:val="clear" w:color="auto" w:fill="auto"/>
          <w:lang w:val="en-CA"/>
        </w:rPr>
      </w:pPr>
      <w:r>
        <w:rPr>
          <w:rFonts w:ascii="Arial" w:hAnsi="Arial"/>
          <w:b/>
          <w:lang w:val="en-CA"/>
        </w:rPr>
        <w:t>Pricing</w:t>
      </w:r>
    </w:p>
    <w:p w:rsidR="00EA4133" w:rsidRPr="0077197D"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Pr="0077197D" w:rsidR="00840B45">
        <w:rPr>
          <w:rFonts w:ascii="Arial" w:hAnsi="Arial"/>
          <w:lang w:val="en-CA"/>
        </w:rPr>
        <w:t>proposed issuance</w:t>
      </w:r>
      <w:r w:rsidRPr="0077197D">
        <w:rPr>
          <w:rFonts w:ascii="Arial" w:hAnsi="Arial"/>
          <w:lang w:val="en-CA"/>
        </w:rPr>
        <w:t>:</w:t>
      </w:r>
      <w:r w:rsidRPr="0077197D" w:rsidR="00402A99">
        <w:rPr>
          <w:rFonts w:ascii="Arial" w:hAnsi="Arial"/>
          <w:lang w:val="en-CA"/>
        </w:rPr>
        <w:t xml:space="preserve"> </w:t>
      </w:r>
      <w:r w:rsidRPr="0077197D" w:rsidR="00966A65">
        <w:rPr>
          <w:rFonts w:ascii="Arial" w:hAnsi="Arial"/>
          <w:u w:val="single"/>
          <w:lang w:val="en-CA"/>
        </w:rPr>
        <w:t xml:space="preserve">May </w:t>
      </w:r>
      <w:r w:rsidRPr="0077197D" w:rsidR="0077197D">
        <w:rPr>
          <w:rFonts w:ascii="Arial" w:hAnsi="Arial" w:cs="Arial"/>
          <w:u w:val="single"/>
          <w:lang w:val="en-CA"/>
        </w:rPr>
        <w:t>16</w:t>
      </w:r>
      <w:r w:rsidRPr="0077197D" w:rsidR="00966A65">
        <w:rPr>
          <w:rFonts w:ascii="Arial" w:hAnsi="Arial"/>
          <w:u w:val="single"/>
          <w:lang w:val="en-CA"/>
        </w:rPr>
        <w:t>, 2023</w:t>
      </w:r>
      <w:r w:rsidRPr="0077197D" w:rsidR="00966A65">
        <w:rPr>
          <w:rFonts w:ascii="Arial" w:hAnsi="Arial"/>
          <w:lang w:val="en-CA"/>
        </w:rPr>
        <w:t xml:space="preserve"> </w:t>
      </w:r>
      <w:r w:rsidRPr="0077197D" w:rsidR="00840B45">
        <w:rPr>
          <w:rFonts w:ascii="Arial" w:hAnsi="Arial"/>
          <w:lang w:val="en-CA"/>
        </w:rPr>
        <w:t>or</w:t>
      </w:r>
    </w:p>
    <w:p w:rsidR="00840B45" w:rsidRPr="0077197D" w:rsidP="00C10A32">
      <w:pPr>
        <w:pStyle w:val="BodyText"/>
        <w:tabs>
          <w:tab w:val="left" w:pos="9180"/>
        </w:tabs>
        <w:spacing w:before="0" w:after="120"/>
        <w:rPr>
          <w:rFonts w:ascii="Arial" w:hAnsi="Arial"/>
          <w:color w:val="auto"/>
          <w:shd w:val="clear" w:color="auto" w:fill="auto"/>
          <w:lang w:val="en-CA"/>
        </w:rPr>
      </w:pPr>
      <w:r w:rsidRPr="0077197D">
        <w:rPr>
          <w:rFonts w:ascii="Arial" w:hAnsi="Arial"/>
          <w:lang w:val="en-CA"/>
        </w:rPr>
        <w:t xml:space="preserve">Date of confidential request for price protection: </w:t>
      </w:r>
      <w:r w:rsidRPr="0077197D" w:rsidR="008A22CE">
        <w:rPr>
          <w:rFonts w:ascii="Arial" w:hAnsi="Arial"/>
          <w:lang w:val="en-CA"/>
        </w:rPr>
        <w:t xml:space="preserve"> </w:t>
      </w:r>
      <w:r w:rsidRPr="0077197D" w:rsidR="0077197D">
        <w:rPr>
          <w:rFonts w:ascii="Arial" w:hAnsi="Arial"/>
          <w:u w:val="single"/>
          <w:lang w:val="en-CA"/>
        </w:rPr>
        <w:t>April 17</w:t>
      </w:r>
      <w:r w:rsidRPr="0077197D" w:rsidR="00966A65">
        <w:rPr>
          <w:rFonts w:ascii="Arial" w:hAnsi="Arial"/>
          <w:u w:val="single"/>
          <w:lang w:val="en-CA"/>
        </w:rPr>
        <w:t xml:space="preserve"> 2023</w:t>
      </w:r>
    </w:p>
    <w:p w:rsidR="00EA4133" w:rsidRPr="0077197D" w:rsidP="00C10A32">
      <w:pPr>
        <w:pStyle w:val="BodyText"/>
        <w:tabs>
          <w:tab w:val="left" w:pos="9180"/>
        </w:tabs>
        <w:spacing w:before="0" w:after="120"/>
        <w:rPr>
          <w:rFonts w:ascii="Arial" w:hAnsi="Arial"/>
          <w:color w:val="auto"/>
          <w:shd w:val="clear" w:color="auto" w:fill="auto"/>
          <w:lang w:val="en-CA"/>
        </w:rPr>
      </w:pPr>
      <w:r w:rsidRPr="0077197D">
        <w:rPr>
          <w:rFonts w:ascii="Arial" w:hAnsi="Arial"/>
          <w:lang w:val="en-CA"/>
        </w:rPr>
        <w:t xml:space="preserve">Closing Market Price on Day Preceding the </w:t>
      </w:r>
      <w:r w:rsidRPr="0077197D" w:rsidR="00840B45">
        <w:rPr>
          <w:rFonts w:ascii="Arial" w:hAnsi="Arial"/>
          <w:lang w:val="en-CA"/>
        </w:rPr>
        <w:t>n</w:t>
      </w:r>
      <w:r w:rsidRPr="0077197D">
        <w:rPr>
          <w:rFonts w:ascii="Arial" w:hAnsi="Arial"/>
          <w:lang w:val="en-CA"/>
        </w:rPr>
        <w:t xml:space="preserve">ews </w:t>
      </w:r>
      <w:r w:rsidRPr="0077197D" w:rsidR="00840B45">
        <w:rPr>
          <w:rFonts w:ascii="Arial" w:hAnsi="Arial"/>
          <w:lang w:val="en-CA"/>
        </w:rPr>
        <w:t>r</w:t>
      </w:r>
      <w:r w:rsidRPr="0077197D">
        <w:rPr>
          <w:rFonts w:ascii="Arial" w:hAnsi="Arial"/>
          <w:lang w:val="en-CA"/>
        </w:rPr>
        <w:t xml:space="preserve">elease: </w:t>
      </w:r>
      <w:r w:rsidRPr="0077197D" w:rsidR="008F3801">
        <w:rPr>
          <w:rFonts w:ascii="Arial" w:hAnsi="Arial"/>
          <w:u w:val="single"/>
          <w:lang w:val="en-CA"/>
        </w:rPr>
        <w:t>$0.</w:t>
      </w:r>
      <w:r w:rsidRPr="0077197D" w:rsidR="0077197D">
        <w:rPr>
          <w:rFonts w:ascii="Arial" w:hAnsi="Arial" w:cs="Arial"/>
          <w:u w:val="single"/>
          <w:lang w:val="en-CA"/>
        </w:rPr>
        <w:t>015</w:t>
      </w:r>
      <w:r w:rsidRPr="0077197D" w:rsidR="008F3801">
        <w:rPr>
          <w:rFonts w:ascii="Arial" w:hAnsi="Arial"/>
          <w:u w:val="single"/>
          <w:lang w:val="en-CA"/>
        </w:rPr>
        <w:t xml:space="preserve"> (</w:t>
      </w:r>
      <w:r w:rsidRPr="0077197D" w:rsidR="00966A65">
        <w:rPr>
          <w:rFonts w:ascii="Arial" w:hAnsi="Arial"/>
          <w:u w:val="single"/>
          <w:lang w:val="en-CA"/>
        </w:rPr>
        <w:t xml:space="preserve">May </w:t>
      </w:r>
      <w:r w:rsidRPr="0077197D" w:rsidR="0077197D">
        <w:rPr>
          <w:rFonts w:ascii="Arial" w:hAnsi="Arial" w:cs="Arial"/>
          <w:u w:val="single"/>
          <w:lang w:val="en-CA"/>
        </w:rPr>
        <w:t>15</w:t>
      </w:r>
      <w:r w:rsidRPr="0077197D" w:rsidR="00966A65">
        <w:rPr>
          <w:rFonts w:ascii="Arial" w:hAnsi="Arial"/>
          <w:u w:val="single"/>
          <w:lang w:val="en-CA"/>
        </w:rPr>
        <w:t>, 2023</w:t>
      </w:r>
      <w:r w:rsidRPr="0077197D" w:rsidR="008F3801">
        <w:rPr>
          <w:rFonts w:ascii="Arial" w:hAnsi="Arial"/>
          <w:u w:val="single"/>
          <w:lang w:val="en-CA"/>
        </w:rPr>
        <w:t>)</w:t>
      </w:r>
      <w:r w:rsidRPr="0077197D" w:rsidR="00A74EFF">
        <w:rPr>
          <w:rFonts w:ascii="Arial" w:hAnsi="Arial"/>
          <w:u w:val="single"/>
          <w:lang w:val="en-CA"/>
        </w:rPr>
        <w:t xml:space="preserve"> </w:t>
      </w:r>
      <w:r w:rsidRPr="0077197D" w:rsidR="00840B45">
        <w:rPr>
          <w:rFonts w:ascii="Arial" w:hAnsi="Arial"/>
          <w:lang w:val="en-CA"/>
        </w:rPr>
        <w:t>or</w:t>
      </w:r>
    </w:p>
    <w:p w:rsidR="00840B45" w:rsidP="00247ED1">
      <w:pPr>
        <w:pStyle w:val="BodyText"/>
        <w:tabs>
          <w:tab w:val="left" w:pos="9180"/>
        </w:tabs>
        <w:spacing w:before="0" w:after="120"/>
        <w:rPr>
          <w:rFonts w:ascii="Arial" w:hAnsi="Arial"/>
          <w:color w:val="auto"/>
          <w:shd w:val="clear" w:color="auto" w:fill="auto"/>
          <w:lang w:val="en-CA"/>
        </w:rPr>
      </w:pPr>
      <w:r w:rsidRPr="0077197D">
        <w:rPr>
          <w:rFonts w:ascii="Arial" w:hAnsi="Arial"/>
          <w:lang w:val="en-CA"/>
        </w:rPr>
        <w:t xml:space="preserve">Day preceding request for price protection: </w:t>
      </w:r>
      <w:r w:rsidRPr="0077197D" w:rsidR="0077197D">
        <w:rPr>
          <w:rFonts w:ascii="Arial" w:hAnsi="Arial"/>
          <w:u w:val="single"/>
          <w:lang w:val="en-CA"/>
        </w:rPr>
        <w:t>$0.</w:t>
      </w:r>
      <w:r w:rsidRPr="0077197D" w:rsidR="0077197D">
        <w:rPr>
          <w:rFonts w:ascii="Arial" w:hAnsi="Arial" w:cs="Arial"/>
          <w:u w:val="single"/>
          <w:lang w:val="en-CA"/>
        </w:rPr>
        <w:t>015</w:t>
      </w:r>
      <w:r w:rsidRPr="0077197D" w:rsidR="0077197D">
        <w:rPr>
          <w:rFonts w:ascii="Arial" w:hAnsi="Arial"/>
          <w:u w:val="single"/>
          <w:lang w:val="en-CA"/>
        </w:rPr>
        <w:t xml:space="preserve"> </w:t>
      </w:r>
      <w:r w:rsidRPr="0077197D" w:rsidR="00A74EFF">
        <w:rPr>
          <w:rFonts w:ascii="Arial" w:hAnsi="Arial"/>
          <w:u w:val="single"/>
          <w:lang w:val="en-CA"/>
        </w:rPr>
        <w:t>(</w:t>
      </w:r>
      <w:r w:rsidRPr="0077197D" w:rsidR="0077197D">
        <w:rPr>
          <w:rFonts w:ascii="Arial" w:hAnsi="Arial"/>
          <w:u w:val="single"/>
          <w:lang w:val="en-CA"/>
        </w:rPr>
        <w:t>April 14</w:t>
      </w:r>
      <w:r w:rsidRPr="0077197D" w:rsidR="00966A65">
        <w:rPr>
          <w:rFonts w:ascii="Arial" w:hAnsi="Arial"/>
          <w:u w:val="single"/>
          <w:lang w:val="en-CA"/>
        </w:rPr>
        <w:t>, 2023</w:t>
      </w:r>
      <w:r w:rsidRPr="0077197D" w:rsidR="00A74EFF">
        <w:rPr>
          <w:rFonts w:ascii="Arial" w:hAnsi="Arial"/>
          <w:u w:val="single"/>
          <w:lang w:val="en-CA"/>
        </w:rPr>
        <w:t>)</w:t>
      </w:r>
    </w:p>
    <w:p w:rsidR="00840B45" w:rsidP="00C10A32">
      <w:pPr>
        <w:pStyle w:val="BodyText"/>
        <w:tabs>
          <w:tab w:val="left" w:pos="9180"/>
        </w:tabs>
        <w:spacing w:before="0" w:after="120"/>
        <w:rPr>
          <w:rFonts w:ascii="Arial" w:hAnsi="Arial"/>
          <w:b/>
          <w:color w:val="auto"/>
          <w:shd w:val="clear" w:color="auto" w:fill="auto"/>
          <w:lang w:val="en-CA"/>
        </w:rPr>
      </w:pPr>
      <w:r>
        <w:rPr>
          <w:rFonts w:ascii="Arial" w:hAnsi="Arial"/>
          <w:b/>
          <w:lang w:val="en-CA"/>
        </w:rPr>
        <w:t>Closing</w:t>
      </w:r>
    </w:p>
    <w:p w:rsidR="00840B45" w:rsidRPr="00247ED1" w:rsidP="00C10A32">
      <w:pPr>
        <w:pStyle w:val="BodyText"/>
        <w:tabs>
          <w:tab w:val="left" w:pos="9180"/>
        </w:tabs>
        <w:spacing w:before="0" w:after="120"/>
        <w:rPr>
          <w:rFonts w:ascii="Arial" w:hAnsi="Arial"/>
          <w:color w:val="auto"/>
          <w:u w:val="single"/>
          <w:shd w:val="clear" w:color="auto" w:fill="auto"/>
          <w:lang w:val="en-CA"/>
        </w:rPr>
      </w:pPr>
      <w:r>
        <w:rPr>
          <w:rFonts w:ascii="Arial" w:hAnsi="Arial"/>
          <w:lang w:val="en-CA"/>
        </w:rPr>
        <w:t xml:space="preserve">Number of securities to be issued: </w:t>
      </w:r>
      <w:r w:rsidR="00966A65">
        <w:rPr>
          <w:rFonts w:ascii="Arial" w:hAnsi="Arial"/>
          <w:u w:val="single"/>
          <w:lang w:val="en-CA"/>
        </w:rPr>
        <w:t>19,135,000 common shares</w:t>
      </w:r>
      <w:r w:rsidR="008F3801">
        <w:rPr>
          <w:rFonts w:ascii="Arial" w:hAnsi="Arial"/>
          <w:u w:val="single"/>
          <w:lang w:val="en-CA"/>
        </w:rPr>
        <w:t xml:space="preserve"> </w:t>
      </w:r>
    </w:p>
    <w:p w:rsidR="00C10A32" w:rsidP="00C10A32">
      <w:pPr>
        <w:pStyle w:val="BodyText"/>
        <w:tabs>
          <w:tab w:val="left" w:pos="9180"/>
        </w:tabs>
        <w:spacing w:before="0" w:after="120"/>
        <w:rPr>
          <w:rFonts w:ascii="Arial" w:hAnsi="Arial"/>
          <w:b/>
          <w:color w:val="auto"/>
          <w:shd w:val="clear" w:color="auto" w:fill="auto"/>
          <w:lang w:val="en-CA"/>
        </w:rPr>
      </w:pPr>
      <w:r>
        <w:rPr>
          <w:rFonts w:ascii="Arial" w:hAnsi="Arial"/>
          <w:lang w:val="en-CA"/>
        </w:rPr>
        <w:t xml:space="preserve">Issued and outstanding securities following issuance: </w:t>
      </w:r>
      <w:r w:rsidR="00966A65">
        <w:rPr>
          <w:rFonts w:ascii="Arial" w:hAnsi="Arial"/>
          <w:u w:val="single"/>
          <w:lang w:val="en-CA"/>
        </w:rPr>
        <w:t>246,277,499</w:t>
      </w:r>
      <w:r w:rsidR="002B095A">
        <w:rPr>
          <w:rFonts w:ascii="Arial" w:hAnsi="Arial"/>
          <w:u w:val="single"/>
          <w:lang w:val="en-CA"/>
        </w:rPr>
        <w:t xml:space="preserve"> </w:t>
      </w:r>
      <w:r w:rsidRPr="00DB2FAA" w:rsidR="00EE6F76">
        <w:rPr>
          <w:rFonts w:ascii="Arial" w:hAnsi="Arial"/>
          <w:u w:val="single"/>
          <w:lang w:val="en-CA"/>
        </w:rPr>
        <w:t>c</w:t>
      </w:r>
      <w:r w:rsidRPr="00AC4E3D" w:rsidR="00EE6F76">
        <w:rPr>
          <w:rFonts w:ascii="Arial" w:hAnsi="Arial"/>
          <w:u w:val="single"/>
          <w:lang w:val="en-CA"/>
        </w:rPr>
        <w:t>ommon shares</w:t>
      </w:r>
    </w:p>
    <w:p w:rsidR="00840B45" w:rsidP="00C10A32">
      <w:pPr>
        <w:pStyle w:val="BodyText"/>
        <w:tabs>
          <w:tab w:val="left" w:pos="9180"/>
        </w:tabs>
        <w:spacing w:before="0" w:after="120"/>
        <w:rPr>
          <w:rFonts w:ascii="Arial" w:hAnsi="Arial"/>
          <w:b/>
          <w:color w:val="auto"/>
          <w:shd w:val="clear" w:color="auto" w:fill="auto"/>
          <w:lang w:val="en-CA"/>
        </w:rPr>
      </w:pPr>
      <w:r>
        <w:rPr>
          <w:rFonts w:ascii="Arial" w:hAnsi="Arial"/>
          <w:b/>
          <w:lang w:val="en-CA"/>
        </w:rPr>
        <w:t>Instructions:</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For private placements (including debt settlement), complete tables 1A and 1B in Part 1 of this form.</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Complete Table 1A – Summary for all purchasers, excluding those identified in Item 8.</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Complete Table 1B – Related Persons only for Related Persons</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726B3B" w:rsidP="00BE2894">
      <w:pPr>
        <w:pStyle w:val="BodyText"/>
        <w:numPr>
          <w:ilvl w:val="0"/>
          <w:numId w:val="18"/>
        </w:numPr>
        <w:tabs>
          <w:tab w:val="left" w:pos="9180"/>
        </w:tabs>
        <w:spacing w:before="0" w:after="120"/>
        <w:ind w:left="426"/>
        <w:rPr>
          <w:rFonts w:ascii="Arial" w:hAnsi="Arial"/>
          <w:b/>
          <w:color w:val="auto"/>
          <w:shd w:val="clear" w:color="auto" w:fill="auto"/>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r>
        <w:fldChar w:fldCharType="begin"/>
      </w:r>
      <w:r>
        <w:instrText xml:space="preserve"> HYPERLINK "mailto:listings@thecse.com" </w:instrText>
      </w:r>
      <w:r>
        <w:fldChar w:fldCharType="separate"/>
      </w:r>
      <w:r w:rsidRPr="00BE2894">
        <w:rPr>
          <w:rStyle w:val="Hyperlink"/>
          <w:rFonts w:ascii="Arial" w:hAnsi="Arial"/>
          <w:lang w:val="en-CA"/>
        </w:rPr>
        <w:t>listings@thecse.com</w:t>
      </w:r>
      <w:r>
        <w:fldChar w:fldCharType="end"/>
      </w:r>
      <w:r w:rsidRPr="00BE2894">
        <w:rPr>
          <w:rFonts w:ascii="Arial" w:hAnsi="Arial"/>
          <w:lang w:val="en-CA"/>
        </w:rPr>
        <w:t xml:space="preserve"> with an appendix that includes the </w:t>
      </w:r>
      <w:r w:rsidRPr="00BE2894" w:rsidR="00F33BBE">
        <w:rPr>
          <w:rFonts w:ascii="Arial" w:hAnsi="Arial"/>
          <w:lang w:val="en-CA"/>
        </w:rPr>
        <w:t xml:space="preserve">information in Table 1B for ALL </w:t>
      </w:r>
      <w:r w:rsidRPr="00BE2894" w:rsidR="00F33BBE">
        <w:rPr>
          <w:rFonts w:ascii="Arial" w:hAnsi="Arial"/>
          <w:lang w:val="en-CA"/>
        </w:rPr>
        <w:t>placees</w:t>
      </w:r>
      <w:r w:rsidRPr="00BE2894" w:rsidR="00F33BBE">
        <w:rPr>
          <w:rFonts w:ascii="Arial" w:hAnsi="Arial"/>
          <w:lang w:val="en-CA"/>
        </w:rPr>
        <w:t>.</w:t>
      </w:r>
    </w:p>
    <w:p w:rsidR="00726B3B" w:rsidRPr="00BE2894" w:rsidP="00726B3B">
      <w:pPr>
        <w:pStyle w:val="BodyText"/>
        <w:tabs>
          <w:tab w:val="left" w:pos="9180"/>
        </w:tabs>
        <w:spacing w:before="0" w:after="120"/>
        <w:ind w:left="426"/>
        <w:rPr>
          <w:rFonts w:ascii="Arial" w:hAnsi="Arial"/>
          <w:b/>
          <w:color w:val="auto"/>
          <w:shd w:val="clear" w:color="auto" w:fill="auto"/>
          <w:lang w:val="en-CA"/>
        </w:rPr>
      </w:pPr>
    </w:p>
    <w:p w:rsidR="00A90670">
      <w:pPr>
        <w:pStyle w:val="BodyText"/>
        <w:spacing w:before="0" w:after="240"/>
        <w:rPr>
          <w:rFonts w:ascii="Arial" w:hAnsi="Arial"/>
          <w:b/>
          <w:color w:val="auto"/>
          <w:shd w:val="clear" w:color="auto" w:fill="auto"/>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P="00C536D3">
      <w:pPr>
        <w:pStyle w:val="BodyText"/>
        <w:rPr>
          <w:rFonts w:ascii="Arial" w:hAnsi="Arial"/>
          <w:b/>
          <w:color w:val="auto"/>
          <w:u w:val="single"/>
          <w:shd w:val="clear" w:color="auto" w:fill="auto"/>
          <w:lang w:val="en-CA"/>
        </w:rPr>
      </w:pPr>
      <w:r w:rsidRPr="00C536D3">
        <w:rPr>
          <w:rFonts w:ascii="Arial" w:hAnsi="Arial"/>
          <w:b/>
          <w:u w:val="single"/>
          <w:lang w:val="en-CA"/>
        </w:rPr>
        <w:t>Table 1A – Summary</w:t>
      </w:r>
    </w:p>
    <w:tbl>
      <w:tblPr>
        <w:tblStyle w:val="TableGrid"/>
        <w:tblW w:w="0" w:type="auto"/>
        <w:tblLayout w:type="fixed"/>
        <w:tblLook w:val="04A0"/>
      </w:tblPr>
      <w:tblGrid>
        <w:gridCol w:w="3652"/>
        <w:gridCol w:w="1701"/>
        <w:gridCol w:w="1829"/>
        <w:gridCol w:w="2394"/>
      </w:tblGrid>
      <w:tr w:rsidTr="00247ED1">
        <w:tblPrEx>
          <w:tblW w:w="0" w:type="auto"/>
          <w:tblLayout w:type="fixed"/>
          <w:tblLook w:val="04A0"/>
        </w:tblPrEx>
        <w:tc>
          <w:tcPr>
            <w:tcW w:w="3652"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Each jurisdiction in which purchasers reside</w:t>
            </w:r>
          </w:p>
        </w:tc>
        <w:tc>
          <w:tcPr>
            <w:tcW w:w="1701"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Number of Purchasers</w:t>
            </w:r>
          </w:p>
        </w:tc>
        <w:tc>
          <w:tcPr>
            <w:tcW w:w="1829"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Price per Security</w:t>
            </w:r>
          </w:p>
        </w:tc>
        <w:tc>
          <w:tcPr>
            <w:tcW w:w="2394"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Total dollar value (CDN$) raised in the jurisdiction</w:t>
            </w:r>
          </w:p>
        </w:tc>
      </w:tr>
      <w:tr w:rsidTr="00247ED1">
        <w:tblPrEx>
          <w:tblW w:w="0" w:type="auto"/>
          <w:tblLayout w:type="fixed"/>
          <w:tblLook w:val="04A0"/>
        </w:tblPrEx>
        <w:tc>
          <w:tcPr>
            <w:tcW w:w="3652" w:type="dxa"/>
          </w:tcPr>
          <w:p w:rsidR="009C0B84" w:rsidP="009C0B84">
            <w:pPr>
              <w:pStyle w:val="BodyText"/>
              <w:rPr>
                <w:rFonts w:ascii="Arial" w:hAnsi="Arial"/>
                <w:color w:val="auto"/>
                <w:shd w:val="clear" w:color="auto" w:fill="auto"/>
                <w:lang w:val="en-CA"/>
              </w:rPr>
            </w:pPr>
            <w:r>
              <w:rPr>
                <w:rFonts w:ascii="Arial" w:hAnsi="Arial"/>
                <w:lang w:val="en-CA"/>
              </w:rPr>
              <w:t>Switzerland</w:t>
            </w:r>
          </w:p>
        </w:tc>
        <w:tc>
          <w:tcPr>
            <w:tcW w:w="1701" w:type="dxa"/>
          </w:tcPr>
          <w:p w:rsidR="009C0B84" w:rsidP="009C0B84">
            <w:pPr>
              <w:pStyle w:val="BodyText"/>
              <w:rPr>
                <w:rFonts w:ascii="Arial" w:hAnsi="Arial"/>
                <w:color w:val="auto"/>
                <w:shd w:val="clear" w:color="auto" w:fill="auto"/>
                <w:lang w:val="en-CA"/>
              </w:rPr>
            </w:pPr>
            <w:r>
              <w:rPr>
                <w:rFonts w:ascii="Arial" w:hAnsi="Arial"/>
                <w:lang w:val="en-CA"/>
              </w:rPr>
              <w:t>1</w:t>
            </w:r>
          </w:p>
        </w:tc>
        <w:tc>
          <w:tcPr>
            <w:tcW w:w="1829" w:type="dxa"/>
          </w:tcPr>
          <w:p w:rsidR="009C0B84" w:rsidP="00966A65">
            <w:pPr>
              <w:pStyle w:val="BodyText"/>
              <w:rPr>
                <w:rFonts w:ascii="Arial" w:hAnsi="Arial"/>
                <w:color w:val="auto"/>
                <w:shd w:val="clear" w:color="auto" w:fill="auto"/>
                <w:lang w:val="en-CA"/>
              </w:rPr>
            </w:pPr>
            <w:r>
              <w:rPr>
                <w:rFonts w:ascii="Arial" w:hAnsi="Arial"/>
                <w:lang w:val="en-CA"/>
              </w:rPr>
              <w:t>$</w:t>
            </w:r>
            <w:r w:rsidRPr="00A74EFF" w:rsidR="00A74EFF">
              <w:rPr>
                <w:rFonts w:ascii="Arial" w:hAnsi="Arial"/>
                <w:lang w:val="en-CA"/>
              </w:rPr>
              <w:t>0.</w:t>
            </w:r>
            <w:r w:rsidR="00966A65">
              <w:rPr>
                <w:rFonts w:ascii="Arial" w:hAnsi="Arial"/>
                <w:lang w:val="en-CA"/>
              </w:rPr>
              <w:t>02</w:t>
            </w:r>
          </w:p>
        </w:tc>
        <w:tc>
          <w:tcPr>
            <w:tcW w:w="2394" w:type="dxa"/>
          </w:tcPr>
          <w:p w:rsidR="009C0B84" w:rsidP="002B095A">
            <w:pPr>
              <w:pStyle w:val="BodyText"/>
              <w:rPr>
                <w:rFonts w:ascii="Arial" w:hAnsi="Arial"/>
                <w:color w:val="auto"/>
                <w:shd w:val="clear" w:color="auto" w:fill="auto"/>
                <w:lang w:val="en-CA"/>
              </w:rPr>
            </w:pPr>
            <w:r>
              <w:rPr>
                <w:rFonts w:ascii="Arial" w:hAnsi="Arial"/>
                <w:lang w:val="en-CA"/>
              </w:rPr>
              <w:t>$382,700</w:t>
            </w:r>
          </w:p>
        </w:tc>
      </w:tr>
      <w:tr w:rsidTr="00247ED1">
        <w:tblPrEx>
          <w:tblW w:w="0" w:type="auto"/>
          <w:tblLayout w:type="fixed"/>
          <w:tblLook w:val="04A0"/>
        </w:tblPrEx>
        <w:tc>
          <w:tcPr>
            <w:tcW w:w="3652" w:type="dxa"/>
          </w:tcPr>
          <w:p w:rsidR="00EB31BE" w:rsidRPr="00166CB3" w:rsidP="00EB31BE">
            <w:pPr>
              <w:pStyle w:val="BodyText"/>
              <w:rPr>
                <w:rFonts w:ascii="Arial" w:hAnsi="Arial"/>
                <w:b/>
                <w:color w:val="auto"/>
                <w:shd w:val="clear" w:color="auto" w:fill="auto"/>
                <w:lang w:val="en-CA"/>
              </w:rPr>
            </w:pPr>
            <w:r w:rsidRPr="00166CB3">
              <w:rPr>
                <w:rFonts w:ascii="Arial" w:hAnsi="Arial"/>
                <w:b/>
                <w:lang w:val="en-CA"/>
              </w:rPr>
              <w:t>Total number of purchasers:</w:t>
            </w:r>
          </w:p>
        </w:tc>
        <w:tc>
          <w:tcPr>
            <w:tcW w:w="1701" w:type="dxa"/>
          </w:tcPr>
          <w:p w:rsidR="00EB31BE" w:rsidRPr="00166CB3" w:rsidP="00EB31BE">
            <w:pPr>
              <w:pStyle w:val="BodyText"/>
              <w:rPr>
                <w:rFonts w:ascii="Arial" w:hAnsi="Arial"/>
                <w:b/>
                <w:color w:val="auto"/>
                <w:shd w:val="clear" w:color="auto" w:fill="auto"/>
                <w:lang w:val="en-CA"/>
              </w:rPr>
            </w:pPr>
            <w:r>
              <w:rPr>
                <w:rFonts w:ascii="Arial" w:hAnsi="Arial"/>
                <w:b/>
                <w:lang w:val="en-CA"/>
              </w:rPr>
              <w:t>1</w:t>
            </w:r>
          </w:p>
        </w:tc>
        <w:tc>
          <w:tcPr>
            <w:tcW w:w="1829" w:type="dxa"/>
          </w:tcPr>
          <w:p w:rsidR="00EB31BE" w:rsidRPr="00166CB3" w:rsidP="00EB31BE">
            <w:pPr>
              <w:pStyle w:val="BodyText"/>
              <w:rPr>
                <w:rFonts w:ascii="Arial" w:hAnsi="Arial"/>
                <w:b/>
                <w:color w:val="auto"/>
                <w:shd w:val="clear" w:color="auto" w:fill="auto"/>
                <w:lang w:val="en-CA"/>
              </w:rPr>
            </w:pPr>
          </w:p>
        </w:tc>
        <w:tc>
          <w:tcPr>
            <w:tcW w:w="2394" w:type="dxa"/>
          </w:tcPr>
          <w:p w:rsidR="00EB31BE" w:rsidRPr="00166CB3" w:rsidP="00EB31BE">
            <w:pPr>
              <w:pStyle w:val="BodyText"/>
              <w:rPr>
                <w:rFonts w:ascii="Arial" w:hAnsi="Arial"/>
                <w:b/>
                <w:color w:val="auto"/>
                <w:shd w:val="clear" w:color="auto" w:fill="auto"/>
                <w:lang w:val="en-CA"/>
              </w:rPr>
            </w:pPr>
          </w:p>
        </w:tc>
      </w:tr>
      <w:tr w:rsidTr="00247ED1">
        <w:tblPrEx>
          <w:tblW w:w="0" w:type="auto"/>
          <w:tblLayout w:type="fixed"/>
          <w:tblLook w:val="04A0"/>
        </w:tblPrEx>
        <w:tc>
          <w:tcPr>
            <w:tcW w:w="7182" w:type="dxa"/>
            <w:gridSpan w:val="3"/>
          </w:tcPr>
          <w:p w:rsidR="00166CB3" w:rsidRPr="00166CB3" w:rsidP="00166CB3">
            <w:pPr>
              <w:pStyle w:val="BodyText"/>
              <w:rPr>
                <w:rFonts w:ascii="Arial" w:hAnsi="Arial"/>
                <w:b/>
                <w:color w:val="auto"/>
                <w:shd w:val="clear" w:color="auto" w:fill="auto"/>
                <w:lang w:val="en-CA"/>
              </w:rPr>
            </w:pPr>
            <w:r w:rsidRPr="00166CB3">
              <w:rPr>
                <w:rFonts w:ascii="Arial" w:hAnsi="Arial"/>
                <w:b/>
                <w:lang w:val="en-CA"/>
              </w:rPr>
              <w:t>Total dollar value of distribution in all jurisdictions:</w:t>
            </w:r>
          </w:p>
        </w:tc>
        <w:tc>
          <w:tcPr>
            <w:tcW w:w="2394" w:type="dxa"/>
          </w:tcPr>
          <w:p w:rsidR="00166CB3" w:rsidRPr="00A74EFF" w:rsidP="00E41EEC">
            <w:pPr>
              <w:pStyle w:val="BodyText"/>
              <w:rPr>
                <w:rFonts w:ascii="Arial" w:hAnsi="Arial"/>
                <w:b/>
                <w:color w:val="auto"/>
                <w:shd w:val="clear" w:color="auto" w:fill="auto"/>
                <w:lang w:val="en-CA"/>
              </w:rPr>
            </w:pPr>
            <w:r>
              <w:rPr>
                <w:rFonts w:ascii="Arial" w:hAnsi="Arial"/>
                <w:b/>
                <w:lang w:val="en-CA"/>
              </w:rPr>
              <w:t>$382,700</w:t>
            </w:r>
          </w:p>
        </w:tc>
      </w:tr>
    </w:tbl>
    <w:p w:rsidR="00C536D3" w:rsidRPr="00C536D3" w:rsidP="00C536D3">
      <w:pPr>
        <w:pStyle w:val="BodyText"/>
        <w:rPr>
          <w:rFonts w:ascii="Arial" w:hAnsi="Arial"/>
          <w:b/>
          <w:color w:val="auto"/>
          <w:u w:val="single"/>
          <w:shd w:val="clear" w:color="auto" w:fill="auto"/>
          <w:lang w:val="en-CA"/>
        </w:rPr>
      </w:pPr>
    </w:p>
    <w:p w:rsidR="00C536D3" w:rsidRPr="00C536D3" w:rsidP="00C536D3">
      <w:pPr>
        <w:pStyle w:val="BodyText"/>
        <w:rPr>
          <w:rFonts w:ascii="Arial" w:hAnsi="Arial"/>
          <w:b/>
          <w:color w:val="auto"/>
          <w:u w:val="single"/>
          <w:shd w:val="clear" w:color="auto" w:fill="auto"/>
          <w:lang w:val="en-CA"/>
        </w:rPr>
      </w:pPr>
      <w:r w:rsidRPr="00C536D3">
        <w:rPr>
          <w:rFonts w:ascii="Arial" w:hAnsi="Arial"/>
          <w:b/>
          <w:u w:val="single"/>
          <w:lang w:val="en-CA"/>
        </w:rPr>
        <w:t>Table 1B – Related Persons</w:t>
      </w:r>
      <w:r w:rsidR="0091519B">
        <w:rPr>
          <w:rFonts w:ascii="Arial" w:hAnsi="Arial"/>
          <w:b/>
          <w:u w:val="single"/>
          <w:lang w:val="en-CA"/>
        </w:rPr>
        <w:t xml:space="preserve"> – N/A</w:t>
      </w:r>
    </w:p>
    <w:p w:rsidR="00544BCF">
      <w:pPr>
        <w:pStyle w:val="BodyText"/>
        <w:spacing w:before="0" w:after="240"/>
        <w:rPr>
          <w:rFonts w:ascii="Arial" w:hAnsi="Arial"/>
          <w:b/>
          <w:color w:val="auto"/>
          <w:shd w:val="clear" w:color="auto" w:fill="auto"/>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58"/>
        <w:gridCol w:w="1312"/>
        <w:gridCol w:w="1192"/>
        <w:gridCol w:w="1376"/>
        <w:gridCol w:w="1376"/>
        <w:gridCol w:w="1742"/>
        <w:gridCol w:w="1100"/>
        <w:gridCol w:w="1100"/>
      </w:tblGrid>
      <w:tr w:rsidTr="00A74EFF">
        <w:tblPrEx>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1965"/>
        </w:trPr>
        <w:tc>
          <w:tcPr>
            <w:tcW w:w="1458" w:type="dxa"/>
          </w:tcPr>
          <w:p w:rsidR="00EA4133">
            <w:pPr>
              <w:pStyle w:val="BodyText"/>
              <w:spacing w:before="0" w:line="280" w:lineRule="exact"/>
              <w:jc w:val="center"/>
              <w:rPr>
                <w:rFonts w:ascii="Arial" w:hAnsi="Arial"/>
                <w:b/>
                <w:color w:val="auto"/>
                <w:sz w:val="20"/>
                <w:shd w:val="clear" w:color="auto" w:fill="auto"/>
                <w:lang w:val="en-CA"/>
              </w:rPr>
            </w:pPr>
          </w:p>
          <w:p w:rsidR="00EA4133" w:rsidP="00C536D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Full Name &amp;</w:t>
            </w:r>
            <w:r w:rsidR="00F446C2">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r>
              <w:rPr>
                <w:rFonts w:ascii="Arial" w:hAnsi="Arial"/>
                <w:b/>
                <w:sz w:val="20"/>
                <w:lang w:val="en-CA"/>
              </w:rPr>
              <w:t>Placee</w:t>
            </w:r>
          </w:p>
        </w:tc>
        <w:tc>
          <w:tcPr>
            <w:tcW w:w="1312"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Number of Securities Purchased or to be Purchased</w:t>
            </w:r>
          </w:p>
        </w:tc>
        <w:tc>
          <w:tcPr>
            <w:tcW w:w="1192"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Purchase price per Security (CDN$)</w:t>
            </w:r>
          </w:p>
        </w:tc>
        <w:tc>
          <w:tcPr>
            <w:tcW w:w="1376"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Conversion</w:t>
            </w: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Price (if</w:t>
            </w: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Applicable)</w:t>
            </w:r>
          </w:p>
          <w:p w:rsidR="00C536D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(CDN$)</w:t>
            </w:r>
          </w:p>
        </w:tc>
        <w:tc>
          <w:tcPr>
            <w:tcW w:w="1376"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Prospectus Exemption</w:t>
            </w:r>
          </w:p>
        </w:tc>
        <w:tc>
          <w:tcPr>
            <w:tcW w:w="1742" w:type="dxa"/>
          </w:tcPr>
          <w:p w:rsidR="00C536D3" w:rsidP="00C536D3">
            <w:pPr>
              <w:pStyle w:val="BodyText"/>
              <w:spacing w:before="0" w:line="280" w:lineRule="exact"/>
              <w:jc w:val="center"/>
              <w:rPr>
                <w:rFonts w:ascii="Arial" w:hAnsi="Arial"/>
                <w:b/>
                <w:color w:val="auto"/>
                <w:sz w:val="20"/>
                <w:shd w:val="clear" w:color="auto" w:fill="auto"/>
              </w:rPr>
            </w:pPr>
          </w:p>
          <w:p w:rsidR="00EA4133" w:rsidP="00C536D3">
            <w:pPr>
              <w:pStyle w:val="BodyText"/>
              <w:spacing w:before="0" w:line="280" w:lineRule="exact"/>
              <w:jc w:val="center"/>
              <w:rPr>
                <w:rFonts w:ascii="Arial" w:hAnsi="Arial"/>
                <w:b/>
                <w:color w:val="auto"/>
                <w:sz w:val="20"/>
                <w:shd w:val="clear" w:color="auto" w:fill="auto"/>
                <w:lang w:val="en-CA"/>
              </w:rPr>
            </w:pPr>
            <w:r>
              <w:rPr>
                <w:rFonts w:ascii="Arial" w:hAnsi="Arial"/>
                <w:b/>
                <w:sz w:val="20"/>
              </w:rPr>
              <w:t>Total</w:t>
            </w:r>
            <w:r w:rsidR="00F50F71">
              <w:rPr>
                <w:rFonts w:ascii="Arial" w:hAnsi="Arial"/>
                <w:b/>
                <w:sz w:val="20"/>
              </w:rPr>
              <w:t xml:space="preserve"> </w:t>
            </w:r>
            <w:r>
              <w:rPr>
                <w:rFonts w:ascii="Arial" w:hAnsi="Arial"/>
                <w:b/>
                <w:sz w:val="20"/>
              </w:rPr>
              <w:t>Securities</w:t>
            </w:r>
            <w:r w:rsidR="00F50F71">
              <w:rPr>
                <w:rFonts w:ascii="Arial" w:hAnsi="Arial"/>
                <w:b/>
                <w:sz w:val="20"/>
              </w:rPr>
              <w:t xml:space="preserve"> </w:t>
            </w:r>
            <w:r>
              <w:rPr>
                <w:rFonts w:ascii="Arial" w:hAnsi="Arial"/>
                <w:b/>
                <w:sz w:val="20"/>
              </w:rPr>
              <w:t>Previously</w:t>
            </w:r>
            <w:r>
              <w:rPr>
                <w:rFonts w:ascii="Arial" w:hAnsi="Arial"/>
                <w:b/>
                <w:sz w:val="20"/>
              </w:rPr>
              <w:t xml:space="preserve"> Owned, Controlled or Directed</w:t>
            </w:r>
          </w:p>
        </w:tc>
        <w:tc>
          <w:tcPr>
            <w:tcW w:w="110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Payment Date</w:t>
            </w:r>
            <w:r>
              <w:rPr>
                <w:rFonts w:ascii="Arial" w:hAnsi="Arial"/>
                <w:b/>
                <w:sz w:val="16"/>
                <w:lang w:val="en-CA"/>
              </w:rPr>
              <w:t>(1)</w:t>
            </w:r>
          </w:p>
        </w:tc>
        <w:tc>
          <w:tcPr>
            <w:tcW w:w="110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000000"/>
                <w:sz w:val="20"/>
                <w:shd w:val="clear" w:color="auto" w:fill="auto"/>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Tr="00A74EFF">
        <w:tblPrEx>
          <w:tblW w:w="10656" w:type="dxa"/>
          <w:tblLayout w:type="fixed"/>
          <w:tblLook w:val="0000"/>
        </w:tblPrEx>
        <w:trPr>
          <w:trHeight w:val="728"/>
        </w:trPr>
        <w:tc>
          <w:tcPr>
            <w:tcW w:w="1458" w:type="dxa"/>
          </w:tcPr>
          <w:p w:rsidR="00262B2E" w:rsidRPr="000F4FF1" w:rsidP="00262B2E">
            <w:pPr>
              <w:pStyle w:val="BodyText"/>
              <w:spacing w:before="0" w:line="280" w:lineRule="exact"/>
              <w:rPr>
                <w:rFonts w:ascii="Arial" w:hAnsi="Arial"/>
                <w:color w:val="000000"/>
                <w:sz w:val="20"/>
                <w:shd w:val="clear" w:color="auto" w:fill="auto"/>
                <w:lang w:val="en-US"/>
              </w:rPr>
            </w:pPr>
          </w:p>
        </w:tc>
        <w:tc>
          <w:tcPr>
            <w:tcW w:w="1312" w:type="dxa"/>
          </w:tcPr>
          <w:p w:rsidR="00262B2E" w:rsidRPr="00262B2E" w:rsidP="008F3801">
            <w:pPr>
              <w:pStyle w:val="BodyText"/>
              <w:spacing w:before="0" w:line="280" w:lineRule="exact"/>
              <w:jc w:val="center"/>
              <w:rPr>
                <w:rFonts w:ascii="Arial" w:hAnsi="Arial"/>
                <w:color w:val="000000"/>
                <w:sz w:val="20"/>
                <w:shd w:val="clear" w:color="auto" w:fill="auto"/>
                <w:lang w:val="en-US"/>
              </w:rPr>
            </w:pPr>
          </w:p>
        </w:tc>
        <w:tc>
          <w:tcPr>
            <w:tcW w:w="1192" w:type="dxa"/>
          </w:tcPr>
          <w:p w:rsidR="00262B2E" w:rsidRPr="00262B2E" w:rsidP="00262B2E">
            <w:pPr>
              <w:pStyle w:val="BodyText"/>
              <w:spacing w:before="0" w:line="280" w:lineRule="exact"/>
              <w:jc w:val="center"/>
              <w:rPr>
                <w:rFonts w:ascii="Arial" w:hAnsi="Arial"/>
                <w:color w:val="000000"/>
                <w:sz w:val="20"/>
                <w:shd w:val="clear" w:color="auto" w:fill="auto"/>
                <w:lang w:val="en-US"/>
              </w:rPr>
            </w:pPr>
          </w:p>
        </w:tc>
        <w:tc>
          <w:tcPr>
            <w:tcW w:w="1376" w:type="dxa"/>
          </w:tcPr>
          <w:p w:rsidR="00262B2E" w:rsidRPr="00262B2E" w:rsidP="00262B2E">
            <w:pPr>
              <w:pStyle w:val="BodyText"/>
              <w:spacing w:before="0" w:line="280" w:lineRule="exact"/>
              <w:jc w:val="center"/>
              <w:rPr>
                <w:rFonts w:ascii="Arial" w:hAnsi="Arial"/>
                <w:color w:val="000000"/>
                <w:sz w:val="20"/>
                <w:shd w:val="clear" w:color="auto" w:fill="auto"/>
                <w:lang w:val="en-US"/>
              </w:rPr>
            </w:pPr>
          </w:p>
        </w:tc>
        <w:tc>
          <w:tcPr>
            <w:tcW w:w="1376" w:type="dxa"/>
          </w:tcPr>
          <w:p w:rsidR="00262B2E" w:rsidRPr="00262B2E" w:rsidP="00262B2E">
            <w:pPr>
              <w:pStyle w:val="BodyText"/>
              <w:spacing w:before="0" w:line="280" w:lineRule="exact"/>
              <w:rPr>
                <w:rFonts w:ascii="Arial" w:hAnsi="Arial"/>
                <w:color w:val="000000"/>
                <w:sz w:val="20"/>
                <w:shd w:val="clear" w:color="auto" w:fill="auto"/>
                <w:lang w:val="en-US"/>
              </w:rPr>
            </w:pPr>
          </w:p>
        </w:tc>
        <w:tc>
          <w:tcPr>
            <w:tcW w:w="1742" w:type="dxa"/>
          </w:tcPr>
          <w:p w:rsidR="00262B2E" w:rsidRPr="00262B2E" w:rsidP="00262B2E">
            <w:pPr>
              <w:pStyle w:val="BodyText"/>
              <w:spacing w:before="0" w:line="280" w:lineRule="exact"/>
              <w:jc w:val="center"/>
              <w:rPr>
                <w:rFonts w:ascii="Arial" w:hAnsi="Arial"/>
                <w:color w:val="000000"/>
                <w:sz w:val="20"/>
                <w:shd w:val="clear" w:color="auto" w:fill="auto"/>
                <w:lang w:val="en-US"/>
              </w:rPr>
            </w:pPr>
          </w:p>
        </w:tc>
        <w:tc>
          <w:tcPr>
            <w:tcW w:w="1100" w:type="dxa"/>
          </w:tcPr>
          <w:p w:rsidR="00262B2E" w:rsidRPr="00262B2E" w:rsidP="00262B2E">
            <w:pPr>
              <w:pStyle w:val="BodyText"/>
              <w:spacing w:before="0" w:line="280" w:lineRule="exact"/>
              <w:jc w:val="center"/>
              <w:rPr>
                <w:rFonts w:ascii="Arial" w:hAnsi="Arial"/>
                <w:color w:val="000000"/>
                <w:sz w:val="20"/>
                <w:shd w:val="clear" w:color="auto" w:fill="auto"/>
                <w:lang w:val="en-US"/>
              </w:rPr>
            </w:pPr>
          </w:p>
        </w:tc>
        <w:tc>
          <w:tcPr>
            <w:tcW w:w="1100" w:type="dxa"/>
          </w:tcPr>
          <w:p w:rsidR="00262B2E" w:rsidRPr="00262B2E" w:rsidP="00A74EFF">
            <w:pPr>
              <w:pStyle w:val="BodyText"/>
              <w:spacing w:before="0" w:line="280" w:lineRule="exact"/>
              <w:jc w:val="center"/>
              <w:rPr>
                <w:rFonts w:ascii="Arial" w:hAnsi="Arial"/>
                <w:color w:val="000000"/>
                <w:sz w:val="20"/>
                <w:shd w:val="clear" w:color="auto" w:fill="auto"/>
                <w:lang w:val="en-US"/>
              </w:rPr>
            </w:pPr>
          </w:p>
        </w:tc>
      </w:tr>
    </w:tbl>
    <w:p w:rsidR="00262B2E" w:rsidRPr="008003B9">
      <w:pPr>
        <w:pStyle w:val="BodyText"/>
        <w:rPr>
          <w:rFonts w:ascii="Arial" w:hAnsi="Arial" w:cs="Arial"/>
          <w:color w:val="000000"/>
          <w:sz w:val="20"/>
          <w:shd w:val="clear" w:color="auto" w:fill="auto"/>
        </w:rPr>
      </w:pPr>
    </w:p>
    <w:p w:rsidR="00EA4133" w:rsidRPr="008003B9">
      <w:pPr>
        <w:pStyle w:val="FootnoteText"/>
        <w:rPr>
          <w:rFonts w:ascii="Arial" w:hAnsi="Arial" w:cs="Arial"/>
          <w:color w:val="auto"/>
          <w:sz w:val="24"/>
          <w:szCs w:val="24"/>
          <w:shd w:val="clear" w:color="auto" w:fill="auto"/>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pPr>
        <w:pStyle w:val="List"/>
        <w:tabs>
          <w:tab w:val="left" w:pos="9162"/>
        </w:tabs>
        <w:rPr>
          <w:rFonts w:ascii="Arial" w:hAnsi="Arial"/>
          <w:color w:val="auto"/>
          <w:shd w:val="clear" w:color="auto" w:fill="auto"/>
        </w:rPr>
      </w:pPr>
      <w:r>
        <w:rPr>
          <w:rFonts w:ascii="Arial" w:hAnsi="Arial"/>
        </w:rPr>
        <w:t>1.</w:t>
      </w:r>
      <w:r>
        <w:rPr>
          <w:rFonts w:ascii="Arial" w:hAnsi="Arial"/>
        </w:rPr>
        <w:tab/>
        <w:t xml:space="preserve">Total amount of funds to be raised: </w:t>
      </w:r>
      <w:r w:rsidR="00166CB3">
        <w:rPr>
          <w:rFonts w:ascii="Arial" w:hAnsi="Arial"/>
          <w:u w:val="single"/>
        </w:rPr>
        <w:t>$</w:t>
      </w:r>
      <w:r w:rsidR="00966A65">
        <w:rPr>
          <w:rFonts w:ascii="Arial" w:hAnsi="Arial"/>
          <w:u w:val="single"/>
        </w:rPr>
        <w:t>382,700</w:t>
      </w:r>
      <w:r w:rsidR="00262B2E">
        <w:rPr>
          <w:rFonts w:ascii="Arial" w:hAnsi="Arial"/>
          <w:u w:val="single"/>
        </w:rPr>
        <w:t xml:space="preserve"> </w:t>
      </w:r>
      <w:r w:rsidR="00E41EEC">
        <w:rPr>
          <w:rFonts w:ascii="Arial" w:hAnsi="Arial"/>
          <w:u w:val="single"/>
        </w:rPr>
        <w:t xml:space="preserve">(aggregate deemed price of </w:t>
      </w:r>
      <w:r w:rsidR="00966A65">
        <w:rPr>
          <w:rFonts w:ascii="Arial" w:hAnsi="Arial"/>
          <w:u w:val="single"/>
        </w:rPr>
        <w:t>19,135,000 common shares</w:t>
      </w:r>
      <w:r w:rsidR="00166CB3">
        <w:rPr>
          <w:rFonts w:ascii="Arial" w:hAnsi="Arial"/>
          <w:u w:val="single"/>
        </w:rPr>
        <w:t>)</w:t>
      </w:r>
      <w:r w:rsidRPr="00D011AF" w:rsidR="00166CB3">
        <w:rPr>
          <w:rFonts w:ascii="Arial" w:hAnsi="Arial"/>
          <w:u w:val="single"/>
        </w:rPr>
        <w:t>.</w:t>
      </w:r>
    </w:p>
    <w:p w:rsidR="00EA4133" w:rsidRPr="008E3108">
      <w:pPr>
        <w:pStyle w:val="BodyText"/>
        <w:tabs>
          <w:tab w:val="left" w:pos="1080"/>
          <w:tab w:val="left" w:pos="9180"/>
        </w:tabs>
        <w:ind w:left="1080" w:hanging="1080"/>
        <w:rPr>
          <w:rFonts w:ascii="Arial" w:hAnsi="Arial"/>
          <w:color w:val="auto"/>
          <w:shd w:val="clear" w:color="auto" w:fill="auto"/>
        </w:rPr>
      </w:pPr>
      <w:r w:rsidRPr="008E3108">
        <w:rPr>
          <w:rFonts w:ascii="Arial" w:hAnsi="Arial"/>
        </w:rPr>
        <w:t>2.</w:t>
      </w:r>
      <w:r w:rsidRPr="008E3108">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8E3108" w:rsidR="00166CB3">
        <w:rPr>
          <w:rFonts w:ascii="Arial" w:hAnsi="Arial"/>
          <w:u w:val="single"/>
        </w:rPr>
        <w:t xml:space="preserve">The </w:t>
      </w:r>
      <w:r w:rsidR="00966A65">
        <w:rPr>
          <w:rFonts w:ascii="Arial" w:hAnsi="Arial"/>
          <w:u w:val="single"/>
        </w:rPr>
        <w:t xml:space="preserve">common shares </w:t>
      </w:r>
      <w:r w:rsidRPr="008E3108" w:rsidR="00166CB3">
        <w:rPr>
          <w:rFonts w:ascii="Arial" w:hAnsi="Arial"/>
          <w:u w:val="single"/>
        </w:rPr>
        <w:t>will be issued to settle certa</w:t>
      </w:r>
      <w:r w:rsidRPr="008E3108" w:rsidR="009C0B84">
        <w:rPr>
          <w:rFonts w:ascii="Arial" w:hAnsi="Arial"/>
          <w:u w:val="single"/>
        </w:rPr>
        <w:t>in debt owed to</w:t>
      </w:r>
      <w:r w:rsidR="008F3801">
        <w:rPr>
          <w:rFonts w:ascii="Arial" w:hAnsi="Arial"/>
          <w:u w:val="single"/>
        </w:rPr>
        <w:t xml:space="preserve"> </w:t>
      </w:r>
      <w:r w:rsidR="00966A65">
        <w:rPr>
          <w:rFonts w:ascii="Arial" w:hAnsi="Arial"/>
          <w:u w:val="single"/>
        </w:rPr>
        <w:t>a c</w:t>
      </w:r>
      <w:r w:rsidRPr="008E3108" w:rsidR="00166CB3">
        <w:rPr>
          <w:rFonts w:ascii="Arial" w:hAnsi="Arial"/>
          <w:u w:val="single"/>
        </w:rPr>
        <w:t xml:space="preserve">reditor of the Issuer. </w:t>
      </w:r>
    </w:p>
    <w:p w:rsidR="00EA4133" w:rsidRPr="008E3108" w:rsidP="008E3108">
      <w:pPr>
        <w:pStyle w:val="BodyText"/>
        <w:numPr>
          <w:ilvl w:val="0"/>
          <w:numId w:val="10"/>
        </w:numPr>
        <w:tabs>
          <w:tab w:val="left" w:pos="9180"/>
        </w:tabs>
        <w:jc w:val="both"/>
        <w:rPr>
          <w:rFonts w:ascii="Arial" w:hAnsi="Arial"/>
          <w:color w:val="auto"/>
          <w:shd w:val="clear" w:color="auto" w:fill="auto"/>
        </w:rPr>
      </w:pPr>
      <w:r w:rsidRPr="008E3108">
        <w:rPr>
          <w:rFonts w:ascii="Arial" w:hAnsi="Arial"/>
        </w:rPr>
        <w:t xml:space="preserve">Provide particulars of any proceeds which are to be paid to Related Persons of the Issuer: </w:t>
      </w:r>
      <w:r w:rsidR="00966A65">
        <w:rPr>
          <w:rFonts w:ascii="Arial" w:hAnsi="Arial"/>
          <w:u w:val="single"/>
        </w:rPr>
        <w:t>N/A</w:t>
      </w:r>
    </w:p>
    <w:p w:rsidR="00EA4133" w:rsidRPr="00DE3AA6">
      <w:pPr>
        <w:pStyle w:val="BodyText"/>
        <w:numPr>
          <w:ilvl w:val="0"/>
          <w:numId w:val="10"/>
        </w:numPr>
        <w:tabs>
          <w:tab w:val="left" w:pos="9180"/>
        </w:tabs>
        <w:rPr>
          <w:rFonts w:ascii="Arial" w:hAnsi="Arial"/>
          <w:color w:val="auto"/>
          <w:shd w:val="clear" w:color="auto" w:fill="auto"/>
        </w:rPr>
      </w:pPr>
      <w:r w:rsidRPr="008E3108">
        <w:rPr>
          <w:rFonts w:ascii="Arial" w:hAnsi="Arial"/>
        </w:rPr>
        <w:t xml:space="preserve">If securities are issued in forgiveness of indebtedness, provide details </w:t>
      </w:r>
      <w:r w:rsidRPr="008E3108" w:rsidR="00CC2519">
        <w:rPr>
          <w:rFonts w:ascii="Arial" w:hAnsi="Arial"/>
        </w:rPr>
        <w:t>of</w:t>
      </w:r>
      <w:r w:rsidRPr="00DE3AA6" w:rsidR="00CC2519">
        <w:rPr>
          <w:rFonts w:ascii="Arial" w:hAnsi="Arial"/>
        </w:rPr>
        <w:t xml:space="preserve"> the </w:t>
      </w:r>
      <w:r w:rsidRPr="00DE3AA6">
        <w:rPr>
          <w:rFonts w:ascii="Arial" w:hAnsi="Arial"/>
        </w:rPr>
        <w:t>debt agreement(s) or and the agreement to exchange the debt for securities.</w:t>
      </w:r>
    </w:p>
    <w:p w:rsidR="00966A65" w:rsidP="0091519B">
      <w:pPr>
        <w:pStyle w:val="BodyText"/>
        <w:tabs>
          <w:tab w:val="left" w:pos="9180"/>
        </w:tabs>
        <w:ind w:left="1080"/>
        <w:jc w:val="both"/>
        <w:rPr>
          <w:rFonts w:ascii="Arial" w:hAnsi="Arial" w:cs="Arial"/>
          <w:color w:val="auto"/>
          <w:u w:val="single"/>
          <w:shd w:val="clear" w:color="auto" w:fill="auto"/>
        </w:rPr>
      </w:pPr>
      <w:r w:rsidRPr="00D011AF">
        <w:rPr>
          <w:rFonts w:ascii="Arial" w:hAnsi="Arial" w:cs="Arial"/>
          <w:u w:val="single"/>
        </w:rPr>
        <w:t>The Issuer</w:t>
      </w:r>
      <w:r>
        <w:rPr>
          <w:rFonts w:ascii="Arial" w:hAnsi="Arial" w:cs="Arial"/>
          <w:u w:val="single"/>
        </w:rPr>
        <w:t xml:space="preserve"> has entered into a </w:t>
      </w:r>
      <w:r w:rsidRPr="00966A65">
        <w:rPr>
          <w:rFonts w:ascii="Arial" w:hAnsi="Arial" w:cs="Arial"/>
          <w:u w:val="single"/>
        </w:rPr>
        <w:t>Debt Settlement Agreement dated May 13, 2023 (the “</w:t>
      </w:r>
      <w:r w:rsidRPr="00966A65">
        <w:rPr>
          <w:rFonts w:ascii="Arial" w:hAnsi="Arial" w:cs="Arial"/>
          <w:b/>
          <w:u w:val="single"/>
        </w:rPr>
        <w:t>Agreement</w:t>
      </w:r>
      <w:r w:rsidRPr="00966A65">
        <w:rPr>
          <w:rFonts w:ascii="Arial" w:hAnsi="Arial" w:cs="Arial"/>
          <w:u w:val="single"/>
        </w:rPr>
        <w:t>”) with Abbey Technology GmbH (the “</w:t>
      </w:r>
      <w:r w:rsidRPr="00966A65">
        <w:rPr>
          <w:rFonts w:ascii="Arial" w:hAnsi="Arial" w:cs="Arial"/>
          <w:b/>
          <w:u w:val="single"/>
        </w:rPr>
        <w:t>Creditor</w:t>
      </w:r>
      <w:r w:rsidRPr="00966A65">
        <w:rPr>
          <w:rFonts w:ascii="Arial" w:hAnsi="Arial" w:cs="Arial"/>
          <w:u w:val="single"/>
        </w:rPr>
        <w:t>”) to settle an aggregate of CAD$382,700 in debt (the “</w:t>
      </w:r>
      <w:r w:rsidRPr="00966A65">
        <w:rPr>
          <w:rFonts w:ascii="Arial" w:hAnsi="Arial" w:cs="Arial"/>
          <w:b/>
          <w:u w:val="single"/>
        </w:rPr>
        <w:t>Debt</w:t>
      </w:r>
      <w:r w:rsidRPr="00966A65">
        <w:rPr>
          <w:rFonts w:ascii="Arial" w:hAnsi="Arial" w:cs="Arial"/>
          <w:u w:val="single"/>
        </w:rPr>
        <w:t>”)</w:t>
      </w:r>
      <w:r>
        <w:rPr>
          <w:rFonts w:ascii="Arial" w:hAnsi="Arial" w:cs="Arial"/>
          <w:u w:val="single"/>
        </w:rPr>
        <w:t xml:space="preserve"> owed to the Creditor</w:t>
      </w:r>
      <w:r w:rsidRPr="00966A65">
        <w:rPr>
          <w:rFonts w:ascii="Arial" w:hAnsi="Arial" w:cs="Arial"/>
          <w:u w:val="single"/>
        </w:rPr>
        <w:t>. Pursuant to the terms and conditions of the Agreement, in settlement of the Debt the Company will issue the Creditor 19,135,000 common shares in the capital of the Company (the “</w:t>
      </w:r>
      <w:r w:rsidRPr="00966A65">
        <w:rPr>
          <w:rFonts w:ascii="Arial" w:hAnsi="Arial" w:cs="Arial"/>
          <w:b/>
          <w:u w:val="single"/>
        </w:rPr>
        <w:t>Settlement Shares</w:t>
      </w:r>
      <w:r w:rsidRPr="00966A65">
        <w:rPr>
          <w:rFonts w:ascii="Arial" w:hAnsi="Arial" w:cs="Arial"/>
          <w:u w:val="single"/>
        </w:rPr>
        <w:t>”) at a deemed price of $0.02 per Settlement Share</w:t>
      </w:r>
      <w:r>
        <w:t>.</w:t>
      </w:r>
    </w:p>
    <w:p w:rsidR="00EA4133">
      <w:pPr>
        <w:pStyle w:val="BodyText"/>
        <w:numPr>
          <w:ilvl w:val="0"/>
          <w:numId w:val="10"/>
        </w:numPr>
        <w:tabs>
          <w:tab w:val="left" w:pos="9180"/>
        </w:tabs>
        <w:rPr>
          <w:rFonts w:ascii="Arial" w:hAnsi="Arial"/>
          <w:color w:val="auto"/>
          <w:shd w:val="clear" w:color="auto" w:fill="auto"/>
        </w:rPr>
      </w:pPr>
      <w:r>
        <w:rPr>
          <w:rFonts w:ascii="Arial" w:hAnsi="Arial"/>
        </w:rPr>
        <w:t>Description of securities to be issued:</w:t>
      </w:r>
    </w:p>
    <w:p w:rsidR="00EA4133">
      <w:pPr>
        <w:pStyle w:val="BodyText"/>
        <w:keepNext/>
        <w:keepLines/>
        <w:tabs>
          <w:tab w:val="left" w:pos="1080"/>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Class </w:t>
      </w:r>
      <w:r w:rsidR="00966A65">
        <w:rPr>
          <w:rFonts w:ascii="Arial" w:hAnsi="Arial"/>
          <w:u w:val="single"/>
        </w:rPr>
        <w:t>Common shares</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(b)</w:t>
      </w:r>
      <w:r>
        <w:rPr>
          <w:rFonts w:ascii="Arial" w:hAnsi="Arial"/>
        </w:rPr>
        <w:tab/>
      </w:r>
      <w:r>
        <w:rPr>
          <w:rFonts w:ascii="Arial" w:hAnsi="Arial"/>
        </w:rPr>
        <w:tab/>
        <w:t xml:space="preserve">Number </w:t>
      </w:r>
      <w:r w:rsidR="00966A65">
        <w:rPr>
          <w:rFonts w:ascii="Arial" w:hAnsi="Arial"/>
          <w:u w:val="single"/>
        </w:rPr>
        <w:t>19,135,000</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(c)</w:t>
      </w:r>
      <w:r>
        <w:rPr>
          <w:rFonts w:ascii="Arial" w:hAnsi="Arial"/>
        </w:rPr>
        <w:tab/>
      </w:r>
      <w:r>
        <w:rPr>
          <w:rFonts w:ascii="Arial" w:hAnsi="Arial"/>
        </w:rPr>
        <w:tab/>
        <w:t xml:space="preserve">Price per security </w:t>
      </w:r>
      <w:r w:rsidRPr="00262B2E" w:rsidR="0091519B">
        <w:rPr>
          <w:rFonts w:ascii="Arial" w:hAnsi="Arial"/>
          <w:u w:val="single"/>
        </w:rPr>
        <w:t>$</w:t>
      </w:r>
      <w:r w:rsidR="00966A65">
        <w:rPr>
          <w:rFonts w:ascii="Arial" w:hAnsi="Arial"/>
          <w:u w:val="single"/>
        </w:rPr>
        <w:t>0.02</w:t>
      </w:r>
      <w:r w:rsidRPr="00262B2E" w:rsidR="00262B2E">
        <w:rPr>
          <w:rFonts w:ascii="Arial" w:hAnsi="Arial"/>
          <w:u w:val="single"/>
        </w:rPr>
        <w:t xml:space="preserve"> </w:t>
      </w:r>
      <w:r w:rsidRPr="00262B2E" w:rsidR="00575491">
        <w:rPr>
          <w:rFonts w:ascii="Arial" w:hAnsi="Arial"/>
          <w:u w:val="single"/>
        </w:rPr>
        <w:t>(deemed)</w:t>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(d)</w:t>
      </w:r>
      <w:r>
        <w:rPr>
          <w:rFonts w:ascii="Arial" w:hAnsi="Arial"/>
        </w:rPr>
        <w:tab/>
      </w:r>
      <w:r>
        <w:rPr>
          <w:rFonts w:ascii="Arial" w:hAnsi="Arial"/>
        </w:rPr>
        <w:tab/>
        <w:t xml:space="preserve">Voting rights </w:t>
      </w:r>
      <w:r w:rsidR="00575491">
        <w:rPr>
          <w:rFonts w:ascii="Arial" w:hAnsi="Arial"/>
          <w:u w:val="single"/>
        </w:rPr>
        <w:t>Each</w:t>
      </w:r>
      <w:r w:rsidR="00575491">
        <w:rPr>
          <w:rFonts w:ascii="Arial" w:hAnsi="Arial"/>
          <w:u w:val="single"/>
        </w:rPr>
        <w:t xml:space="preserve"> </w:t>
      </w:r>
      <w:r w:rsidR="00966A65">
        <w:rPr>
          <w:rFonts w:ascii="Arial" w:hAnsi="Arial"/>
          <w:u w:val="single"/>
        </w:rPr>
        <w:t>common s</w:t>
      </w:r>
      <w:r w:rsidR="003F03D5">
        <w:rPr>
          <w:rFonts w:ascii="Arial" w:hAnsi="Arial"/>
          <w:u w:val="single"/>
        </w:rPr>
        <w:t xml:space="preserve">hare </w:t>
      </w:r>
      <w:r w:rsidR="00575491">
        <w:rPr>
          <w:rFonts w:ascii="Arial" w:hAnsi="Arial"/>
          <w:u w:val="single"/>
        </w:rPr>
        <w:t>is entitled to one vote.</w:t>
      </w:r>
    </w:p>
    <w:p w:rsidR="00EA4133">
      <w:pPr>
        <w:pStyle w:val="BodyText"/>
        <w:numPr>
          <w:ilvl w:val="0"/>
          <w:numId w:val="10"/>
        </w:numPr>
        <w:tabs>
          <w:tab w:val="left" w:pos="1440"/>
          <w:tab w:val="left" w:pos="2160"/>
          <w:tab w:val="left" w:pos="9180"/>
        </w:tabs>
        <w:rPr>
          <w:rFonts w:ascii="Arial" w:hAnsi="Arial"/>
          <w:color w:val="auto"/>
          <w:shd w:val="clear" w:color="auto" w:fill="auto"/>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Pr="00966A65" w:rsidR="00966A65">
        <w:rPr>
          <w:rFonts w:ascii="Arial" w:hAnsi="Arial"/>
          <w:u w:val="single"/>
        </w:rPr>
        <w:t xml:space="preserve"> N/A</w:t>
      </w:r>
      <w:r w:rsidR="00966A65">
        <w:rPr>
          <w:rFonts w:ascii="Arial" w:hAnsi="Arial"/>
        </w:rPr>
        <w:t>.</w:t>
      </w:r>
      <w:r w:rsidR="00575491">
        <w:rPr>
          <w:rFonts w:ascii="Arial" w:hAnsi="Arial"/>
        </w:rPr>
        <w:t xml:space="preserve"> </w:t>
      </w:r>
      <w:r w:rsidR="00966A65">
        <w:rPr>
          <w:rFonts w:ascii="Arial" w:hAnsi="Arial"/>
        </w:rPr>
        <w:t xml:space="preserve"> </w:t>
      </w:r>
    </w:p>
    <w:p w:rsidR="00EA4133">
      <w:pPr>
        <w:pStyle w:val="List"/>
        <w:tabs>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Number </w:t>
      </w:r>
      <w:r w:rsidR="00966A65">
        <w:rPr>
          <w:rFonts w:ascii="Arial" w:hAnsi="Arial"/>
          <w:u w:val="single"/>
        </w:rPr>
        <w:t>____________________________________________</w:t>
      </w:r>
      <w:r w:rsidR="00966A65">
        <w:rPr>
          <w:rFonts w:ascii="Arial" w:hAnsi="Arial"/>
          <w:u w:val="single"/>
        </w:rPr>
        <w:t>_ .</w:t>
      </w:r>
    </w:p>
    <w:p w:rsidR="00EA4133">
      <w:pPr>
        <w:pStyle w:val="List"/>
        <w:numPr>
          <w:ilvl w:val="0"/>
          <w:numId w:val="11"/>
        </w:numPr>
        <w:tabs>
          <w:tab w:val="left" w:pos="1080"/>
          <w:tab w:val="left" w:pos="1440"/>
          <w:tab w:val="left" w:pos="9180"/>
        </w:tabs>
        <w:rPr>
          <w:rFonts w:ascii="Arial" w:hAnsi="Arial"/>
          <w:color w:val="auto"/>
          <w:u w:val="single"/>
          <w:shd w:val="clear" w:color="auto" w:fill="auto"/>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966A65">
        <w:rPr>
          <w:rFonts w:ascii="Arial" w:hAnsi="Arial"/>
          <w:u w:val="single"/>
        </w:rPr>
        <w:t>____________________________________</w:t>
      </w:r>
    </w:p>
    <w:p w:rsidR="00EA4133">
      <w:pPr>
        <w:pStyle w:val="List"/>
        <w:tabs>
          <w:tab w:val="left" w:pos="1080"/>
          <w:tab w:val="left" w:pos="1440"/>
          <w:tab w:val="left" w:pos="2160"/>
          <w:tab w:val="left" w:pos="9180"/>
        </w:tabs>
        <w:ind w:left="0" w:firstLine="0"/>
        <w:rPr>
          <w:rFonts w:ascii="Arial" w:hAnsi="Arial"/>
          <w:color w:val="auto"/>
          <w:shd w:val="clear" w:color="auto" w:fill="auto"/>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pPr>
        <w:pStyle w:val="List"/>
        <w:tabs>
          <w:tab w:val="left" w:pos="1440"/>
          <w:tab w:val="left" w:pos="2160"/>
          <w:tab w:val="left" w:pos="9180"/>
        </w:tabs>
        <w:rPr>
          <w:rFonts w:ascii="Arial" w:hAnsi="Arial"/>
          <w:color w:val="auto"/>
          <w:shd w:val="clear" w:color="auto" w:fill="auto"/>
        </w:rPr>
      </w:pPr>
      <w:r>
        <w:rPr>
          <w:rFonts w:ascii="Arial" w:hAnsi="Arial"/>
        </w:rPr>
        <w:tab/>
        <w:t>(c)</w:t>
      </w:r>
      <w:r>
        <w:rPr>
          <w:rFonts w:ascii="Arial" w:hAnsi="Arial"/>
        </w:rPr>
        <w:tab/>
      </w:r>
      <w:r>
        <w:rPr>
          <w:rFonts w:ascii="Arial" w:hAnsi="Arial"/>
        </w:rPr>
        <w:tab/>
        <w:t>Exercise price</w:t>
      </w:r>
      <w:r w:rsidR="00D011AF">
        <w:rPr>
          <w:rFonts w:ascii="Arial" w:hAnsi="Arial"/>
        </w:rPr>
        <w:t xml:space="preserve"> </w:t>
      </w:r>
      <w:r>
        <w:rPr>
          <w:rFonts w:ascii="Arial" w:hAnsi="Arial"/>
          <w:u w:val="single"/>
        </w:rPr>
        <w:tab/>
      </w:r>
      <w:r>
        <w:rPr>
          <w:rFonts w:ascii="Arial" w:hAnsi="Arial"/>
        </w:rPr>
        <w:t xml:space="preserve"> .</w:t>
      </w:r>
    </w:p>
    <w:p w:rsidR="00EA4133" w:rsidRPr="00D011AF">
      <w:pPr>
        <w:pStyle w:val="List"/>
        <w:tabs>
          <w:tab w:val="left" w:pos="1440"/>
          <w:tab w:val="left" w:pos="2160"/>
          <w:tab w:val="left" w:pos="3600"/>
          <w:tab w:val="left" w:pos="5040"/>
          <w:tab w:val="left" w:pos="7560"/>
          <w:tab w:val="left" w:pos="9180"/>
        </w:tabs>
        <w:rPr>
          <w:rFonts w:ascii="Arial" w:hAnsi="Arial"/>
          <w:color w:val="auto"/>
          <w:shd w:val="clear" w:color="auto" w:fill="auto"/>
        </w:rPr>
      </w:pPr>
      <w:r>
        <w:rPr>
          <w:rFonts w:ascii="Arial" w:hAnsi="Arial"/>
        </w:rPr>
        <w:tab/>
        <w:t xml:space="preserve">(d) </w:t>
      </w:r>
      <w:r>
        <w:rPr>
          <w:rFonts w:ascii="Arial" w:hAnsi="Arial"/>
        </w:rPr>
        <w:tab/>
        <w:t>Expiry date</w:t>
      </w:r>
      <w:r w:rsidR="00966A65">
        <w:rPr>
          <w:rFonts w:ascii="Arial" w:hAnsi="Arial"/>
        </w:rPr>
        <w:tab/>
        <w:t>_________________________________________</w:t>
      </w:r>
      <w:r w:rsidR="00966A65">
        <w:rPr>
          <w:rFonts w:ascii="Arial" w:hAnsi="Arial"/>
        </w:rPr>
        <w:t>_ .</w:t>
      </w:r>
    </w:p>
    <w:p w:rsidR="00EA4133" w:rsidP="00575491">
      <w:pPr>
        <w:pStyle w:val="Heading2"/>
        <w:numPr>
          <w:ilvl w:val="0"/>
          <w:numId w:val="10"/>
        </w:numPr>
        <w:tabs>
          <w:tab w:val="left" w:pos="1440"/>
          <w:tab w:val="left" w:pos="2160"/>
        </w:tabs>
        <w:rPr>
          <w:b w:val="0"/>
          <w:color w:val="auto"/>
          <w:sz w:val="24"/>
          <w:shd w:val="clear" w:color="auto" w:fill="auto"/>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575491">
        <w:rPr>
          <w:b w:val="0"/>
          <w:sz w:val="24"/>
        </w:rPr>
        <w:t xml:space="preserve"> </w:t>
      </w:r>
      <w:r w:rsidRPr="00575491" w:rsidR="00575491">
        <w:rPr>
          <w:b w:val="0"/>
          <w:sz w:val="24"/>
          <w:u w:val="single"/>
        </w:rPr>
        <w:t>N/A</w:t>
      </w:r>
    </w:p>
    <w:p w:rsidR="00EA4133">
      <w:pPr>
        <w:pStyle w:val="List"/>
        <w:tabs>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pPr>
        <w:pStyle w:val="List"/>
        <w:tabs>
          <w:tab w:val="left" w:pos="1440"/>
          <w:tab w:val="left" w:pos="2160"/>
          <w:tab w:val="left" w:pos="9180"/>
        </w:tabs>
        <w:rPr>
          <w:rFonts w:ascii="Arial" w:hAnsi="Arial"/>
          <w:color w:val="auto"/>
          <w:shd w:val="clear" w:color="auto" w:fill="auto"/>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A00C54">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pPr>
        <w:pStyle w:val="List"/>
        <w:numPr>
          <w:ilvl w:val="0"/>
          <w:numId w:val="10"/>
        </w:numPr>
        <w:jc w:val="both"/>
        <w:rPr>
          <w:rFonts w:ascii="Arial" w:hAnsi="Arial"/>
          <w:color w:val="auto"/>
          <w:shd w:val="clear" w:color="auto" w:fill="auto"/>
        </w:rPr>
      </w:pPr>
      <w:r>
        <w:rPr>
          <w:rFonts w:ascii="Arial" w:hAnsi="Arial"/>
        </w:rPr>
        <w:t>Provide the following information for any agent’s fee, commission, bonus or finder’s fee, or other compensation paid or to be paid in connection with the placement (including warrants, options, etc.):</w:t>
      </w:r>
      <w:r w:rsidR="00575491">
        <w:rPr>
          <w:rFonts w:ascii="Arial" w:hAnsi="Arial"/>
        </w:rPr>
        <w:t xml:space="preserve"> </w:t>
      </w:r>
      <w:r w:rsidR="00575491">
        <w:rPr>
          <w:rFonts w:ascii="Arial" w:hAnsi="Arial"/>
          <w:u w:val="single"/>
        </w:rPr>
        <w:t>N/A</w:t>
      </w:r>
    </w:p>
    <w:p w:rsidR="00EA4133">
      <w:pPr>
        <w:pStyle w:val="List"/>
        <w:tabs>
          <w:tab w:val="left" w:pos="2160"/>
          <w:tab w:val="left" w:pos="9180"/>
        </w:tabs>
        <w:ind w:left="2160"/>
        <w:jc w:val="both"/>
        <w:rPr>
          <w:rFonts w:ascii="Arial" w:hAnsi="Arial"/>
          <w:color w:val="auto"/>
          <w:u w:val="single"/>
          <w:shd w:val="clear" w:color="auto" w:fill="auto"/>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pPr>
        <w:pStyle w:val="List"/>
        <w:tabs>
          <w:tab w:val="num" w:pos="1080"/>
          <w:tab w:val="left" w:pos="2160"/>
          <w:tab w:val="left" w:pos="9180"/>
        </w:tabs>
        <w:ind w:left="2160"/>
        <w:rPr>
          <w:rFonts w:ascii="Arial" w:hAnsi="Arial"/>
          <w:color w:val="auto"/>
          <w:shd w:val="clear" w:color="auto" w:fill="auto"/>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Pr="00575491" w:rsidP="00575491">
      <w:pPr>
        <w:pStyle w:val="List"/>
        <w:numPr>
          <w:ilvl w:val="0"/>
          <w:numId w:val="10"/>
        </w:numPr>
        <w:tabs>
          <w:tab w:val="left" w:pos="9180"/>
        </w:tabs>
        <w:jc w:val="both"/>
        <w:rPr>
          <w:rFonts w:ascii="Arial" w:hAnsi="Arial"/>
          <w:color w:val="auto"/>
          <w:shd w:val="clear" w:color="auto" w:fill="auto"/>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575491">
        <w:rPr>
          <w:rFonts w:ascii="Arial" w:hAnsi="Arial"/>
          <w:u w:val="single"/>
        </w:rPr>
        <w:t>N/</w:t>
      </w:r>
      <w:r w:rsidR="00575491">
        <w:rPr>
          <w:rFonts w:ascii="Arial" w:hAnsi="Arial"/>
          <w:u w:val="single"/>
        </w:rPr>
        <w:t>A</w:t>
      </w:r>
      <w:r>
        <w:rPr>
          <w:rFonts w:ascii="Arial" w:hAnsi="Arial"/>
        </w:rPr>
        <w:t xml:space="preserve"> .</w:t>
      </w:r>
    </w:p>
    <w:p w:rsidR="00EA4133">
      <w:pPr>
        <w:pStyle w:val="List"/>
        <w:numPr>
          <w:ilvl w:val="0"/>
          <w:numId w:val="10"/>
        </w:numPr>
        <w:rPr>
          <w:rFonts w:ascii="Arial" w:hAnsi="Arial"/>
          <w:color w:val="auto"/>
          <w:shd w:val="clear" w:color="auto" w:fill="auto"/>
        </w:rPr>
      </w:pPr>
      <w:r>
        <w:rPr>
          <w:rFonts w:ascii="Arial" w:hAnsi="Arial"/>
        </w:rPr>
        <w:t>Describe any unusual particulars of the transaction (i.e. tax “flow through” shares, etc.).</w:t>
      </w:r>
    </w:p>
    <w:p w:rsidR="00EA4133">
      <w:pPr>
        <w:pStyle w:val="List"/>
        <w:tabs>
          <w:tab w:val="left" w:pos="1080"/>
          <w:tab w:val="left" w:pos="9180"/>
        </w:tabs>
        <w:ind w:left="0" w:firstLine="0"/>
        <w:jc w:val="both"/>
        <w:rPr>
          <w:rFonts w:ascii="Arial" w:hAnsi="Arial"/>
          <w:color w:val="auto"/>
          <w:shd w:val="clear" w:color="auto" w:fill="auto"/>
        </w:rPr>
      </w:pPr>
      <w:r>
        <w:rPr>
          <w:rFonts w:ascii="Arial" w:hAnsi="Arial"/>
        </w:rPr>
        <w:tab/>
      </w:r>
      <w:r w:rsidR="00575491">
        <w:rPr>
          <w:rFonts w:ascii="Arial" w:hAnsi="Arial"/>
          <w:u w:val="single"/>
        </w:rPr>
        <w:t>N/A</w:t>
      </w:r>
      <w:r>
        <w:rPr>
          <w:rFonts w:ascii="Arial" w:hAnsi="Arial"/>
        </w:rPr>
        <w:t>.</w:t>
      </w:r>
    </w:p>
    <w:p w:rsidR="00EA4133">
      <w:pPr>
        <w:pStyle w:val="List"/>
        <w:numPr>
          <w:ilvl w:val="0"/>
          <w:numId w:val="10"/>
        </w:numPr>
        <w:rPr>
          <w:rFonts w:ascii="Arial" w:hAnsi="Arial"/>
          <w:color w:val="auto"/>
          <w:shd w:val="clear" w:color="auto" w:fill="auto"/>
        </w:rPr>
      </w:pPr>
      <w:r>
        <w:rPr>
          <w:rFonts w:ascii="Arial" w:hAnsi="Arial"/>
        </w:rPr>
        <w:t>State whether the private placement will result in a change of control.</w:t>
      </w:r>
    </w:p>
    <w:p w:rsidR="00EA4133" w:rsidP="00575491">
      <w:pPr>
        <w:pStyle w:val="List"/>
        <w:tabs>
          <w:tab w:val="left" w:pos="1080"/>
          <w:tab w:val="left" w:pos="9180"/>
        </w:tabs>
        <w:ind w:firstLine="0"/>
        <w:jc w:val="both"/>
        <w:rPr>
          <w:rFonts w:ascii="Arial" w:hAnsi="Arial"/>
          <w:color w:val="auto"/>
          <w:shd w:val="clear" w:color="auto" w:fill="auto"/>
        </w:rPr>
      </w:pPr>
      <w:r>
        <w:rPr>
          <w:rFonts w:ascii="Arial" w:hAnsi="Arial"/>
          <w:u w:val="single"/>
        </w:rPr>
        <w:t>No</w:t>
      </w:r>
      <w:r>
        <w:rPr>
          <w:rFonts w:ascii="Arial" w:hAnsi="Arial"/>
        </w:rPr>
        <w:t>.</w:t>
      </w:r>
    </w:p>
    <w:p w:rsidR="00EA4133">
      <w:pPr>
        <w:pStyle w:val="List"/>
        <w:tabs>
          <w:tab w:val="left" w:pos="9180"/>
        </w:tabs>
        <w:spacing w:before="0"/>
        <w:jc w:val="both"/>
        <w:rPr>
          <w:rFonts w:ascii="Arial" w:hAnsi="Arial"/>
          <w:color w:val="auto"/>
          <w:shd w:val="clear" w:color="auto" w:fill="auto"/>
        </w:rPr>
      </w:pPr>
    </w:p>
    <w:p w:rsidR="00EA4133" w:rsidRPr="00575491" w:rsidP="00575491">
      <w:pPr>
        <w:pStyle w:val="List"/>
        <w:numPr>
          <w:ilvl w:val="0"/>
          <w:numId w:val="10"/>
        </w:numPr>
        <w:tabs>
          <w:tab w:val="left" w:pos="9180"/>
        </w:tabs>
        <w:spacing w:before="0"/>
        <w:jc w:val="both"/>
        <w:rPr>
          <w:rFonts w:ascii="Arial" w:hAnsi="Arial"/>
          <w:color w:val="auto"/>
          <w:shd w:val="clear" w:color="auto" w:fill="auto"/>
        </w:rPr>
      </w:pPr>
      <w:r>
        <w:rPr>
          <w:rFonts w:ascii="Arial" w:hAnsi="Arial"/>
        </w:rPr>
        <w:t xml:space="preserve">Where there is a change in the control of the Issuer resulting from the issuance of the private placement shares, indicate the names of the new controlling shareholders.  </w:t>
      </w:r>
      <w:r w:rsidR="00575491">
        <w:rPr>
          <w:rFonts w:ascii="Arial" w:hAnsi="Arial"/>
          <w:u w:val="single"/>
        </w:rPr>
        <w:t>N/A</w:t>
      </w:r>
      <w:r>
        <w:rPr>
          <w:rFonts w:ascii="Arial" w:hAnsi="Arial"/>
        </w:rPr>
        <w:t>.</w:t>
      </w:r>
    </w:p>
    <w:p w:rsidR="00EA4133">
      <w:pPr>
        <w:pStyle w:val="List"/>
        <w:numPr>
          <w:ilvl w:val="0"/>
          <w:numId w:val="10"/>
        </w:numPr>
        <w:jc w:val="both"/>
        <w:rPr>
          <w:rFonts w:ascii="Arial" w:hAnsi="Arial"/>
          <w:color w:val="auto"/>
          <w:shd w:val="clear" w:color="auto" w:fill="auto"/>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Pr="00166CB3">
      <w:pPr>
        <w:rPr>
          <w:rFonts w:ascii="Arial" w:hAnsi="Arial"/>
          <w:color w:val="auto"/>
          <w:sz w:val="24"/>
          <w:u w:val="single"/>
          <w:shd w:val="clear" w:color="auto" w:fill="auto"/>
          <w:lang w:val="en-GB"/>
        </w:rPr>
      </w:pPr>
    </w:p>
    <w:p w:rsidR="00EE6F76" w:rsidRPr="00166CB3" w:rsidP="00EE6F76">
      <w:pPr>
        <w:ind w:left="1080"/>
        <w:rPr>
          <w:rFonts w:ascii="Arial" w:hAnsi="Arial"/>
          <w:color w:val="auto"/>
          <w:sz w:val="24"/>
          <w:u w:val="single"/>
          <w:shd w:val="clear" w:color="auto" w:fill="auto"/>
          <w:lang w:val="en-GB"/>
        </w:rPr>
      </w:pPr>
      <w:r w:rsidRPr="00166CB3">
        <w:rPr>
          <w:rFonts w:ascii="Arial" w:hAnsi="Arial"/>
          <w:sz w:val="24"/>
          <w:u w:val="single"/>
          <w:lang w:val="en-GB"/>
        </w:rPr>
        <w:t>Confirmed.</w:t>
      </w:r>
    </w:p>
    <w:p w:rsidR="00EA4133">
      <w:pPr>
        <w:pStyle w:val="BodyText"/>
        <w:tabs>
          <w:tab w:val="left" w:pos="1080"/>
          <w:tab w:val="left" w:pos="4230"/>
        </w:tabs>
        <w:rPr>
          <w:rFonts w:ascii="Arial" w:hAnsi="Arial"/>
          <w:color w:val="auto"/>
          <w:shd w:val="clear" w:color="auto" w:fill="auto"/>
        </w:rPr>
      </w:pPr>
      <w:r>
        <w:rPr>
          <w:rFonts w:ascii="Arial" w:hAnsi="Arial"/>
          <w:b/>
          <w:color w:val="000000"/>
        </w:rPr>
        <w:t xml:space="preserve">Part </w:t>
      </w:r>
      <w:r>
        <w:rPr>
          <w:rFonts w:ascii="Arial" w:hAnsi="Arial"/>
          <w:b/>
          <w:color w:val="000000"/>
        </w:rPr>
        <w:t>2.</w:t>
      </w:r>
      <w:r>
        <w:rPr>
          <w:rFonts w:ascii="Arial" w:hAnsi="Arial"/>
          <w:b/>
          <w:color w:val="000000"/>
        </w:rPr>
        <w:tab/>
        <w:t>Acquisition</w:t>
      </w:r>
      <w:r w:rsidR="00575491">
        <w:rPr>
          <w:rFonts w:ascii="Arial" w:hAnsi="Arial"/>
          <w:b/>
          <w:color w:val="000000"/>
        </w:rPr>
        <w:t xml:space="preserve"> </w:t>
      </w:r>
      <w:r w:rsidR="00575491">
        <w:rPr>
          <w:rFonts w:ascii="Arial" w:hAnsi="Arial"/>
          <w:u w:val="single"/>
        </w:rPr>
        <w:t>N/A</w:t>
      </w:r>
    </w:p>
    <w:p w:rsidR="00EA4133">
      <w:pPr>
        <w:pStyle w:val="List"/>
        <w:tabs>
          <w:tab w:val="left" w:pos="9180"/>
        </w:tabs>
        <w:spacing w:before="0"/>
        <w:ind w:left="0" w:firstLine="0"/>
        <w:jc w:val="both"/>
        <w:rPr>
          <w:rFonts w:ascii="Arial" w:hAnsi="Arial"/>
          <w:color w:val="auto"/>
          <w:shd w:val="clear" w:color="auto" w:fill="auto"/>
        </w:rPr>
      </w:pPr>
    </w:p>
    <w:p w:rsidR="00EA4133">
      <w:pPr>
        <w:pStyle w:val="List"/>
        <w:numPr>
          <w:ilvl w:val="0"/>
          <w:numId w:val="14"/>
        </w:numPr>
        <w:tabs>
          <w:tab w:val="clear" w:pos="360"/>
          <w:tab w:val="num" w:pos="1080"/>
          <w:tab w:val="left" w:pos="9180"/>
        </w:tabs>
        <w:spacing w:before="0"/>
        <w:ind w:left="1080" w:hanging="1080"/>
        <w:jc w:val="both"/>
        <w:rPr>
          <w:rFonts w:ascii="Arial" w:hAnsi="Arial"/>
          <w:color w:val="000000"/>
          <w:shd w:val="clear" w:color="auto" w:fill="auto"/>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pPr>
        <w:pStyle w:val="List"/>
        <w:tabs>
          <w:tab w:val="left" w:pos="1080"/>
          <w:tab w:val="left" w:pos="9180"/>
        </w:tabs>
        <w:spacing w:before="0"/>
        <w:ind w:left="0" w:firstLine="0"/>
        <w:jc w:val="both"/>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rPr>
        <w:t xml:space="preserve"> .</w:t>
      </w:r>
    </w:p>
    <w:p w:rsidR="00EA4133">
      <w:pPr>
        <w:pStyle w:val="List"/>
        <w:numPr>
          <w:ilvl w:val="0"/>
          <w:numId w:val="14"/>
        </w:numPr>
        <w:tabs>
          <w:tab w:val="clear" w:pos="360"/>
          <w:tab w:val="num" w:pos="1080"/>
          <w:tab w:val="left" w:pos="9180"/>
        </w:tabs>
        <w:ind w:left="1080" w:hanging="1080"/>
        <w:jc w:val="both"/>
        <w:rPr>
          <w:rFonts w:ascii="Arial" w:hAnsi="Arial"/>
          <w:color w:val="000000"/>
          <w:u w:val="single"/>
          <w:shd w:val="clear" w:color="auto" w:fill="auto"/>
        </w:rPr>
      </w:pPr>
      <w:r>
        <w:rPr>
          <w:rFonts w:ascii="Arial" w:hAnsi="Arial"/>
          <w:color w:val="000000"/>
        </w:rPr>
        <w:t>Provide details of the acquisition including the date, parties to and type of agreement (</w:t>
      </w:r>
      <w:r>
        <w:rPr>
          <w:rFonts w:ascii="Arial" w:hAnsi="Arial"/>
          <w:color w:val="000000"/>
        </w:rPr>
        <w:t>eg</w:t>
      </w:r>
      <w:r>
        <w:rPr>
          <w:rFonts w:ascii="Arial" w:hAnsi="Arial"/>
          <w:color w:val="000000"/>
        </w:rPr>
        <w:t>: sale, option, license etc.) and relationship to the Issuer.</w:t>
      </w:r>
      <w:r w:rsidR="0077197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pPr>
        <w:pStyle w:val="List"/>
        <w:tabs>
          <w:tab w:val="left" w:pos="1080"/>
          <w:tab w:val="left" w:pos="9180"/>
        </w:tabs>
        <w:spacing w:before="0"/>
        <w:ind w:left="0" w:firstLine="0"/>
        <w:jc w:val="both"/>
        <w:rPr>
          <w:rFonts w:ascii="Arial" w:hAnsi="Arial"/>
          <w:color w:val="000000"/>
          <w:shd w:val="clear" w:color="auto" w:fill="auto"/>
        </w:rPr>
      </w:pPr>
      <w:r>
        <w:rPr>
          <w:rFonts w:ascii="Arial" w:hAnsi="Arial"/>
          <w:color w:val="000000"/>
        </w:rPr>
        <w:tab/>
      </w:r>
      <w:r>
        <w:rPr>
          <w:rFonts w:ascii="Arial" w:hAnsi="Arial"/>
          <w:color w:val="000000"/>
          <w:u w:val="single"/>
        </w:rPr>
        <w:tab/>
      </w:r>
    </w:p>
    <w:p w:rsidR="00EA4133">
      <w:pPr>
        <w:pStyle w:val="List"/>
        <w:numPr>
          <w:ilvl w:val="0"/>
          <w:numId w:val="16"/>
        </w:numPr>
        <w:jc w:val="both"/>
        <w:rPr>
          <w:rFonts w:ascii="Arial" w:hAnsi="Arial"/>
          <w:color w:val="000000"/>
          <w:shd w:val="clear" w:color="auto" w:fill="auto"/>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pPr>
        <w:pStyle w:val="List"/>
        <w:numPr>
          <w:ilvl w:val="0"/>
          <w:numId w:val="13"/>
        </w:numPr>
        <w:tabs>
          <w:tab w:val="left" w:pos="9180"/>
        </w:tabs>
        <w:rPr>
          <w:rFonts w:ascii="Arial" w:hAnsi="Arial"/>
          <w:color w:val="000000"/>
          <w:shd w:val="clear" w:color="auto" w:fill="auto"/>
        </w:rPr>
      </w:pPr>
      <w:r>
        <w:rPr>
          <w:rFonts w:ascii="Arial" w:hAnsi="Arial"/>
          <w:color w:val="000000"/>
        </w:rPr>
        <w:t>Total aggregate consideration in Canadian dollars</w:t>
      </w:r>
      <w:r>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Cash</w:t>
      </w:r>
      <w:r>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 xml:space="preserve">Securities (including options, warrants etc.) and dollar value: </w:t>
      </w:r>
      <w:r>
        <w:rPr>
          <w:rFonts w:ascii="Arial" w:hAnsi="Arial"/>
          <w:color w:val="000000"/>
          <w:u w:val="single"/>
        </w:rPr>
        <w:tab/>
      </w:r>
    </w:p>
    <w:p w:rsidR="00EA4133">
      <w:pPr>
        <w:pStyle w:val="List"/>
        <w:tabs>
          <w:tab w:val="left" w:pos="1080"/>
          <w:tab w:val="left" w:pos="2160"/>
          <w:tab w:val="left" w:pos="9180"/>
        </w:tabs>
        <w:spacing w:before="0"/>
        <w:ind w:left="0" w:firstLine="0"/>
        <w:rPr>
          <w:rFonts w:ascii="Arial" w:hAnsi="Arial"/>
          <w:color w:val="000000"/>
          <w:shd w:val="clear" w:color="auto" w:fill="auto"/>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Other</w:t>
      </w:r>
      <w:r>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Expiry date of options, warrants, etc. if any</w:t>
      </w:r>
      <w:r>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Exercise price of options, warrants, etc. if any</w:t>
      </w:r>
      <w:r>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Work commitments</w:t>
      </w:r>
      <w:r>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pPr>
        <w:pStyle w:val="List"/>
        <w:numPr>
          <w:ilvl w:val="0"/>
          <w:numId w:val="16"/>
        </w:numPr>
        <w:tabs>
          <w:tab w:val="left" w:pos="9180"/>
        </w:tabs>
        <w:rPr>
          <w:rFonts w:ascii="Arial" w:hAnsi="Arial"/>
          <w:color w:val="000000"/>
          <w:shd w:val="clear" w:color="auto" w:fill="auto"/>
        </w:rPr>
      </w:pPr>
      <w:r>
        <w:rPr>
          <w:rFonts w:ascii="Arial" w:hAnsi="Arial"/>
          <w:color w:val="000000"/>
        </w:rPr>
        <w:t xml:space="preserve">State how the purchase or sale price was determined (e.g. arm’s-length negotiation, independent committee of the Board, third party valuation </w:t>
      </w:r>
      <w:r>
        <w:rPr>
          <w:rFonts w:ascii="Arial" w:hAnsi="Arial"/>
          <w:color w:val="000000"/>
        </w:rPr>
        <w:t>etc</w:t>
      </w:r>
      <w:r>
        <w:rPr>
          <w:rFonts w:ascii="Arial" w:hAnsi="Arial"/>
          <w:color w:val="000000"/>
        </w:rPr>
        <w:t>).</w:t>
      </w:r>
    </w:p>
    <w:p w:rsidR="00EA4133">
      <w:pPr>
        <w:pStyle w:val="List"/>
        <w:numPr>
          <w:ilvl w:val="0"/>
          <w:numId w:val="16"/>
        </w:numPr>
        <w:tabs>
          <w:tab w:val="left" w:pos="9180"/>
        </w:tabs>
        <w:rPr>
          <w:rFonts w:ascii="Arial" w:hAnsi="Arial"/>
          <w:color w:val="000000"/>
          <w:shd w:val="clear" w:color="auto" w:fill="auto"/>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pPr>
        <w:pStyle w:val="List"/>
        <w:tabs>
          <w:tab w:val="left" w:pos="1080"/>
          <w:tab w:val="left" w:pos="2160"/>
          <w:tab w:val="left" w:pos="9180"/>
        </w:tabs>
        <w:spacing w:before="0"/>
        <w:ind w:left="0" w:firstLine="0"/>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pPr>
        <w:pStyle w:val="List"/>
        <w:numPr>
          <w:ilvl w:val="0"/>
          <w:numId w:val="16"/>
        </w:numPr>
        <w:jc w:val="both"/>
        <w:rPr>
          <w:rFonts w:ascii="Arial" w:hAnsi="Arial"/>
          <w:color w:val="000000"/>
          <w:shd w:val="clear" w:color="auto" w:fill="auto"/>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tblPrEx>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c>
          <w:tcPr>
            <w:tcW w:w="1440" w:type="dxa"/>
          </w:tcPr>
          <w:p w:rsidR="00EA4133" w:rsidP="006F6C5D">
            <w:pPr>
              <w:pStyle w:val="BodyText"/>
              <w:spacing w:before="0" w:line="280" w:lineRule="exact"/>
              <w:jc w:val="center"/>
              <w:rPr>
                <w:rFonts w:ascii="Arial" w:hAnsi="Arial"/>
                <w:b/>
                <w:color w:val="000000"/>
                <w:sz w:val="20"/>
                <w:shd w:val="clear" w:color="auto" w:fill="auto"/>
                <w:lang w:val="en-CA"/>
              </w:rPr>
            </w:pPr>
          </w:p>
          <w:p w:rsidR="00EA4133" w:rsidP="006F6C5D">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 xml:space="preserve">Name of Party (If not an individual, </w:t>
            </w:r>
            <w:r>
              <w:rPr>
                <w:rFonts w:ascii="Arial" w:hAnsi="Arial"/>
                <w:b/>
                <w:sz w:val="20"/>
                <w:lang w:val="en-CA"/>
              </w:rPr>
              <w:t>name all insiders of the Party)</w:t>
            </w:r>
          </w:p>
        </w:tc>
        <w:tc>
          <w:tcPr>
            <w:tcW w:w="1260" w:type="dxa"/>
          </w:tcPr>
          <w:p w:rsidR="00EA4133" w:rsidP="006F6C5D">
            <w:pPr>
              <w:pStyle w:val="BodyText"/>
              <w:spacing w:before="0" w:line="280" w:lineRule="exact"/>
              <w:jc w:val="center"/>
              <w:rPr>
                <w:rFonts w:ascii="Arial" w:hAnsi="Arial"/>
                <w:b/>
                <w:color w:val="auto"/>
                <w:sz w:val="20"/>
                <w:shd w:val="clear" w:color="auto" w:fill="auto"/>
                <w:lang w:val="en-CA"/>
              </w:rPr>
            </w:pPr>
          </w:p>
          <w:p w:rsidR="00EA4133" w:rsidP="006F6C5D">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 xml:space="preserve">Number and Type of Securities </w:t>
            </w:r>
            <w:r>
              <w:rPr>
                <w:rFonts w:ascii="Arial" w:hAnsi="Arial"/>
                <w:b/>
                <w:sz w:val="20"/>
                <w:lang w:val="en-CA"/>
              </w:rPr>
              <w:t>to be Issued</w:t>
            </w:r>
          </w:p>
        </w:tc>
        <w:tc>
          <w:tcPr>
            <w:tcW w:w="1260" w:type="dxa"/>
          </w:tcPr>
          <w:p w:rsidR="00EA4133" w:rsidP="006F6C5D">
            <w:pPr>
              <w:pStyle w:val="BodyText"/>
              <w:spacing w:before="0" w:line="280" w:lineRule="exact"/>
              <w:jc w:val="center"/>
              <w:rPr>
                <w:rFonts w:ascii="Arial" w:hAnsi="Arial"/>
                <w:b/>
                <w:color w:val="auto"/>
                <w:sz w:val="20"/>
                <w:shd w:val="clear" w:color="auto" w:fill="auto"/>
                <w:lang w:val="en-CA"/>
              </w:rPr>
            </w:pPr>
          </w:p>
          <w:p w:rsidR="00EA4133" w:rsidP="006F6C5D">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Dollar value per Security (CDN$)</w:t>
            </w:r>
          </w:p>
        </w:tc>
        <w:tc>
          <w:tcPr>
            <w:tcW w:w="1440" w:type="dxa"/>
          </w:tcPr>
          <w:p w:rsidR="00EA4133" w:rsidP="006F6C5D">
            <w:pPr>
              <w:pStyle w:val="BodyText"/>
              <w:spacing w:before="0" w:line="280" w:lineRule="exact"/>
              <w:jc w:val="center"/>
              <w:rPr>
                <w:rFonts w:ascii="Arial" w:hAnsi="Arial"/>
                <w:b/>
                <w:color w:val="auto"/>
                <w:sz w:val="20"/>
                <w:shd w:val="clear" w:color="auto" w:fill="auto"/>
                <w:lang w:val="en-CA"/>
              </w:rPr>
            </w:pPr>
          </w:p>
          <w:p w:rsidR="00EA4133" w:rsidP="006F6C5D">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Conversion price (if applicable)</w:t>
            </w:r>
          </w:p>
        </w:tc>
        <w:tc>
          <w:tcPr>
            <w:tcW w:w="1440" w:type="dxa"/>
          </w:tcPr>
          <w:p w:rsidR="00EA4133" w:rsidP="006F6C5D">
            <w:pPr>
              <w:pStyle w:val="BodyText"/>
              <w:spacing w:before="0" w:line="280" w:lineRule="exact"/>
              <w:jc w:val="center"/>
              <w:rPr>
                <w:rFonts w:ascii="Arial" w:hAnsi="Arial"/>
                <w:b/>
                <w:color w:val="auto"/>
                <w:sz w:val="20"/>
                <w:shd w:val="clear" w:color="auto" w:fill="auto"/>
                <w:lang w:val="en-CA"/>
              </w:rPr>
            </w:pPr>
          </w:p>
          <w:p w:rsidR="00EA4133" w:rsidP="006F6C5D">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Prospectus Exemption</w:t>
            </w:r>
          </w:p>
        </w:tc>
        <w:tc>
          <w:tcPr>
            <w:tcW w:w="1620" w:type="dxa"/>
          </w:tcPr>
          <w:p w:rsidR="00EA4133" w:rsidP="006F6C5D">
            <w:pPr>
              <w:pStyle w:val="BodyText"/>
              <w:spacing w:before="0" w:line="280" w:lineRule="exact"/>
              <w:jc w:val="center"/>
              <w:rPr>
                <w:rFonts w:ascii="Arial" w:hAnsi="Arial"/>
                <w:b/>
                <w:color w:val="auto"/>
                <w:sz w:val="20"/>
                <w:shd w:val="clear" w:color="auto" w:fill="auto"/>
              </w:rPr>
            </w:pPr>
          </w:p>
          <w:p w:rsidR="00EA4133" w:rsidP="006F6C5D">
            <w:pPr>
              <w:pStyle w:val="BodyText"/>
              <w:spacing w:before="0" w:line="280" w:lineRule="exact"/>
              <w:jc w:val="center"/>
              <w:rPr>
                <w:rFonts w:ascii="Arial" w:hAnsi="Arial"/>
                <w:b/>
                <w:color w:val="auto"/>
                <w:sz w:val="20"/>
                <w:shd w:val="clear" w:color="auto" w:fill="auto"/>
                <w:lang w:val="en-CA"/>
              </w:rPr>
            </w:pPr>
            <w:r>
              <w:rPr>
                <w:rFonts w:ascii="Arial" w:hAnsi="Arial"/>
                <w:b/>
                <w:sz w:val="20"/>
              </w:rPr>
              <w:t>Total</w:t>
            </w:r>
            <w:r>
              <w:rPr>
                <w:rFonts w:ascii="Arial" w:hAnsi="Arial"/>
                <w:b/>
                <w:sz w:val="20"/>
              </w:rPr>
              <w:t xml:space="preserve"> Securities, </w:t>
            </w:r>
            <w:r>
              <w:rPr>
                <w:rFonts w:ascii="Arial" w:hAnsi="Arial"/>
                <w:b/>
                <w:sz w:val="20"/>
              </w:rPr>
              <w:t>Previously</w:t>
            </w:r>
            <w:r>
              <w:rPr>
                <w:rFonts w:ascii="Arial" w:hAnsi="Arial"/>
                <w:b/>
                <w:sz w:val="20"/>
              </w:rPr>
              <w:t xml:space="preserve"> Owned, </w:t>
            </w:r>
            <w:r>
              <w:rPr>
                <w:rFonts w:ascii="Arial" w:hAnsi="Arial"/>
                <w:b/>
                <w:sz w:val="20"/>
              </w:rPr>
              <w:t>Controlled or Directed by Party</w:t>
            </w:r>
          </w:p>
        </w:tc>
        <w:tc>
          <w:tcPr>
            <w:tcW w:w="1530" w:type="dxa"/>
          </w:tcPr>
          <w:p w:rsidR="00EA4133" w:rsidP="006F6C5D">
            <w:pPr>
              <w:pStyle w:val="BodyText"/>
              <w:spacing w:before="0" w:line="280" w:lineRule="exact"/>
              <w:jc w:val="center"/>
              <w:rPr>
                <w:rFonts w:ascii="Arial" w:hAnsi="Arial"/>
                <w:b/>
                <w:color w:val="auto"/>
                <w:sz w:val="20"/>
                <w:shd w:val="clear" w:color="auto" w:fill="auto"/>
                <w:lang w:val="en-CA"/>
              </w:rPr>
            </w:pPr>
          </w:p>
          <w:p w:rsidR="00EA4133" w:rsidP="006F6C5D">
            <w:pPr>
              <w:pStyle w:val="BodyText"/>
              <w:spacing w:before="0" w:line="280" w:lineRule="exact"/>
              <w:jc w:val="center"/>
              <w:rPr>
                <w:rFonts w:ascii="Arial" w:hAnsi="Arial"/>
                <w:b/>
                <w:color w:val="000000"/>
                <w:sz w:val="20"/>
                <w:shd w:val="clear" w:color="auto" w:fill="auto"/>
                <w:lang w:val="en-CA"/>
              </w:rPr>
            </w:pPr>
            <w:r>
              <w:rPr>
                <w:rFonts w:ascii="Arial" w:hAnsi="Arial"/>
                <w:b/>
                <w:color w:val="000000"/>
                <w:sz w:val="20"/>
                <w:lang w:val="en-CA"/>
              </w:rPr>
              <w:t xml:space="preserve">Describe relationship </w:t>
            </w:r>
          </w:p>
          <w:p w:rsidR="00EA4133" w:rsidP="006F6C5D">
            <w:pPr>
              <w:pStyle w:val="BodyText"/>
              <w:spacing w:before="0" w:line="280" w:lineRule="exact"/>
              <w:jc w:val="center"/>
              <w:rPr>
                <w:rFonts w:ascii="Arial" w:hAnsi="Arial"/>
                <w:b/>
                <w:color w:val="000000"/>
                <w:sz w:val="20"/>
                <w:shd w:val="clear" w:color="auto" w:fill="auto"/>
                <w:lang w:val="en-CA"/>
              </w:rPr>
            </w:pPr>
            <w:r>
              <w:rPr>
                <w:rFonts w:ascii="Arial" w:hAnsi="Arial"/>
                <w:b/>
                <w:color w:val="000000"/>
                <w:sz w:val="20"/>
                <w:lang w:val="en-CA"/>
              </w:rPr>
              <w:t>to Issuer</w:t>
            </w:r>
            <w:r>
              <w:rPr>
                <w:rFonts w:ascii="Arial" w:hAnsi="Arial"/>
                <w:b/>
                <w:color w:val="000000"/>
                <w:sz w:val="16"/>
                <w:vertAlign w:val="superscript"/>
                <w:lang w:val="en-CA"/>
              </w:rPr>
              <w:t>(1)</w:t>
            </w:r>
          </w:p>
        </w:tc>
      </w:tr>
      <w:tr>
        <w:tblPrEx>
          <w:tblW w:w="9990" w:type="dxa"/>
          <w:tblInd w:w="378" w:type="dxa"/>
          <w:tblLayout w:type="fixed"/>
          <w:tblLook w:val="0000"/>
        </w:tblPrEx>
        <w:trPr>
          <w:trHeight w:hRule="exact" w:val="280"/>
        </w:trPr>
        <w:tc>
          <w:tcPr>
            <w:tcW w:w="1440" w:type="dxa"/>
          </w:tcPr>
          <w:p w:rsidR="00EA4133" w:rsidP="006F6C5D">
            <w:pPr>
              <w:pStyle w:val="BodyText"/>
              <w:rPr>
                <w:rFonts w:ascii="Arial" w:hAnsi="Arial"/>
                <w:color w:val="000000"/>
                <w:shd w:val="clear" w:color="auto" w:fill="auto"/>
                <w:lang w:val="en-CA"/>
              </w:rPr>
            </w:pPr>
          </w:p>
        </w:tc>
        <w:tc>
          <w:tcPr>
            <w:tcW w:w="1260" w:type="dxa"/>
          </w:tcPr>
          <w:p w:rsidR="00EA4133" w:rsidP="006F6C5D">
            <w:pPr>
              <w:pStyle w:val="BodyText"/>
              <w:rPr>
                <w:rFonts w:ascii="Arial" w:hAnsi="Arial"/>
                <w:color w:val="000000"/>
                <w:shd w:val="clear" w:color="auto" w:fill="auto"/>
                <w:lang w:val="en-CA"/>
              </w:rPr>
            </w:pPr>
          </w:p>
        </w:tc>
        <w:tc>
          <w:tcPr>
            <w:tcW w:w="1260" w:type="dxa"/>
          </w:tcPr>
          <w:p w:rsidR="00EA4133" w:rsidP="006F6C5D">
            <w:pPr>
              <w:pStyle w:val="BodyText"/>
              <w:rPr>
                <w:rFonts w:ascii="Arial" w:hAnsi="Arial"/>
                <w:color w:val="000000"/>
                <w:shd w:val="clear" w:color="auto" w:fill="auto"/>
                <w:lang w:val="en-CA"/>
              </w:rPr>
            </w:pPr>
          </w:p>
        </w:tc>
        <w:tc>
          <w:tcPr>
            <w:tcW w:w="1440" w:type="dxa"/>
          </w:tcPr>
          <w:p w:rsidR="00EA4133" w:rsidP="006F6C5D">
            <w:pPr>
              <w:pStyle w:val="BodyText"/>
              <w:rPr>
                <w:rFonts w:ascii="Arial" w:hAnsi="Arial"/>
                <w:color w:val="000000"/>
                <w:shd w:val="clear" w:color="auto" w:fill="auto"/>
                <w:lang w:val="en-CA"/>
              </w:rPr>
            </w:pPr>
          </w:p>
        </w:tc>
        <w:tc>
          <w:tcPr>
            <w:tcW w:w="1440" w:type="dxa"/>
          </w:tcPr>
          <w:p w:rsidR="00EA4133" w:rsidP="006F6C5D">
            <w:pPr>
              <w:pStyle w:val="BodyText"/>
              <w:rPr>
                <w:rFonts w:ascii="Arial" w:hAnsi="Arial"/>
                <w:color w:val="000000"/>
                <w:shd w:val="clear" w:color="auto" w:fill="auto"/>
                <w:lang w:val="en-CA"/>
              </w:rPr>
            </w:pPr>
          </w:p>
        </w:tc>
        <w:tc>
          <w:tcPr>
            <w:tcW w:w="1620" w:type="dxa"/>
          </w:tcPr>
          <w:p w:rsidR="00EA4133" w:rsidP="006F6C5D">
            <w:pPr>
              <w:pStyle w:val="BodyText"/>
              <w:rPr>
                <w:rFonts w:ascii="Arial" w:hAnsi="Arial"/>
                <w:color w:val="000000"/>
                <w:shd w:val="clear" w:color="auto" w:fill="auto"/>
                <w:lang w:val="en-CA"/>
              </w:rPr>
            </w:pPr>
          </w:p>
        </w:tc>
        <w:tc>
          <w:tcPr>
            <w:tcW w:w="1530" w:type="dxa"/>
          </w:tcPr>
          <w:p w:rsidR="00EA4133" w:rsidP="006F6C5D">
            <w:pPr>
              <w:pStyle w:val="BodyText"/>
              <w:rPr>
                <w:rFonts w:ascii="Arial" w:hAnsi="Arial"/>
                <w:color w:val="000000"/>
                <w:shd w:val="clear" w:color="auto" w:fill="auto"/>
                <w:lang w:val="en-CA"/>
              </w:rPr>
            </w:pPr>
          </w:p>
        </w:tc>
      </w:tr>
      <w:tr>
        <w:tblPrEx>
          <w:tblW w:w="9990" w:type="dxa"/>
          <w:tblInd w:w="378" w:type="dxa"/>
          <w:tblLayout w:type="fixed"/>
          <w:tblLook w:val="0000"/>
        </w:tblPrEx>
        <w:trPr>
          <w:trHeight w:hRule="exact" w:val="320"/>
        </w:trPr>
        <w:tc>
          <w:tcPr>
            <w:tcW w:w="1440" w:type="dxa"/>
          </w:tcPr>
          <w:p w:rsidR="00EA4133" w:rsidP="006F6C5D">
            <w:pPr>
              <w:pStyle w:val="BodyText"/>
              <w:rPr>
                <w:rFonts w:ascii="Arial" w:hAnsi="Arial"/>
                <w:color w:val="000000"/>
                <w:shd w:val="clear" w:color="auto" w:fill="auto"/>
                <w:lang w:val="en-CA"/>
              </w:rPr>
            </w:pPr>
          </w:p>
        </w:tc>
        <w:tc>
          <w:tcPr>
            <w:tcW w:w="1260" w:type="dxa"/>
          </w:tcPr>
          <w:p w:rsidR="00EA4133" w:rsidP="006F6C5D">
            <w:pPr>
              <w:pStyle w:val="BodyText"/>
              <w:rPr>
                <w:rFonts w:ascii="Arial" w:hAnsi="Arial"/>
                <w:color w:val="000000"/>
                <w:shd w:val="clear" w:color="auto" w:fill="auto"/>
                <w:lang w:val="en-CA"/>
              </w:rPr>
            </w:pPr>
          </w:p>
        </w:tc>
        <w:tc>
          <w:tcPr>
            <w:tcW w:w="1260" w:type="dxa"/>
          </w:tcPr>
          <w:p w:rsidR="00EA4133" w:rsidP="006F6C5D">
            <w:pPr>
              <w:pStyle w:val="BodyText"/>
              <w:rPr>
                <w:rFonts w:ascii="Arial" w:hAnsi="Arial"/>
                <w:color w:val="000000"/>
                <w:shd w:val="clear" w:color="auto" w:fill="auto"/>
                <w:lang w:val="en-CA"/>
              </w:rPr>
            </w:pPr>
          </w:p>
        </w:tc>
        <w:tc>
          <w:tcPr>
            <w:tcW w:w="1440" w:type="dxa"/>
          </w:tcPr>
          <w:p w:rsidR="00EA4133" w:rsidP="006F6C5D">
            <w:pPr>
              <w:pStyle w:val="BodyText"/>
              <w:rPr>
                <w:rFonts w:ascii="Arial" w:hAnsi="Arial"/>
                <w:color w:val="000000"/>
                <w:shd w:val="clear" w:color="auto" w:fill="auto"/>
                <w:lang w:val="en-CA"/>
              </w:rPr>
            </w:pPr>
          </w:p>
        </w:tc>
        <w:tc>
          <w:tcPr>
            <w:tcW w:w="1440" w:type="dxa"/>
          </w:tcPr>
          <w:p w:rsidR="00EA4133" w:rsidP="006F6C5D">
            <w:pPr>
              <w:pStyle w:val="BodyText"/>
              <w:rPr>
                <w:rFonts w:ascii="Arial" w:hAnsi="Arial"/>
                <w:color w:val="000000"/>
                <w:shd w:val="clear" w:color="auto" w:fill="auto"/>
                <w:lang w:val="en-CA"/>
              </w:rPr>
            </w:pPr>
          </w:p>
        </w:tc>
        <w:tc>
          <w:tcPr>
            <w:tcW w:w="1620" w:type="dxa"/>
          </w:tcPr>
          <w:p w:rsidR="00EA4133" w:rsidP="006F6C5D">
            <w:pPr>
              <w:pStyle w:val="BodyText"/>
              <w:rPr>
                <w:rFonts w:ascii="Arial" w:hAnsi="Arial"/>
                <w:color w:val="000000"/>
                <w:shd w:val="clear" w:color="auto" w:fill="auto"/>
                <w:lang w:val="en-CA"/>
              </w:rPr>
            </w:pPr>
          </w:p>
        </w:tc>
        <w:tc>
          <w:tcPr>
            <w:tcW w:w="1530" w:type="dxa"/>
          </w:tcPr>
          <w:p w:rsidR="00EA4133" w:rsidP="006F6C5D">
            <w:pPr>
              <w:pStyle w:val="BodyText"/>
              <w:rPr>
                <w:rFonts w:ascii="Arial" w:hAnsi="Arial"/>
                <w:color w:val="000000"/>
                <w:shd w:val="clear" w:color="auto" w:fill="auto"/>
                <w:lang w:val="en-CA"/>
              </w:rPr>
            </w:pPr>
          </w:p>
        </w:tc>
      </w:tr>
    </w:tbl>
    <w:p w:rsidR="00EA4133" w:rsidP="009136E7">
      <w:pPr>
        <w:pStyle w:val="BodyText"/>
        <w:numPr>
          <w:ilvl w:val="0"/>
          <w:numId w:val="17"/>
        </w:numPr>
        <w:tabs>
          <w:tab w:val="num" w:pos="450"/>
          <w:tab w:val="clear" w:pos="720"/>
        </w:tabs>
        <w:ind w:left="360" w:hanging="180"/>
        <w:rPr>
          <w:rFonts w:ascii="Arial" w:hAnsi="Arial"/>
          <w:color w:val="auto"/>
          <w:sz w:val="20"/>
          <w:shd w:val="clear" w:color="auto" w:fill="auto"/>
        </w:rPr>
      </w:pPr>
      <w:r>
        <w:rPr>
          <w:rFonts w:ascii="Arial" w:hAnsi="Arial"/>
          <w:sz w:val="20"/>
        </w:rPr>
        <w:t>Indicate if Related Person</w:t>
      </w:r>
    </w:p>
    <w:p w:rsidR="00EA4133">
      <w:pPr>
        <w:pStyle w:val="List"/>
        <w:numPr>
          <w:ilvl w:val="0"/>
          <w:numId w:val="16"/>
        </w:numPr>
        <w:tabs>
          <w:tab w:val="left" w:pos="9180"/>
        </w:tabs>
        <w:jc w:val="both"/>
        <w:rPr>
          <w:rFonts w:ascii="Arial" w:hAnsi="Arial"/>
          <w:color w:val="000000"/>
          <w:u w:val="single"/>
          <w:shd w:val="clear" w:color="auto" w:fill="auto"/>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pPr>
        <w:pStyle w:val="List"/>
        <w:tabs>
          <w:tab w:val="left" w:pos="1080"/>
          <w:tab w:val="left" w:pos="9180"/>
        </w:tabs>
        <w:spacing w:before="0"/>
        <w:ind w:left="0" w:firstLine="0"/>
        <w:jc w:val="both"/>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rPr>
        <w:t xml:space="preserve"> . </w:t>
      </w:r>
    </w:p>
    <w:p w:rsidR="00EA4133">
      <w:pPr>
        <w:pStyle w:val="List"/>
        <w:numPr>
          <w:ilvl w:val="0"/>
          <w:numId w:val="16"/>
        </w:numPr>
        <w:jc w:val="both"/>
        <w:rPr>
          <w:rFonts w:ascii="Arial" w:hAnsi="Arial"/>
          <w:color w:val="auto"/>
          <w:shd w:val="clear" w:color="auto" w:fill="auto"/>
        </w:rPr>
      </w:pPr>
      <w:r>
        <w:rPr>
          <w:rFonts w:ascii="Arial" w:hAnsi="Arial"/>
        </w:rPr>
        <w:t>Provide the following information for any agent’s fee, commission, bonus or finder’s fee, or other compensation paid or to be paid in connection with the acquisition (including warrants, options, etc.):</w:t>
      </w:r>
    </w:p>
    <w:p w:rsidR="00EA4133">
      <w:pPr>
        <w:pStyle w:val="List"/>
        <w:tabs>
          <w:tab w:val="left" w:pos="2160"/>
          <w:tab w:val="left" w:pos="9180"/>
        </w:tabs>
        <w:ind w:left="2160"/>
        <w:jc w:val="both"/>
        <w:rPr>
          <w:rFonts w:ascii="Arial" w:hAnsi="Arial"/>
          <w:color w:val="auto"/>
          <w:u w:val="single"/>
          <w:shd w:val="clear" w:color="auto" w:fill="auto"/>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DA7ACD">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pPr>
        <w:pStyle w:val="List"/>
        <w:tabs>
          <w:tab w:val="left" w:pos="2160"/>
          <w:tab w:val="left" w:pos="9180"/>
        </w:tabs>
        <w:ind w:left="2160"/>
        <w:rPr>
          <w:rFonts w:ascii="Arial" w:hAnsi="Arial"/>
          <w:color w:val="auto"/>
          <w:shd w:val="clear" w:color="auto" w:fill="auto"/>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pPr>
        <w:pStyle w:val="List"/>
        <w:numPr>
          <w:ilvl w:val="0"/>
          <w:numId w:val="15"/>
        </w:numPr>
        <w:tabs>
          <w:tab w:val="left" w:pos="9180"/>
        </w:tabs>
        <w:rPr>
          <w:rFonts w:ascii="Arial" w:hAnsi="Arial"/>
          <w:color w:val="auto"/>
          <w:shd w:val="clear" w:color="auto" w:fill="auto"/>
        </w:rPr>
      </w:pPr>
      <w:r>
        <w:rPr>
          <w:rFonts w:ascii="Arial" w:hAnsi="Arial"/>
        </w:rPr>
        <w:t xml:space="preserve">Expiry date of any options, warrants etc. </w:t>
      </w:r>
      <w:r>
        <w:rPr>
          <w:rFonts w:ascii="Arial" w:hAnsi="Arial"/>
          <w:u w:val="single"/>
        </w:rPr>
        <w:tab/>
      </w:r>
    </w:p>
    <w:p w:rsidR="00EA4133" w:rsidRPr="00771F7F">
      <w:pPr>
        <w:pStyle w:val="List"/>
        <w:numPr>
          <w:ilvl w:val="0"/>
          <w:numId w:val="15"/>
        </w:numPr>
        <w:tabs>
          <w:tab w:val="left" w:pos="2160"/>
          <w:tab w:val="left" w:pos="9180"/>
        </w:tabs>
        <w:rPr>
          <w:rFonts w:ascii="Arial" w:hAnsi="Arial"/>
          <w:color w:val="auto"/>
          <w:shd w:val="clear" w:color="auto" w:fill="auto"/>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P="00CF2A90">
      <w:pPr>
        <w:pStyle w:val="List"/>
        <w:tabs>
          <w:tab w:val="left" w:pos="9180"/>
        </w:tabs>
        <w:ind w:left="0" w:firstLine="0"/>
        <w:rPr>
          <w:rFonts w:ascii="Arial" w:hAnsi="Arial"/>
          <w:color w:val="auto"/>
          <w:shd w:val="clear" w:color="auto" w:fill="auto"/>
        </w:rPr>
      </w:pPr>
    </w:p>
    <w:p w:rsidR="00EA4133">
      <w:pPr>
        <w:pStyle w:val="List"/>
        <w:numPr>
          <w:ilvl w:val="0"/>
          <w:numId w:val="16"/>
        </w:numPr>
        <w:tabs>
          <w:tab w:val="left" w:pos="9180"/>
        </w:tabs>
        <w:rPr>
          <w:rFonts w:ascii="Arial" w:hAnsi="Arial"/>
          <w:color w:val="000000"/>
          <w:shd w:val="clear" w:color="auto" w:fill="auto"/>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pPr>
        <w:pStyle w:val="List"/>
        <w:numPr>
          <w:ilvl w:val="0"/>
          <w:numId w:val="16"/>
        </w:numPr>
        <w:tabs>
          <w:tab w:val="left" w:pos="9180"/>
        </w:tabs>
        <w:jc w:val="both"/>
        <w:rPr>
          <w:rFonts w:ascii="Arial" w:hAnsi="Arial"/>
          <w:color w:val="000000"/>
          <w:shd w:val="clear" w:color="auto" w:fill="auto"/>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pPr>
        <w:pStyle w:val="List"/>
        <w:tabs>
          <w:tab w:val="left" w:pos="9180"/>
        </w:tabs>
        <w:spacing w:before="0"/>
        <w:jc w:val="both"/>
        <w:rPr>
          <w:rFonts w:ascii="Arial" w:hAnsi="Arial"/>
          <w:color w:val="000000"/>
          <w:shd w:val="clear" w:color="auto" w:fill="auto"/>
        </w:rPr>
      </w:pPr>
      <w:r>
        <w:rPr>
          <w:rFonts w:ascii="Arial" w:hAnsi="Arial"/>
          <w:color w:val="000000"/>
        </w:rPr>
        <w:tab/>
      </w:r>
      <w:r>
        <w:rPr>
          <w:rFonts w:ascii="Arial" w:hAnsi="Arial"/>
          <w:color w:val="000000"/>
          <w:u w:val="single"/>
        </w:rPr>
        <w:tab/>
      </w:r>
    </w:p>
    <w:p w:rsidR="00EA4133">
      <w:pPr>
        <w:pStyle w:val="List"/>
        <w:tabs>
          <w:tab w:val="left" w:pos="9180"/>
        </w:tabs>
        <w:spacing w:before="0"/>
        <w:jc w:val="both"/>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P="006A466B">
      <w:pPr>
        <w:rPr>
          <w:rFonts w:ascii="Arial" w:hAnsi="Arial"/>
          <w:color w:val="auto"/>
          <w:shd w:val="clear" w:color="auto" w:fill="auto"/>
        </w:rPr>
      </w:pPr>
      <w:r>
        <w:rPr>
          <w:rFonts w:ascii="Arial" w:hAnsi="Arial"/>
          <w:b/>
        </w:rPr>
        <w:br w:type="page"/>
      </w:r>
      <w:r>
        <w:rPr>
          <w:rFonts w:ascii="Arial" w:hAnsi="Arial"/>
          <w:b/>
        </w:rPr>
        <w:t xml:space="preserve">Certificate </w:t>
      </w:r>
      <w:r>
        <w:rPr>
          <w:rFonts w:ascii="Arial" w:hAnsi="Arial"/>
          <w:b/>
        </w:rPr>
        <w:t>Of</w:t>
      </w:r>
      <w:r>
        <w:rPr>
          <w:rFonts w:ascii="Arial" w:hAnsi="Arial"/>
          <w:b/>
        </w:rPr>
        <w:t xml:space="preserve"> Compliance</w:t>
      </w:r>
    </w:p>
    <w:p w:rsidR="00EA4133">
      <w:pPr>
        <w:pStyle w:val="BodyText"/>
        <w:rPr>
          <w:rFonts w:ascii="Arial" w:hAnsi="Arial"/>
          <w:color w:val="auto"/>
          <w:shd w:val="clear" w:color="auto" w:fill="auto"/>
        </w:rPr>
      </w:pPr>
      <w:r>
        <w:rPr>
          <w:rFonts w:ascii="Arial" w:hAnsi="Arial"/>
        </w:rPr>
        <w:t>The undersigned hereby certifies that:</w:t>
      </w:r>
    </w:p>
    <w:p w:rsidR="00EA4133">
      <w:pPr>
        <w:pStyle w:val="List"/>
        <w:jc w:val="both"/>
        <w:rPr>
          <w:rFonts w:ascii="Arial" w:hAnsi="Arial"/>
          <w:color w:val="auto"/>
          <w:shd w:val="clear" w:color="auto" w:fill="auto"/>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pPr>
        <w:pStyle w:val="List"/>
        <w:numPr>
          <w:ilvl w:val="0"/>
          <w:numId w:val="7"/>
        </w:numPr>
        <w:jc w:val="both"/>
        <w:rPr>
          <w:rFonts w:ascii="Arial" w:hAnsi="Arial"/>
          <w:color w:val="auto"/>
          <w:shd w:val="clear" w:color="auto" w:fill="auto"/>
        </w:rPr>
      </w:pPr>
      <w:r>
        <w:rPr>
          <w:rFonts w:ascii="Arial" w:hAnsi="Arial"/>
        </w:rPr>
        <w:t>As of the date hereof there is not material information concerning the Issuer which has not been publicly disclosed.</w:t>
      </w:r>
    </w:p>
    <w:p w:rsidR="002E4312" w:rsidP="002E4312">
      <w:pPr>
        <w:pStyle w:val="ListParagraph"/>
        <w:ind w:left="1080"/>
        <w:rPr>
          <w:rFonts w:ascii="Arial" w:hAnsi="Arial" w:cs="Arial"/>
          <w:color w:val="auto"/>
          <w:sz w:val="24"/>
          <w:szCs w:val="24"/>
          <w:shd w:val="clear" w:color="auto" w:fill="auto"/>
        </w:rPr>
      </w:pPr>
    </w:p>
    <w:p w:rsidR="00C500F0" w:rsidP="00C500F0">
      <w:pPr>
        <w:pStyle w:val="ListParagraph"/>
        <w:numPr>
          <w:ilvl w:val="0"/>
          <w:numId w:val="7"/>
        </w:numPr>
        <w:rPr>
          <w:rFonts w:ascii="Arial" w:hAnsi="Arial" w:cs="Arial"/>
          <w:color w:val="auto"/>
          <w:sz w:val="24"/>
          <w:szCs w:val="24"/>
          <w:shd w:val="clear" w:color="auto" w:fill="auto"/>
        </w:rPr>
      </w:pPr>
      <w:r>
        <w:rPr>
          <w:rFonts w:ascii="Arial" w:hAnsi="Arial" w:cs="Arial"/>
          <w:sz w:val="24"/>
          <w:szCs w:val="24"/>
        </w:rPr>
        <w:t>T</w:t>
      </w:r>
      <w:r w:rsidRPr="00C500F0">
        <w:rPr>
          <w:rFonts w:ascii="Arial" w:hAnsi="Arial" w:cs="Arial"/>
          <w:sz w:val="24"/>
          <w:szCs w:val="24"/>
        </w:rPr>
        <w:t>he Issuer has obtained the express written consent of each applicable individual to:</w:t>
      </w:r>
    </w:p>
    <w:p w:rsidR="00C500F0" w:rsidRPr="00C500F0" w:rsidP="00C500F0">
      <w:pPr>
        <w:pStyle w:val="ListParagraph"/>
        <w:rPr>
          <w:rFonts w:ascii="Arial" w:hAnsi="Arial" w:cs="Arial"/>
          <w:color w:val="auto"/>
          <w:sz w:val="24"/>
          <w:szCs w:val="24"/>
          <w:shd w:val="clear" w:color="auto" w:fill="auto"/>
        </w:rPr>
      </w:pPr>
    </w:p>
    <w:p w:rsidR="00C500F0" w:rsidRPr="00C500F0" w:rsidP="00C500F0">
      <w:pPr>
        <w:pStyle w:val="ListParagraph"/>
        <w:ind w:left="1440" w:hanging="360"/>
        <w:rPr>
          <w:rFonts w:ascii="Arial" w:hAnsi="Arial" w:cs="Arial"/>
          <w:color w:val="auto"/>
          <w:sz w:val="24"/>
          <w:szCs w:val="24"/>
          <w:shd w:val="clear" w:color="auto" w:fill="auto"/>
        </w:rPr>
      </w:pPr>
      <w:r w:rsidRPr="00C500F0">
        <w:rPr>
          <w:rFonts w:ascii="Arial" w:hAnsi="Arial" w:cs="Arial"/>
          <w:sz w:val="24"/>
          <w:szCs w:val="24"/>
        </w:rPr>
        <w:t>(a)</w:t>
      </w:r>
      <w:r w:rsidRPr="00C500F0">
        <w:rPr>
          <w:rFonts w:ascii="Arial" w:hAnsi="Arial" w:cs="Arial"/>
          <w:sz w:val="24"/>
          <w:szCs w:val="24"/>
        </w:rPr>
        <w:tab/>
      </w:r>
      <w:r w:rsidRPr="00C500F0">
        <w:rPr>
          <w:rFonts w:ascii="Arial" w:hAnsi="Arial" w:cs="Arial"/>
          <w:sz w:val="24"/>
          <w:szCs w:val="24"/>
        </w:rPr>
        <w:t>the</w:t>
      </w:r>
      <w:r w:rsidRPr="00C500F0">
        <w:rPr>
          <w:rFonts w:ascii="Arial" w:hAnsi="Arial" w:cs="Arial"/>
          <w:sz w:val="24"/>
          <w:szCs w:val="24"/>
        </w:rPr>
        <w:t xml:space="preserve"> disclosure of their information to the Exchange pursuant to this Form or otherwise pursuant to this filing; and</w:t>
      </w:r>
    </w:p>
    <w:p w:rsidR="00C500F0" w:rsidP="00C500F0">
      <w:pPr>
        <w:pStyle w:val="List"/>
        <w:ind w:left="1440" w:hanging="360"/>
        <w:jc w:val="both"/>
        <w:rPr>
          <w:rFonts w:ascii="Arial" w:hAnsi="Arial"/>
          <w:color w:val="auto"/>
          <w:shd w:val="clear" w:color="auto" w:fill="auto"/>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pPr>
        <w:pStyle w:val="List"/>
        <w:numPr>
          <w:ilvl w:val="0"/>
          <w:numId w:val="7"/>
        </w:numPr>
        <w:jc w:val="both"/>
        <w:rPr>
          <w:rFonts w:ascii="Arial" w:hAnsi="Arial"/>
          <w:color w:val="auto"/>
          <w:shd w:val="clear" w:color="auto" w:fill="auto"/>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pPr>
        <w:pStyle w:val="List"/>
        <w:numPr>
          <w:ilvl w:val="0"/>
          <w:numId w:val="7"/>
        </w:numPr>
        <w:jc w:val="both"/>
        <w:rPr>
          <w:rFonts w:ascii="Arial" w:hAnsi="Arial"/>
          <w:color w:val="auto"/>
          <w:shd w:val="clear" w:color="auto" w:fill="auto"/>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pPr>
        <w:pStyle w:val="BodyText"/>
        <w:tabs>
          <w:tab w:val="left" w:pos="4680"/>
          <w:tab w:val="left" w:pos="7200"/>
        </w:tabs>
        <w:spacing w:before="480"/>
        <w:jc w:val="both"/>
        <w:rPr>
          <w:rFonts w:ascii="Arial" w:hAnsi="Arial"/>
          <w:color w:val="auto"/>
          <w:shd w:val="clear" w:color="auto" w:fill="auto"/>
        </w:rPr>
      </w:pPr>
      <w:r w:rsidRPr="0077197D">
        <w:rPr>
          <w:rFonts w:ascii="Arial" w:hAnsi="Arial"/>
        </w:rPr>
        <w:t xml:space="preserve">Dated </w:t>
      </w:r>
      <w:r w:rsidRPr="0077197D" w:rsidR="00966A65">
        <w:rPr>
          <w:rFonts w:ascii="Arial" w:hAnsi="Arial"/>
          <w:u w:val="single"/>
        </w:rPr>
        <w:t xml:space="preserve">May </w:t>
      </w:r>
      <w:r w:rsidRPr="0077197D" w:rsidR="0077197D">
        <w:rPr>
          <w:rFonts w:ascii="Arial" w:hAnsi="Arial" w:cs="Arial"/>
          <w:u w:val="single"/>
        </w:rPr>
        <w:t>1</w:t>
      </w:r>
      <w:r w:rsidR="007B5911">
        <w:rPr>
          <w:rFonts w:ascii="Arial" w:hAnsi="Arial" w:cs="Arial"/>
          <w:u w:val="single"/>
        </w:rPr>
        <w:t>7</w:t>
      </w:r>
      <w:bookmarkStart w:id="4" w:name="_GoBack"/>
      <w:bookmarkEnd w:id="4"/>
      <w:r w:rsidRPr="0077197D" w:rsidR="00966A65">
        <w:rPr>
          <w:rFonts w:ascii="Arial" w:hAnsi="Arial"/>
          <w:u w:val="single"/>
        </w:rPr>
        <w:t>, 2023</w:t>
      </w:r>
      <w:r w:rsidRPr="0077197D">
        <w:rPr>
          <w:rFonts w:ascii="Arial" w:hAnsi="Arial"/>
        </w:rPr>
        <w:t>.</w:t>
      </w:r>
    </w:p>
    <w:p w:rsidR="00EA4133">
      <w:pPr>
        <w:pStyle w:val="List"/>
        <w:tabs>
          <w:tab w:val="left" w:pos="9180"/>
        </w:tabs>
        <w:ind w:left="5760" w:hanging="5760"/>
        <w:rPr>
          <w:rFonts w:ascii="Arial" w:hAnsi="Arial"/>
          <w:color w:val="auto"/>
          <w:shd w:val="clear" w:color="auto" w:fill="auto"/>
        </w:rPr>
      </w:pPr>
      <w:r>
        <w:rPr>
          <w:rFonts w:ascii="Arial" w:hAnsi="Arial"/>
        </w:rPr>
        <w:tab/>
      </w:r>
      <w:r w:rsidR="00966A65">
        <w:rPr>
          <w:rFonts w:ascii="Arial" w:hAnsi="Arial"/>
          <w:u w:val="single"/>
        </w:rPr>
        <w:t>Bradley Moore</w:t>
      </w:r>
      <w:r w:rsidR="009C0B84">
        <w:rPr>
          <w:rFonts w:ascii="Arial" w:hAnsi="Arial"/>
          <w:u w:val="single"/>
        </w:rPr>
        <w:tab/>
      </w:r>
      <w:r w:rsidR="00166CB3">
        <w:rPr>
          <w:rFonts w:ascii="Arial" w:hAnsi="Arial"/>
          <w:u w:val="single"/>
        </w:rPr>
        <w:t xml:space="preserve"> </w:t>
      </w:r>
      <w:r>
        <w:rPr>
          <w:rFonts w:ascii="Arial" w:hAnsi="Arial"/>
          <w:u w:val="single"/>
        </w:rPr>
        <w:tab/>
      </w:r>
      <w:r>
        <w:rPr>
          <w:rFonts w:ascii="Arial" w:hAnsi="Arial"/>
          <w:u w:val="single"/>
        </w:rPr>
        <w:br/>
      </w:r>
      <w:r>
        <w:rPr>
          <w:rFonts w:ascii="Arial" w:hAnsi="Arial"/>
        </w:rPr>
        <w:t>Name of Director or Senior Officer</w:t>
      </w:r>
    </w:p>
    <w:p w:rsidR="00EA4133">
      <w:pPr>
        <w:pStyle w:val="List"/>
        <w:tabs>
          <w:tab w:val="left" w:pos="9180"/>
          <w:tab w:val="left" w:pos="9360"/>
        </w:tabs>
        <w:ind w:left="5760" w:hanging="5760"/>
        <w:rPr>
          <w:rFonts w:ascii="Arial" w:hAnsi="Arial"/>
          <w:color w:val="auto"/>
          <w:shd w:val="clear" w:color="auto" w:fill="auto"/>
        </w:rPr>
      </w:pPr>
      <w:r>
        <w:rPr>
          <w:rFonts w:ascii="Arial" w:hAnsi="Arial"/>
        </w:rPr>
        <w:tab/>
      </w:r>
      <w:r>
        <w:rPr>
          <w:rFonts w:ascii="Arial" w:hAnsi="Arial"/>
          <w:u w:val="single"/>
        </w:rPr>
        <w:tab/>
      </w:r>
      <w:r>
        <w:rPr>
          <w:rFonts w:ascii="Arial" w:hAnsi="Arial"/>
        </w:rPr>
        <w:br/>
        <w:t>Signature</w:t>
      </w:r>
    </w:p>
    <w:p w:rsidR="00EA4133">
      <w:pPr>
        <w:pStyle w:val="List"/>
        <w:tabs>
          <w:tab w:val="left" w:pos="9180"/>
          <w:tab w:val="left" w:pos="9360"/>
        </w:tabs>
        <w:ind w:left="5760" w:hanging="5760"/>
        <w:rPr>
          <w:rFonts w:ascii="Arial" w:hAnsi="Arial"/>
          <w:color w:val="auto"/>
          <w:shd w:val="clear" w:color="auto" w:fill="auto"/>
        </w:rPr>
      </w:pPr>
      <w:r>
        <w:rPr>
          <w:rFonts w:ascii="Arial" w:hAnsi="Arial"/>
        </w:rPr>
        <w:tab/>
      </w:r>
      <w:r w:rsidR="009C0B84">
        <w:rPr>
          <w:rFonts w:ascii="Arial" w:hAnsi="Arial"/>
          <w:u w:val="single"/>
        </w:rPr>
        <w:t>CEO</w:t>
      </w:r>
      <w:r w:rsidR="009C0B84">
        <w:rPr>
          <w:rFonts w:ascii="Arial" w:hAnsi="Arial"/>
          <w:u w:val="single"/>
        </w:rPr>
        <w:tab/>
      </w:r>
      <w:r>
        <w:rPr>
          <w:rFonts w:ascii="Arial" w:hAnsi="Arial"/>
          <w:u w:val="single"/>
        </w:rPr>
        <w:tab/>
      </w:r>
      <w:r>
        <w:rPr>
          <w:rFonts w:ascii="Arial" w:hAnsi="Arial"/>
        </w:rPr>
        <w:br/>
        <w:t>Official Capacity</w:t>
      </w:r>
    </w:p>
    <w:p w:rsidR="00C500F0">
      <w:pPr>
        <w:pStyle w:val="List"/>
        <w:tabs>
          <w:tab w:val="left" w:pos="9180"/>
          <w:tab w:val="left" w:pos="9360"/>
        </w:tabs>
        <w:ind w:left="5760" w:hanging="5760"/>
        <w:rPr>
          <w:rFonts w:ascii="Arial" w:hAnsi="Arial"/>
          <w:color w:val="auto"/>
          <w:shd w:val="clear" w:color="auto" w:fill="auto"/>
        </w:rPr>
      </w:pPr>
    </w:p>
    <w:p w:rsidR="006F6C5D">
      <w:pPr>
        <w:rPr>
          <w:rFonts w:ascii="Arial" w:eastAsia="Calibri" w:hAnsi="Arial" w:cs="Arial"/>
          <w:b/>
          <w:color w:val="auto"/>
          <w:sz w:val="24"/>
          <w:szCs w:val="24"/>
          <w:shd w:val="clear" w:color="auto" w:fill="auto"/>
        </w:rPr>
      </w:pPr>
      <w:r>
        <w:rPr>
          <w:rFonts w:ascii="Arial" w:eastAsia="Calibri" w:hAnsi="Arial" w:cs="Arial"/>
          <w:b/>
          <w:sz w:val="24"/>
          <w:szCs w:val="24"/>
        </w:rPr>
        <w:br w:type="page"/>
      </w:r>
    </w:p>
    <w:p w:rsidR="00C500F0" w:rsidRPr="00C500F0" w:rsidP="00C500F0">
      <w:pPr>
        <w:spacing w:before="120"/>
        <w:ind w:left="720"/>
        <w:jc w:val="center"/>
        <w:rPr>
          <w:rFonts w:ascii="Arial" w:eastAsia="Calibri" w:hAnsi="Arial" w:cs="Arial"/>
          <w:b/>
          <w:color w:val="auto"/>
          <w:sz w:val="24"/>
          <w:szCs w:val="24"/>
          <w:shd w:val="clear" w:color="auto" w:fill="auto"/>
        </w:rPr>
      </w:pPr>
      <w:r w:rsidRPr="00C500F0">
        <w:rPr>
          <w:rFonts w:ascii="Arial" w:eastAsia="Calibri" w:hAnsi="Arial" w:cs="Arial"/>
          <w:b/>
          <w:sz w:val="24"/>
          <w:szCs w:val="24"/>
        </w:rPr>
        <w:t>Appendix A</w:t>
      </w:r>
    </w:p>
    <w:p w:rsidR="00C500F0" w:rsidRPr="00C500F0" w:rsidP="00C500F0">
      <w:pPr>
        <w:spacing w:before="120"/>
        <w:ind w:left="720"/>
        <w:jc w:val="center"/>
        <w:rPr>
          <w:rFonts w:ascii="Arial" w:eastAsia="Calibri" w:hAnsi="Arial" w:cs="Arial"/>
          <w:b/>
          <w:color w:val="auto"/>
          <w:sz w:val="24"/>
          <w:szCs w:val="24"/>
          <w:shd w:val="clear" w:color="auto" w:fill="auto"/>
        </w:rPr>
      </w:pPr>
      <w:r w:rsidRPr="00C500F0">
        <w:rPr>
          <w:rFonts w:ascii="Arial" w:eastAsia="Calibri" w:hAnsi="Arial" w:cs="Arial"/>
          <w:b/>
          <w:sz w:val="24"/>
          <w:szCs w:val="24"/>
        </w:rPr>
        <w:t>PERSONAL INFORMATION COLLECTION POLICY REGARDING FORM 9</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045DD7" w:rsidRPr="006A466B" w:rsidP="006A466B">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Sect="006A466B">
      <w:headerReference w:type="even" r:id="rId5"/>
      <w:headerReference w:type="default" r:id="rId6"/>
      <w:footerReference w:type="even" r:id="rId7"/>
      <w:footerReference w:type="default" r:id="rId8"/>
      <w:headerReference w:type="first" r:id="rId9"/>
      <w:footerReference w:type="first" r:id="rId10"/>
      <w:pgSz w:w="12240" w:h="15840" w:code="1"/>
      <w:pgMar w:top="1152" w:right="1440" w:bottom="1152" w:left="1440" w:header="720" w:footer="936"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D1" w:rsidP="008003B9">
    <w:pPr>
      <w:tabs>
        <w:tab w:val="center" w:pos="4674"/>
        <w:tab w:val="left" w:pos="8460"/>
      </w:tabs>
      <w:jc w:val="center"/>
      <w:rPr>
        <w:rStyle w:val="PageNumber"/>
        <w:rFonts w:ascii="Arial" w:hAnsi="Arial" w:cs="Arial"/>
        <w:b/>
        <w:color w:val="auto"/>
        <w:shd w:val="clear" w:color="auto" w:fill="auto"/>
      </w:rPr>
    </w:pPr>
    <w:r>
      <w:rPr>
        <w:b/>
        <w:noProof/>
        <w:lang w:val="en-CA" w:eastAsia="en-CA"/>
      </w:rPr>
      <w:pict>
        <v:line id="Line 3" o:spid="_x0000_s2049" style="flip:x;position:absolute;visibility:visible;z-index:251658240" from="4.05pt,-1.6pt" to="465.75pt,-1.6pt"/>
      </w:pict>
    </w:r>
    <w:r>
      <w:rPr>
        <w:rFonts w:ascii="Arial" w:hAnsi="Arial" w:cs="Arial"/>
        <w:b/>
      </w:rPr>
      <w:t>FORM 9 – NOTICE OF ISSUANCE OR PROPOSED ISSUANCE OF</w:t>
    </w:r>
  </w:p>
  <w:p w:rsidR="00247ED1" w:rsidP="008003B9">
    <w:pPr>
      <w:tabs>
        <w:tab w:val="center" w:pos="4674"/>
        <w:tab w:val="left" w:pos="8460"/>
      </w:tabs>
      <w:jc w:val="center"/>
      <w:rPr>
        <w:rStyle w:val="PageNumber"/>
        <w:rFonts w:ascii="Arial" w:hAnsi="Arial" w:cs="Arial"/>
        <w:b/>
        <w:color w:val="auto"/>
        <w:shd w:val="clear" w:color="auto" w:fill="auto"/>
      </w:rPr>
    </w:pPr>
    <w:r>
      <w:rPr>
        <w:rFonts w:ascii="Arial" w:hAnsi="Arial" w:cs="Arial"/>
        <w:b/>
      </w:rPr>
      <w:t>LISTED SECURITIES</w:t>
    </w:r>
  </w:p>
  <w:p w:rsidR="00247ED1" w:rsidP="008003B9">
    <w:pPr>
      <w:pStyle w:val="Footer"/>
      <w:tabs>
        <w:tab w:val="clear" w:pos="4320"/>
        <w:tab w:val="center" w:pos="4860"/>
        <w:tab w:val="clear" w:pos="8640"/>
        <w:tab w:val="right" w:pos="9360"/>
      </w:tabs>
      <w:jc w:val="center"/>
      <w:rPr>
        <w:rStyle w:val="PageNumber"/>
        <w:rFonts w:ascii="Arial" w:hAnsi="Arial" w:cs="Arial"/>
        <w:color w:val="auto"/>
        <w:sz w:val="16"/>
        <w:szCs w:val="16"/>
        <w:shd w:val="clear" w:color="auto" w:fill="auto"/>
      </w:rPr>
    </w:pPr>
    <w:r>
      <w:rPr>
        <w:rStyle w:val="PageNumber"/>
        <w:rFonts w:ascii="Arial" w:hAnsi="Arial" w:cs="Arial"/>
        <w:sz w:val="16"/>
        <w:szCs w:val="16"/>
      </w:rPr>
      <w:t>September 2018</w:t>
    </w:r>
  </w:p>
  <w:p w:rsidR="00247ED1" w:rsidP="008003B9">
    <w:pPr>
      <w:pStyle w:val="Footer"/>
      <w:jc w:val="center"/>
      <w:rPr>
        <w:rStyle w:val="PageNumber"/>
        <w:rFonts w:ascii="Arial" w:hAnsi="Arial" w:cs="Arial"/>
        <w:color w:val="auto"/>
        <w:sz w:val="16"/>
        <w:szCs w:val="16"/>
        <w:shd w:val="clear" w:color="auto" w:fill="auto"/>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7B5911">
      <w:rPr>
        <w:rStyle w:val="PageNumber"/>
        <w:rFonts w:ascii="Arial" w:hAnsi="Arial" w:cs="Arial"/>
        <w:noProof/>
        <w:sz w:val="16"/>
        <w:szCs w:val="16"/>
      </w:rPr>
      <w:t>8</w:t>
    </w:r>
    <w:r w:rsidRPr="002557FD">
      <w:rPr>
        <w:rStyle w:val="PageNumber"/>
        <w:rFonts w:ascii="Arial" w:hAnsi="Arial" w:cs="Arial"/>
        <w:sz w:val="16"/>
        <w:szCs w:val="16"/>
      </w:rPr>
      <w:fldChar w:fldCharType="end"/>
    </w:r>
  </w:p>
  <w:p w:rsidR="00247ED1" w:rsidRPr="002557FD" w:rsidP="00F07846">
    <w:pPr>
      <w:pStyle w:val="Footer"/>
      <w:rPr>
        <w:rFonts w:ascii="Arial" w:hAnsi="Arial" w:cs="Arial"/>
        <w:color w:val="000000"/>
        <w:sz w:val="16"/>
        <w:szCs w:val="16"/>
        <w:shd w:val="clear" w:color="auto" w:fill="auto"/>
      </w:rPr>
    </w:pPr>
    <w:r w:rsidRPr="00F07846">
      <w:rPr>
        <w:rStyle w:val="DocID"/>
      </w:rPr>
      <w:fldChar w:fldCharType="begin"/>
    </w:r>
    <w:r w:rsidRPr="00F07846">
      <w:rPr>
        <w:rStyle w:val="DocID"/>
      </w:rPr>
      <w:instrText xml:space="preserve"> DOCPROPERTY "DocID" \* MERGEFORMAT </w:instrText>
    </w:r>
    <w:r w:rsidRPr="00F07846">
      <w:rPr>
        <w:rStyle w:val="DocID"/>
      </w:rPr>
      <w:fldChar w:fldCharType="separate"/>
    </w:r>
    <w:r w:rsidRPr="007B5911" w:rsidR="007B5911">
      <w:rPr>
        <w:rStyle w:val="DocID"/>
      </w:rPr>
      <w:t>LEGAL_41348928.1</w:t>
    </w:r>
    <w:r w:rsidRPr="00F07846">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ED1">
    <w:pPr>
      <w:pStyle w:val="Footer"/>
      <w:rPr>
        <w:color w:val="auto"/>
        <w:shd w:val="clear" w:color="auto" w:fill="auto"/>
      </w:rPr>
    </w:pPr>
    <w:r>
      <w:fldChar w:fldCharType="begin"/>
    </w:r>
    <w:r>
      <w:instrText xml:space="preserve"> DOCPROPERTY FOOTERPATH \* MERGEFORMAT </w:instrText>
    </w:r>
    <w:r>
      <w:fldChar w:fldCharType="separate"/>
    </w:r>
    <w:r w:rsidR="00F446C2">
      <w:t>3214.001\0180</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97D">
    <w:pPr>
      <w:pStyle w:val="Header"/>
      <w:rPr>
        <w:color w:val="000000"/>
        <w:shd w:val="clear" w:color="auto" w:fil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start w:val="3"/>
      <w:numFmt w:val="decimal"/>
      <w:lvlText w:val="%1."/>
      <w:lvlJc w:val="left"/>
      <w:pPr>
        <w:tabs>
          <w:tab w:val="num" w:pos="1080"/>
        </w:tabs>
        <w:ind w:left="1080" w:hanging="108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7A196E4E"/>
    <w:multiLevelType w:val="hybridMultilevel"/>
    <w:tmpl w:val="113C6E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36643"/>
    <w:rsid w:val="00045DD7"/>
    <w:rsid w:val="000B64EF"/>
    <w:rsid w:val="000C7CEC"/>
    <w:rsid w:val="000E02E9"/>
    <w:rsid w:val="000F4FF1"/>
    <w:rsid w:val="00116314"/>
    <w:rsid w:val="00122D6D"/>
    <w:rsid w:val="00153DAA"/>
    <w:rsid w:val="00166CB3"/>
    <w:rsid w:val="00173F0B"/>
    <w:rsid w:val="00186DA5"/>
    <w:rsid w:val="001F1D17"/>
    <w:rsid w:val="00223F7A"/>
    <w:rsid w:val="00247ED1"/>
    <w:rsid w:val="002557FD"/>
    <w:rsid w:val="002560F1"/>
    <w:rsid w:val="002568A6"/>
    <w:rsid w:val="00262B2E"/>
    <w:rsid w:val="002B095A"/>
    <w:rsid w:val="002E4312"/>
    <w:rsid w:val="002F0416"/>
    <w:rsid w:val="00305EB6"/>
    <w:rsid w:val="00316BDD"/>
    <w:rsid w:val="00326D55"/>
    <w:rsid w:val="003431FD"/>
    <w:rsid w:val="0035331C"/>
    <w:rsid w:val="0036170B"/>
    <w:rsid w:val="00385EB4"/>
    <w:rsid w:val="00391C91"/>
    <w:rsid w:val="003C253D"/>
    <w:rsid w:val="003C6D7E"/>
    <w:rsid w:val="003F03D5"/>
    <w:rsid w:val="00402A99"/>
    <w:rsid w:val="00406968"/>
    <w:rsid w:val="004530C4"/>
    <w:rsid w:val="00456624"/>
    <w:rsid w:val="004A1403"/>
    <w:rsid w:val="004A31C1"/>
    <w:rsid w:val="004A3C6C"/>
    <w:rsid w:val="004B214D"/>
    <w:rsid w:val="004C5873"/>
    <w:rsid w:val="004C64A4"/>
    <w:rsid w:val="00533B66"/>
    <w:rsid w:val="0053658E"/>
    <w:rsid w:val="00544BCF"/>
    <w:rsid w:val="00575491"/>
    <w:rsid w:val="00617A0E"/>
    <w:rsid w:val="0062717F"/>
    <w:rsid w:val="006701C9"/>
    <w:rsid w:val="006A466B"/>
    <w:rsid w:val="006C0EA6"/>
    <w:rsid w:val="006F6C5D"/>
    <w:rsid w:val="00726B3B"/>
    <w:rsid w:val="007568B3"/>
    <w:rsid w:val="00760463"/>
    <w:rsid w:val="0077197D"/>
    <w:rsid w:val="00771F7F"/>
    <w:rsid w:val="007A78DA"/>
    <w:rsid w:val="007B0425"/>
    <w:rsid w:val="007B5911"/>
    <w:rsid w:val="007C4F86"/>
    <w:rsid w:val="008003B9"/>
    <w:rsid w:val="0082651C"/>
    <w:rsid w:val="00840B45"/>
    <w:rsid w:val="008652ED"/>
    <w:rsid w:val="008A22CE"/>
    <w:rsid w:val="008E3108"/>
    <w:rsid w:val="008F27FF"/>
    <w:rsid w:val="008F3801"/>
    <w:rsid w:val="009136E7"/>
    <w:rsid w:val="0091519B"/>
    <w:rsid w:val="009466F0"/>
    <w:rsid w:val="00961244"/>
    <w:rsid w:val="00966A65"/>
    <w:rsid w:val="009749C5"/>
    <w:rsid w:val="0097763E"/>
    <w:rsid w:val="00981C23"/>
    <w:rsid w:val="009919C7"/>
    <w:rsid w:val="00995C2B"/>
    <w:rsid w:val="009A591C"/>
    <w:rsid w:val="009C0B84"/>
    <w:rsid w:val="009C1EC2"/>
    <w:rsid w:val="00A00C54"/>
    <w:rsid w:val="00A10285"/>
    <w:rsid w:val="00A74EFF"/>
    <w:rsid w:val="00A840CC"/>
    <w:rsid w:val="00A90670"/>
    <w:rsid w:val="00A93530"/>
    <w:rsid w:val="00A9392C"/>
    <w:rsid w:val="00AB7838"/>
    <w:rsid w:val="00AC4E3D"/>
    <w:rsid w:val="00AF519D"/>
    <w:rsid w:val="00B01AC0"/>
    <w:rsid w:val="00B0383F"/>
    <w:rsid w:val="00B22766"/>
    <w:rsid w:val="00B41612"/>
    <w:rsid w:val="00B475B1"/>
    <w:rsid w:val="00B754B3"/>
    <w:rsid w:val="00B923F6"/>
    <w:rsid w:val="00BB2F34"/>
    <w:rsid w:val="00BE2894"/>
    <w:rsid w:val="00BF66F5"/>
    <w:rsid w:val="00C10A32"/>
    <w:rsid w:val="00C24F50"/>
    <w:rsid w:val="00C37C26"/>
    <w:rsid w:val="00C500F0"/>
    <w:rsid w:val="00C536D3"/>
    <w:rsid w:val="00CC2519"/>
    <w:rsid w:val="00CF076A"/>
    <w:rsid w:val="00CF2A90"/>
    <w:rsid w:val="00CF5580"/>
    <w:rsid w:val="00CF72A4"/>
    <w:rsid w:val="00D011AF"/>
    <w:rsid w:val="00D70241"/>
    <w:rsid w:val="00DA6830"/>
    <w:rsid w:val="00DA7ACD"/>
    <w:rsid w:val="00DB2FAA"/>
    <w:rsid w:val="00DB640C"/>
    <w:rsid w:val="00DE3AA6"/>
    <w:rsid w:val="00E41EEC"/>
    <w:rsid w:val="00E55410"/>
    <w:rsid w:val="00E55E58"/>
    <w:rsid w:val="00E83A64"/>
    <w:rsid w:val="00E97C13"/>
    <w:rsid w:val="00EA4133"/>
    <w:rsid w:val="00EA7E57"/>
    <w:rsid w:val="00EB31BE"/>
    <w:rsid w:val="00EE6F76"/>
    <w:rsid w:val="00F07846"/>
    <w:rsid w:val="00F26768"/>
    <w:rsid w:val="00F33BBE"/>
    <w:rsid w:val="00F446C2"/>
    <w:rsid w:val="00F50F71"/>
    <w:rsid w:val="00FB7B87"/>
    <w:rsid w:val="00FE2D92"/>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D0B9E0F-4E0A-4DB3-BAFB-2BD8CC73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DocID">
    <w:name w:val="DocID"/>
    <w:basedOn w:val="DefaultParagraphFont"/>
    <w:rsid w:val="00F07846"/>
    <w:rPr>
      <w:rFonts w:ascii="Verdana" w:hAnsi="Verdana"/>
      <w:b w:val="0"/>
      <w:i w:val="0"/>
      <w:caps w:val="0"/>
      <w:vanish w:val="0"/>
      <w:color w:val="000000"/>
      <w:sz w:val="14"/>
      <w:u w:val="none"/>
      <w:lang w:val="en-CA"/>
    </w:rPr>
  </w:style>
  <w:style w:type="character" w:customStyle="1" w:styleId="BodyTextChar">
    <w:name w:val="Body Text Char"/>
    <w:basedOn w:val="DefaultParagraphFont"/>
    <w:link w:val="BodyText"/>
    <w:rsid w:val="00045DD7"/>
    <w:rPr>
      <w:sz w:val="24"/>
      <w:lang w:val="en-GB"/>
    </w:rPr>
  </w:style>
  <w:style w:type="character" w:styleId="PlaceholderText">
    <w:name w:val="Placeholder Text"/>
    <w:basedOn w:val="DefaultParagraphFont"/>
    <w:uiPriority w:val="99"/>
    <w:semiHidden/>
    <w:rsid w:val="00166C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773C-6535-41AD-ABA0-0EDF26EC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10567</Characters>
  <Application>Microsoft Office Word</Application>
  <DocSecurity>0</DocSecurity>
  <Lines>369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2023-05-17T16:46:00Z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LEGAL_41348928.1</vt:lpwstr>
  </property>
</Properties>
</file>