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73D44" w14:textId="77777777" w:rsidR="00FC64E0" w:rsidRPr="005A12E4" w:rsidRDefault="00FC64E0" w:rsidP="00FC64E0">
      <w:pPr>
        <w:pStyle w:val="Heading3"/>
        <w:shd w:val="clear" w:color="auto" w:fill="FFFFFF"/>
        <w:spacing w:before="300" w:after="150"/>
        <w:jc w:val="center"/>
        <w:rPr>
          <w:rFonts w:ascii="Montserrat" w:hAnsi="Montserrat"/>
          <w:color w:val="333333"/>
        </w:rPr>
      </w:pPr>
      <w:r w:rsidRPr="005A12E4">
        <w:rPr>
          <w:rFonts w:ascii="Montserrat" w:hAnsi="Montserrat"/>
          <w:b/>
          <w:bCs/>
          <w:color w:val="333333"/>
        </w:rPr>
        <w:t>Getchell Gold Corp Exhibiting at Booth 2341, PDAC 2023 Convention in Toronto, March 5-8</w:t>
      </w:r>
    </w:p>
    <w:p w14:paraId="70F65302" w14:textId="63774B3D" w:rsidR="00FC64E0" w:rsidRDefault="00FC64E0" w:rsidP="00F46649">
      <w:pPr>
        <w:pStyle w:val="NormalWeb"/>
        <w:shd w:val="clear" w:color="auto" w:fill="FFFFFF"/>
        <w:spacing w:before="240" w:beforeAutospacing="0" w:after="150" w:afterAutospacing="0"/>
        <w:rPr>
          <w:rFonts w:ascii="Source Sans Pro" w:hAnsi="Source Sans Pro"/>
          <w:color w:val="333333"/>
          <w:sz w:val="21"/>
          <w:szCs w:val="21"/>
        </w:rPr>
      </w:pPr>
      <w:r>
        <w:rPr>
          <w:rFonts w:ascii="Source Sans Pro" w:hAnsi="Source Sans Pro"/>
          <w:color w:val="333333"/>
          <w:sz w:val="21"/>
          <w:szCs w:val="21"/>
        </w:rPr>
        <w:t xml:space="preserve">Vancouver--(Newsfile Corp. – March 1, 2023) - </w:t>
      </w:r>
      <w:r>
        <w:rPr>
          <w:rFonts w:ascii="Source Sans Pro" w:hAnsi="Source Sans Pro"/>
          <w:b/>
          <w:bCs/>
          <w:color w:val="333333"/>
          <w:sz w:val="21"/>
          <w:szCs w:val="21"/>
        </w:rPr>
        <w:t>Getchell Gold Corp</w:t>
      </w:r>
      <w:r>
        <w:rPr>
          <w:rFonts w:ascii="Source Sans Pro" w:hAnsi="Source Sans Pro"/>
          <w:color w:val="333333"/>
          <w:sz w:val="21"/>
          <w:szCs w:val="21"/>
        </w:rPr>
        <w:t> (CSE:GTCH) (OTCQB:GGLDF) invites all shareholders and precious metals investors to visit</w:t>
      </w:r>
      <w:r w:rsidR="00022669">
        <w:rPr>
          <w:rFonts w:ascii="Source Sans Pro" w:hAnsi="Source Sans Pro"/>
          <w:color w:val="333333"/>
          <w:sz w:val="21"/>
          <w:szCs w:val="21"/>
        </w:rPr>
        <w:t xml:space="preserve"> us</w:t>
      </w:r>
      <w:r>
        <w:rPr>
          <w:rFonts w:ascii="Source Sans Pro" w:hAnsi="Source Sans Pro"/>
          <w:color w:val="333333"/>
          <w:sz w:val="21"/>
          <w:szCs w:val="21"/>
        </w:rPr>
        <w:t xml:space="preserve"> at Booth #2341 at the Prospectors &amp; Developers Association of Canada’s (PDAC) Convention at the Metro Toronto Convention Centre (MTCC) from Sunday, March 5 to Wednesday, March 8, 2023. </w:t>
      </w:r>
      <w:r w:rsidR="00022669">
        <w:rPr>
          <w:rFonts w:ascii="Source Sans Pro" w:hAnsi="Source Sans Pro"/>
          <w:color w:val="333333"/>
          <w:sz w:val="21"/>
          <w:szCs w:val="21"/>
        </w:rPr>
        <w:t xml:space="preserve"> </w:t>
      </w:r>
      <w:r>
        <w:rPr>
          <w:rFonts w:ascii="Source Sans Pro" w:hAnsi="Source Sans Pro"/>
          <w:color w:val="333333"/>
          <w:sz w:val="21"/>
          <w:szCs w:val="21"/>
        </w:rPr>
        <w:t xml:space="preserve">President Mike Sieb will lead a contingent </w:t>
      </w:r>
      <w:r w:rsidR="00BD3DC8">
        <w:rPr>
          <w:rFonts w:ascii="Source Sans Pro" w:hAnsi="Source Sans Pro"/>
          <w:color w:val="333333"/>
          <w:sz w:val="21"/>
          <w:szCs w:val="21"/>
        </w:rPr>
        <w:t xml:space="preserve">exhibiting in the Investor Exchange </w:t>
      </w:r>
      <w:r>
        <w:rPr>
          <w:rFonts w:ascii="Source Sans Pro" w:hAnsi="Source Sans Pro"/>
          <w:color w:val="333333"/>
          <w:sz w:val="21"/>
          <w:szCs w:val="21"/>
        </w:rPr>
        <w:t xml:space="preserve">that includes </w:t>
      </w:r>
      <w:r w:rsidR="00022669">
        <w:rPr>
          <w:rFonts w:ascii="Source Sans Pro" w:hAnsi="Source Sans Pro"/>
          <w:color w:val="333333"/>
          <w:sz w:val="21"/>
          <w:szCs w:val="21"/>
        </w:rPr>
        <w:t xml:space="preserve">our senior </w:t>
      </w:r>
      <w:r w:rsidR="005C06B5">
        <w:rPr>
          <w:rFonts w:ascii="Source Sans Pro" w:hAnsi="Source Sans Pro"/>
          <w:color w:val="333333"/>
          <w:sz w:val="21"/>
          <w:szCs w:val="21"/>
        </w:rPr>
        <w:t>exploration</w:t>
      </w:r>
      <w:r w:rsidR="00022669">
        <w:rPr>
          <w:rFonts w:ascii="Source Sans Pro" w:hAnsi="Source Sans Pro"/>
          <w:color w:val="333333"/>
          <w:sz w:val="21"/>
          <w:szCs w:val="21"/>
        </w:rPr>
        <w:t xml:space="preserve"> team</w:t>
      </w:r>
      <w:r w:rsidR="005C06B5">
        <w:rPr>
          <w:rFonts w:ascii="Source Sans Pro" w:hAnsi="Source Sans Pro"/>
          <w:color w:val="333333"/>
          <w:sz w:val="21"/>
          <w:szCs w:val="21"/>
        </w:rPr>
        <w:t xml:space="preserve"> that will gladly </w:t>
      </w:r>
      <w:r w:rsidR="00977F2C">
        <w:rPr>
          <w:rFonts w:ascii="Source Sans Pro" w:hAnsi="Source Sans Pro"/>
          <w:color w:val="333333"/>
          <w:sz w:val="21"/>
          <w:szCs w:val="21"/>
        </w:rPr>
        <w:t xml:space="preserve">address </w:t>
      </w:r>
      <w:r w:rsidR="005C06B5">
        <w:rPr>
          <w:rFonts w:ascii="Source Sans Pro" w:hAnsi="Source Sans Pro"/>
          <w:color w:val="333333"/>
          <w:sz w:val="21"/>
          <w:szCs w:val="21"/>
        </w:rPr>
        <w:t xml:space="preserve">any technical </w:t>
      </w:r>
      <w:r w:rsidR="00977F2C">
        <w:rPr>
          <w:rFonts w:ascii="Source Sans Pro" w:hAnsi="Source Sans Pro"/>
          <w:color w:val="333333"/>
          <w:sz w:val="21"/>
          <w:szCs w:val="21"/>
        </w:rPr>
        <w:t>or investment questions.</w:t>
      </w:r>
    </w:p>
    <w:p w14:paraId="56A081C4" w14:textId="64604B70" w:rsidR="00FC64E0" w:rsidRDefault="00FC64E0" w:rsidP="00F46649">
      <w:pPr>
        <w:pStyle w:val="NormalWeb"/>
        <w:shd w:val="clear" w:color="auto" w:fill="FFFFFF"/>
        <w:spacing w:before="240" w:beforeAutospacing="0" w:after="150" w:afterAutospacing="0"/>
        <w:rPr>
          <w:rFonts w:ascii="Source Sans Pro" w:hAnsi="Source Sans Pro"/>
          <w:color w:val="333333"/>
          <w:sz w:val="21"/>
          <w:szCs w:val="21"/>
        </w:rPr>
      </w:pPr>
      <w:r>
        <w:rPr>
          <w:rFonts w:ascii="Source Sans Pro" w:hAnsi="Source Sans Pro"/>
          <w:color w:val="333333"/>
          <w:sz w:val="21"/>
          <w:szCs w:val="21"/>
        </w:rPr>
        <w:t xml:space="preserve">This will mark the first major global conference attended since the Fondaway Canyon Mineral Resource Estimate (MRE) Technical Report was published on February 1, 2023. </w:t>
      </w:r>
      <w:r w:rsidR="00022669">
        <w:rPr>
          <w:rFonts w:ascii="Source Sans Pro" w:hAnsi="Source Sans Pro"/>
          <w:color w:val="333333"/>
          <w:sz w:val="21"/>
          <w:szCs w:val="21"/>
        </w:rPr>
        <w:t xml:space="preserve"> </w:t>
      </w:r>
      <w:r>
        <w:rPr>
          <w:rFonts w:ascii="Source Sans Pro" w:hAnsi="Source Sans Pro"/>
          <w:color w:val="333333"/>
          <w:sz w:val="21"/>
          <w:szCs w:val="21"/>
        </w:rPr>
        <w:t>That report models both an open pit and underground operation, similar to existing Nevada gold producers.</w:t>
      </w:r>
    </w:p>
    <w:p w14:paraId="2E3E661B" w14:textId="728E5F34" w:rsidR="00FC64E0" w:rsidRPr="00BE2341" w:rsidRDefault="00FC64E0" w:rsidP="00F46649">
      <w:pPr>
        <w:spacing w:before="240" w:after="120" w:line="252" w:lineRule="auto"/>
        <w:jc w:val="both"/>
        <w:rPr>
          <w:b/>
          <w:bCs/>
          <w:color w:val="000000"/>
        </w:rPr>
      </w:pPr>
      <w:r>
        <w:rPr>
          <w:b/>
          <w:bCs/>
          <w:color w:val="000000"/>
        </w:rPr>
        <w:t xml:space="preserve">Mineral Resource Estimate </w:t>
      </w:r>
      <w:r w:rsidRPr="00BE2341">
        <w:rPr>
          <w:b/>
          <w:bCs/>
          <w:color w:val="000000"/>
        </w:rPr>
        <w:t>Key Highlights</w:t>
      </w:r>
      <w:r w:rsidR="00977F2C">
        <w:rPr>
          <w:b/>
          <w:bCs/>
          <w:color w:val="000000"/>
        </w:rPr>
        <w:t>*</w:t>
      </w:r>
    </w:p>
    <w:p w14:paraId="2ADFF4C6" w14:textId="77777777" w:rsidR="00FC64E0" w:rsidRPr="00BE47E6" w:rsidRDefault="00FC64E0" w:rsidP="00FC64E0">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Large ‘at surface’ Mineral Resource Estimate in a premier gold mining jurisdiction</w:t>
      </w:r>
      <w:r w:rsidRPr="00094749">
        <w:rPr>
          <w:rFonts w:ascii="Calibri" w:hAnsi="Calibri" w:cs="Calibri"/>
          <w:color w:val="auto"/>
          <w:lang w:val="en-CA"/>
        </w:rPr>
        <w:t>;</w:t>
      </w:r>
    </w:p>
    <w:p w14:paraId="6CBE2289" w14:textId="77777777" w:rsidR="00FC64E0" w:rsidRDefault="00FC64E0" w:rsidP="00FC64E0">
      <w:pPr>
        <w:pStyle w:val="ListParagraph"/>
        <w:numPr>
          <w:ilvl w:val="0"/>
          <w:numId w:val="17"/>
        </w:numPr>
        <w:spacing w:before="60" w:after="0" w:line="240" w:lineRule="auto"/>
        <w:ind w:left="567" w:hanging="283"/>
        <w:contextualSpacing w:val="0"/>
        <w:rPr>
          <w:rFonts w:ascii="Calibri" w:hAnsi="Calibri" w:cs="Calibri"/>
          <w:color w:val="auto"/>
          <w:lang w:val="en-CA"/>
        </w:rPr>
      </w:pPr>
      <w:r w:rsidRPr="00091D0E">
        <w:rPr>
          <w:rFonts w:ascii="Calibri" w:hAnsi="Calibri" w:cs="Calibri"/>
          <w:b/>
          <w:bCs/>
          <w:color w:val="auto"/>
          <w:lang w:val="en-CA"/>
        </w:rPr>
        <w:t>Inferred Mineral Resource</w:t>
      </w:r>
      <w:r>
        <w:rPr>
          <w:rFonts w:ascii="Calibri" w:hAnsi="Calibri" w:cs="Calibri"/>
          <w:color w:val="auto"/>
          <w:lang w:val="en-CA"/>
        </w:rPr>
        <w:t xml:space="preserve"> of 38.3 million tonnes at an average grade of 1.23 g/t Au for</w:t>
      </w:r>
      <w:r>
        <w:rPr>
          <w:rFonts w:ascii="Calibri" w:hAnsi="Calibri" w:cs="Calibri"/>
          <w:color w:val="auto"/>
          <w:lang w:val="en-CA"/>
        </w:rPr>
        <w:br/>
      </w:r>
      <w:r w:rsidRPr="00091D0E">
        <w:rPr>
          <w:rFonts w:ascii="Calibri" w:hAnsi="Calibri" w:cs="Calibri"/>
          <w:b/>
          <w:bCs/>
          <w:color w:val="auto"/>
          <w:lang w:val="en-CA"/>
        </w:rPr>
        <w:t>1,509,100 ounces</w:t>
      </w:r>
      <w:r>
        <w:rPr>
          <w:rFonts w:ascii="Calibri" w:hAnsi="Calibri" w:cs="Calibri"/>
          <w:color w:val="auto"/>
          <w:lang w:val="en-CA"/>
        </w:rPr>
        <w:t xml:space="preserve"> of gold;</w:t>
      </w:r>
    </w:p>
    <w:p w14:paraId="553FD8B8" w14:textId="77777777" w:rsidR="00FC64E0" w:rsidRPr="00E11775" w:rsidRDefault="00FC64E0" w:rsidP="00FC64E0">
      <w:pPr>
        <w:pStyle w:val="ListParagraph"/>
        <w:numPr>
          <w:ilvl w:val="0"/>
          <w:numId w:val="17"/>
        </w:numPr>
        <w:spacing w:before="60" w:after="0" w:line="240" w:lineRule="auto"/>
        <w:ind w:left="567" w:hanging="283"/>
        <w:contextualSpacing w:val="0"/>
        <w:rPr>
          <w:rFonts w:ascii="Calibri" w:hAnsi="Calibri" w:cs="Calibri"/>
          <w:color w:val="auto"/>
          <w:lang w:val="en-CA"/>
        </w:rPr>
      </w:pPr>
      <w:r w:rsidRPr="00091D0E">
        <w:rPr>
          <w:rFonts w:ascii="Calibri" w:hAnsi="Calibri" w:cs="Calibri"/>
          <w:b/>
          <w:bCs/>
          <w:color w:val="auto"/>
          <w:lang w:val="en-CA"/>
        </w:rPr>
        <w:t>Indicated Mineral Resource</w:t>
      </w:r>
      <w:r>
        <w:rPr>
          <w:rFonts w:ascii="Calibri" w:hAnsi="Calibri" w:cs="Calibri"/>
          <w:color w:val="auto"/>
          <w:lang w:val="en-CA"/>
        </w:rPr>
        <w:t xml:space="preserve"> of 11.0 million tonnes at an average grade of 1.56 g/t Au for an additional </w:t>
      </w:r>
      <w:r w:rsidRPr="00091D0E">
        <w:rPr>
          <w:rFonts w:ascii="Calibri" w:hAnsi="Calibri" w:cs="Calibri"/>
          <w:b/>
          <w:bCs/>
          <w:color w:val="auto"/>
          <w:lang w:val="en-CA"/>
        </w:rPr>
        <w:t>550,800 ounces</w:t>
      </w:r>
      <w:r>
        <w:rPr>
          <w:rFonts w:ascii="Calibri" w:hAnsi="Calibri" w:cs="Calibri"/>
          <w:color w:val="auto"/>
          <w:lang w:val="en-CA"/>
        </w:rPr>
        <w:t xml:space="preserve"> of gold;</w:t>
      </w:r>
    </w:p>
    <w:p w14:paraId="0D69DF24" w14:textId="77777777" w:rsidR="00FC64E0" w:rsidRDefault="00FC64E0" w:rsidP="00FC64E0">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Gold mineralization remains open for further expansion in all contributing zones; and</w:t>
      </w:r>
    </w:p>
    <w:p w14:paraId="31A228D1" w14:textId="77777777" w:rsidR="00FC64E0" w:rsidRPr="00444677" w:rsidRDefault="00FC64E0" w:rsidP="00FC64E0">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 xml:space="preserve">Technical report available on </w:t>
      </w:r>
      <w:hyperlink r:id="rId8" w:history="1">
        <w:r w:rsidRPr="00DE3834">
          <w:rPr>
            <w:rStyle w:val="Hyperlink"/>
            <w:rFonts w:ascii="Calibri" w:hAnsi="Calibri" w:cs="Calibri"/>
            <w:lang w:val="en-CA"/>
          </w:rPr>
          <w:t>the Company’s website</w:t>
        </w:r>
      </w:hyperlink>
      <w:r>
        <w:rPr>
          <w:rFonts w:ascii="Calibri" w:hAnsi="Calibri" w:cs="Calibri"/>
          <w:color w:val="auto"/>
          <w:lang w:val="en-CA"/>
        </w:rPr>
        <w:t xml:space="preserve"> and on SEDAR.</w:t>
      </w:r>
    </w:p>
    <w:p w14:paraId="5F97478F" w14:textId="565A2339" w:rsidR="00FC64E0" w:rsidRDefault="00FC64E0" w:rsidP="00F46649">
      <w:pPr>
        <w:pStyle w:val="NormalWeb"/>
        <w:shd w:val="clear" w:color="auto" w:fill="FFFFFF"/>
        <w:spacing w:before="240" w:beforeAutospacing="0" w:after="150" w:afterAutospacing="0"/>
        <w:rPr>
          <w:rFonts w:ascii="Source Sans Pro" w:hAnsi="Source Sans Pro"/>
          <w:color w:val="333333"/>
          <w:sz w:val="21"/>
          <w:szCs w:val="21"/>
        </w:rPr>
      </w:pPr>
      <w:r>
        <w:rPr>
          <w:rFonts w:ascii="Source Sans Pro" w:hAnsi="Source Sans Pro"/>
          <w:color w:val="333333"/>
          <w:sz w:val="21"/>
          <w:szCs w:val="21"/>
        </w:rPr>
        <w:t>“This year’s PDAC is perfectly timed for Getchell Gold</w:t>
      </w:r>
      <w:r w:rsidR="005C06B5">
        <w:rPr>
          <w:rFonts w:ascii="Source Sans Pro" w:hAnsi="Source Sans Pro"/>
          <w:color w:val="333333"/>
          <w:sz w:val="21"/>
          <w:szCs w:val="21"/>
        </w:rPr>
        <w:t>.</w:t>
      </w:r>
      <w:r>
        <w:rPr>
          <w:rFonts w:ascii="Source Sans Pro" w:hAnsi="Source Sans Pro"/>
          <w:color w:val="333333"/>
          <w:sz w:val="21"/>
          <w:szCs w:val="21"/>
        </w:rPr>
        <w:t>”, stat</w:t>
      </w:r>
      <w:r w:rsidR="00BD3DC8">
        <w:rPr>
          <w:rFonts w:ascii="Source Sans Pro" w:hAnsi="Source Sans Pro"/>
          <w:color w:val="333333"/>
          <w:sz w:val="21"/>
          <w:szCs w:val="21"/>
        </w:rPr>
        <w:t>es</w:t>
      </w:r>
      <w:r>
        <w:rPr>
          <w:rFonts w:ascii="Source Sans Pro" w:hAnsi="Source Sans Pro"/>
          <w:color w:val="333333"/>
          <w:sz w:val="21"/>
          <w:szCs w:val="21"/>
        </w:rPr>
        <w:t xml:space="preserve"> Preside</w:t>
      </w:r>
      <w:r w:rsidR="00BD3DC8">
        <w:rPr>
          <w:rFonts w:ascii="Source Sans Pro" w:hAnsi="Source Sans Pro"/>
          <w:color w:val="333333"/>
          <w:sz w:val="21"/>
          <w:szCs w:val="21"/>
        </w:rPr>
        <w:t>nt</w:t>
      </w:r>
      <w:r>
        <w:rPr>
          <w:rFonts w:ascii="Source Sans Pro" w:hAnsi="Source Sans Pro"/>
          <w:color w:val="333333"/>
          <w:sz w:val="21"/>
          <w:szCs w:val="21"/>
        </w:rPr>
        <w:t xml:space="preserve"> Mike Sieb, adding “</w:t>
      </w:r>
      <w:r w:rsidR="005C06B5">
        <w:rPr>
          <w:rFonts w:ascii="Source Sans Pro" w:hAnsi="Source Sans Pro"/>
          <w:color w:val="333333"/>
          <w:sz w:val="21"/>
          <w:szCs w:val="21"/>
        </w:rPr>
        <w:t>T</w:t>
      </w:r>
      <w:r w:rsidR="00BD3DC8">
        <w:rPr>
          <w:rFonts w:ascii="Source Sans Pro" w:hAnsi="Source Sans Pro"/>
          <w:color w:val="333333"/>
          <w:sz w:val="21"/>
          <w:szCs w:val="21"/>
        </w:rPr>
        <w:t xml:space="preserve">his is </w:t>
      </w:r>
      <w:r w:rsidR="005A12E4">
        <w:rPr>
          <w:rFonts w:ascii="Source Sans Pro" w:hAnsi="Source Sans Pro"/>
          <w:color w:val="333333"/>
          <w:sz w:val="21"/>
          <w:szCs w:val="21"/>
        </w:rPr>
        <w:t xml:space="preserve">the mining community’s largest </w:t>
      </w:r>
      <w:r w:rsidR="00022669">
        <w:rPr>
          <w:rFonts w:ascii="Source Sans Pro" w:hAnsi="Source Sans Pro"/>
          <w:color w:val="333333"/>
          <w:sz w:val="21"/>
          <w:szCs w:val="21"/>
        </w:rPr>
        <w:t>‘</w:t>
      </w:r>
      <w:r w:rsidR="00BD3DC8">
        <w:rPr>
          <w:rFonts w:ascii="Source Sans Pro" w:hAnsi="Source Sans Pro"/>
          <w:color w:val="333333"/>
          <w:sz w:val="21"/>
          <w:szCs w:val="21"/>
        </w:rPr>
        <w:t>in person</w:t>
      </w:r>
      <w:r w:rsidR="00022669">
        <w:rPr>
          <w:rFonts w:ascii="Source Sans Pro" w:hAnsi="Source Sans Pro"/>
          <w:color w:val="333333"/>
          <w:sz w:val="21"/>
          <w:szCs w:val="21"/>
        </w:rPr>
        <w:t>’</w:t>
      </w:r>
      <w:r w:rsidR="00BD3DC8">
        <w:rPr>
          <w:rFonts w:ascii="Source Sans Pro" w:hAnsi="Source Sans Pro"/>
          <w:color w:val="333333"/>
          <w:sz w:val="21"/>
          <w:szCs w:val="21"/>
        </w:rPr>
        <w:t xml:space="preserve"> investor event</w:t>
      </w:r>
      <w:r w:rsidR="005A12E4">
        <w:rPr>
          <w:rFonts w:ascii="Source Sans Pro" w:hAnsi="Source Sans Pro"/>
          <w:color w:val="333333"/>
          <w:sz w:val="21"/>
          <w:szCs w:val="21"/>
        </w:rPr>
        <w:t xml:space="preserve"> and this year</w:t>
      </w:r>
      <w:r w:rsidR="00022669">
        <w:rPr>
          <w:rFonts w:ascii="Source Sans Pro" w:hAnsi="Source Sans Pro"/>
          <w:color w:val="333333"/>
          <w:sz w:val="21"/>
          <w:szCs w:val="21"/>
        </w:rPr>
        <w:t>’s attendance</w:t>
      </w:r>
      <w:r w:rsidR="005A12E4">
        <w:rPr>
          <w:rFonts w:ascii="Source Sans Pro" w:hAnsi="Source Sans Pro"/>
          <w:color w:val="333333"/>
          <w:sz w:val="21"/>
          <w:szCs w:val="21"/>
        </w:rPr>
        <w:t xml:space="preserve"> </w:t>
      </w:r>
      <w:r w:rsidR="00BD3DC8">
        <w:rPr>
          <w:rFonts w:ascii="Source Sans Pro" w:hAnsi="Source Sans Pro"/>
          <w:color w:val="333333"/>
          <w:sz w:val="21"/>
          <w:szCs w:val="21"/>
        </w:rPr>
        <w:t xml:space="preserve">coincides with </w:t>
      </w:r>
      <w:r w:rsidR="005A12E4">
        <w:rPr>
          <w:rFonts w:ascii="Source Sans Pro" w:hAnsi="Source Sans Pro"/>
          <w:color w:val="333333"/>
          <w:sz w:val="21"/>
          <w:szCs w:val="21"/>
        </w:rPr>
        <w:t xml:space="preserve">the release of </w:t>
      </w:r>
      <w:r w:rsidR="00BD3DC8">
        <w:rPr>
          <w:rFonts w:ascii="Source Sans Pro" w:hAnsi="Source Sans Pro"/>
          <w:color w:val="333333"/>
          <w:sz w:val="21"/>
          <w:szCs w:val="21"/>
        </w:rPr>
        <w:t>our new Mineral Resource Estimate</w:t>
      </w:r>
      <w:r w:rsidR="00022669">
        <w:rPr>
          <w:rFonts w:ascii="Source Sans Pro" w:hAnsi="Source Sans Pro"/>
          <w:color w:val="333333"/>
          <w:sz w:val="21"/>
          <w:szCs w:val="21"/>
        </w:rPr>
        <w:t xml:space="preserve"> that</w:t>
      </w:r>
      <w:r w:rsidR="008009DA">
        <w:rPr>
          <w:rFonts w:ascii="Source Sans Pro" w:hAnsi="Source Sans Pro"/>
          <w:color w:val="333333"/>
          <w:sz w:val="21"/>
          <w:szCs w:val="21"/>
        </w:rPr>
        <w:t xml:space="preserve"> </w:t>
      </w:r>
      <w:r w:rsidR="005C06B5">
        <w:rPr>
          <w:rFonts w:ascii="Source Sans Pro" w:hAnsi="Source Sans Pro"/>
          <w:color w:val="333333"/>
          <w:sz w:val="21"/>
          <w:szCs w:val="21"/>
        </w:rPr>
        <w:t xml:space="preserve">has received significant attention </w:t>
      </w:r>
      <w:r w:rsidR="00BD3DC8">
        <w:rPr>
          <w:rFonts w:ascii="Source Sans Pro" w:hAnsi="Source Sans Pro"/>
          <w:color w:val="333333"/>
          <w:sz w:val="21"/>
          <w:szCs w:val="21"/>
        </w:rPr>
        <w:t xml:space="preserve">and </w:t>
      </w:r>
      <w:r w:rsidR="005C06B5">
        <w:rPr>
          <w:rFonts w:ascii="Source Sans Pro" w:hAnsi="Source Sans Pro"/>
          <w:color w:val="333333"/>
          <w:sz w:val="21"/>
          <w:szCs w:val="21"/>
        </w:rPr>
        <w:t>is</w:t>
      </w:r>
      <w:r w:rsidR="00BD3DC8">
        <w:rPr>
          <w:rFonts w:ascii="Source Sans Pro" w:hAnsi="Source Sans Pro"/>
          <w:color w:val="333333"/>
          <w:sz w:val="21"/>
          <w:szCs w:val="21"/>
        </w:rPr>
        <w:t xml:space="preserve"> expect</w:t>
      </w:r>
      <w:r w:rsidR="005C06B5">
        <w:rPr>
          <w:rFonts w:ascii="Source Sans Pro" w:hAnsi="Source Sans Pro"/>
          <w:color w:val="333333"/>
          <w:sz w:val="21"/>
          <w:szCs w:val="21"/>
        </w:rPr>
        <w:t>ed to generate</w:t>
      </w:r>
      <w:r w:rsidR="00BD3DC8">
        <w:rPr>
          <w:rFonts w:ascii="Source Sans Pro" w:hAnsi="Source Sans Pro"/>
          <w:color w:val="333333"/>
          <w:sz w:val="21"/>
          <w:szCs w:val="21"/>
        </w:rPr>
        <w:t xml:space="preserve"> many quality meetings with mining influencers and investors this week. </w:t>
      </w:r>
      <w:r w:rsidR="005C06B5">
        <w:rPr>
          <w:rFonts w:ascii="Source Sans Pro" w:hAnsi="Source Sans Pro"/>
          <w:color w:val="333333"/>
          <w:sz w:val="21"/>
          <w:szCs w:val="21"/>
        </w:rPr>
        <w:t xml:space="preserve"> </w:t>
      </w:r>
      <w:r w:rsidR="00BD3DC8">
        <w:rPr>
          <w:rFonts w:ascii="Source Sans Pro" w:hAnsi="Source Sans Pro"/>
          <w:color w:val="333333"/>
          <w:sz w:val="21"/>
          <w:szCs w:val="21"/>
        </w:rPr>
        <w:t xml:space="preserve">For anyone interested in </w:t>
      </w:r>
      <w:r w:rsidR="005A12E4">
        <w:rPr>
          <w:rFonts w:ascii="Source Sans Pro" w:hAnsi="Source Sans Pro"/>
          <w:color w:val="333333"/>
          <w:sz w:val="21"/>
          <w:szCs w:val="21"/>
        </w:rPr>
        <w:t xml:space="preserve">discussing </w:t>
      </w:r>
      <w:r w:rsidR="005C06B5">
        <w:rPr>
          <w:rFonts w:ascii="Source Sans Pro" w:hAnsi="Source Sans Pro"/>
          <w:color w:val="333333"/>
          <w:sz w:val="21"/>
          <w:szCs w:val="21"/>
        </w:rPr>
        <w:t xml:space="preserve">this </w:t>
      </w:r>
      <w:r w:rsidR="005A12E4">
        <w:rPr>
          <w:rFonts w:ascii="Source Sans Pro" w:hAnsi="Source Sans Pro"/>
          <w:color w:val="333333"/>
          <w:sz w:val="21"/>
          <w:szCs w:val="21"/>
        </w:rPr>
        <w:t>major</w:t>
      </w:r>
      <w:r w:rsidR="005C06B5">
        <w:rPr>
          <w:rFonts w:ascii="Source Sans Pro" w:hAnsi="Source Sans Pro"/>
          <w:color w:val="333333"/>
          <w:sz w:val="21"/>
          <w:szCs w:val="21"/>
        </w:rPr>
        <w:t xml:space="preserve"> milestone and </w:t>
      </w:r>
      <w:r w:rsidR="00977F2C">
        <w:rPr>
          <w:rFonts w:ascii="Source Sans Pro" w:hAnsi="Source Sans Pro"/>
          <w:color w:val="333333"/>
          <w:sz w:val="21"/>
          <w:szCs w:val="21"/>
        </w:rPr>
        <w:t xml:space="preserve">the </w:t>
      </w:r>
      <w:r w:rsidR="005C06B5">
        <w:rPr>
          <w:rFonts w:ascii="Source Sans Pro" w:hAnsi="Source Sans Pro"/>
          <w:color w:val="333333"/>
          <w:sz w:val="21"/>
          <w:szCs w:val="21"/>
        </w:rPr>
        <w:t>future plans</w:t>
      </w:r>
      <w:r w:rsidR="005A12E4">
        <w:rPr>
          <w:rFonts w:ascii="Source Sans Pro" w:hAnsi="Source Sans Pro"/>
          <w:color w:val="333333"/>
          <w:sz w:val="21"/>
          <w:szCs w:val="21"/>
        </w:rPr>
        <w:t xml:space="preserve"> at our </w:t>
      </w:r>
      <w:r w:rsidR="00BD3DC8">
        <w:rPr>
          <w:rFonts w:ascii="Source Sans Pro" w:hAnsi="Source Sans Pro"/>
          <w:color w:val="333333"/>
          <w:sz w:val="21"/>
          <w:szCs w:val="21"/>
        </w:rPr>
        <w:t>advanced</w:t>
      </w:r>
      <w:r w:rsidR="005C06B5">
        <w:rPr>
          <w:rFonts w:ascii="Source Sans Pro" w:hAnsi="Source Sans Pro"/>
          <w:color w:val="333333"/>
          <w:sz w:val="21"/>
          <w:szCs w:val="21"/>
        </w:rPr>
        <w:t xml:space="preserve"> exploration </w:t>
      </w:r>
      <w:r w:rsidR="005A12E4">
        <w:rPr>
          <w:rFonts w:ascii="Source Sans Pro" w:hAnsi="Source Sans Pro"/>
          <w:color w:val="333333"/>
          <w:sz w:val="21"/>
          <w:szCs w:val="21"/>
        </w:rPr>
        <w:t xml:space="preserve">stage </w:t>
      </w:r>
      <w:r w:rsidR="00BD3DC8">
        <w:rPr>
          <w:rFonts w:ascii="Source Sans Pro" w:hAnsi="Source Sans Pro"/>
          <w:color w:val="333333"/>
          <w:sz w:val="21"/>
          <w:szCs w:val="21"/>
        </w:rPr>
        <w:t xml:space="preserve">gold project situated a short drive from Reno, Nevada, please reach out to our team </w:t>
      </w:r>
      <w:r w:rsidR="005C06B5">
        <w:rPr>
          <w:rFonts w:ascii="Source Sans Pro" w:hAnsi="Source Sans Pro"/>
          <w:color w:val="333333"/>
          <w:sz w:val="21"/>
          <w:szCs w:val="21"/>
        </w:rPr>
        <w:t>and</w:t>
      </w:r>
      <w:r w:rsidR="00BD3DC8">
        <w:rPr>
          <w:rFonts w:ascii="Source Sans Pro" w:hAnsi="Source Sans Pro"/>
          <w:color w:val="333333"/>
          <w:sz w:val="21"/>
          <w:szCs w:val="21"/>
        </w:rPr>
        <w:t xml:space="preserve"> drop by booth #2341.” </w:t>
      </w:r>
    </w:p>
    <w:p w14:paraId="34DB76DA" w14:textId="77777777" w:rsidR="00FC64E0" w:rsidRDefault="00FC64E0" w:rsidP="00E55EF8">
      <w:pPr>
        <w:pStyle w:val="NormalWeb"/>
        <w:shd w:val="clear" w:color="auto" w:fill="FFFFFF"/>
        <w:spacing w:before="360" w:beforeAutospacing="0" w:after="180" w:afterAutospacing="0"/>
        <w:rPr>
          <w:rFonts w:ascii="Source Sans Pro" w:hAnsi="Source Sans Pro"/>
          <w:color w:val="333333"/>
          <w:sz w:val="21"/>
          <w:szCs w:val="21"/>
        </w:rPr>
      </w:pPr>
      <w:r>
        <w:rPr>
          <w:rFonts w:ascii="Source Sans Pro" w:hAnsi="Source Sans Pro"/>
          <w:b/>
          <w:bCs/>
          <w:color w:val="333333"/>
          <w:sz w:val="21"/>
          <w:szCs w:val="21"/>
        </w:rPr>
        <w:t>About PDAC</w:t>
      </w:r>
    </w:p>
    <w:p w14:paraId="626B5E3D" w14:textId="77777777" w:rsidR="00FC64E0" w:rsidRDefault="00FC64E0" w:rsidP="00FC64E0">
      <w:pPr>
        <w:pStyle w:val="NormalWeb"/>
        <w:shd w:val="clear" w:color="auto" w:fill="FFFFFF"/>
        <w:spacing w:before="0" w:beforeAutospacing="0" w:after="150" w:afterAutospacing="0"/>
        <w:rPr>
          <w:rFonts w:ascii="Source Sans Pro" w:hAnsi="Source Sans Pro"/>
          <w:color w:val="333333"/>
          <w:sz w:val="21"/>
          <w:szCs w:val="21"/>
        </w:rPr>
      </w:pPr>
      <w:r>
        <w:rPr>
          <w:rFonts w:ascii="Source Sans Pro" w:hAnsi="Source Sans Pro"/>
          <w:color w:val="333333"/>
          <w:sz w:val="21"/>
          <w:szCs w:val="21"/>
        </w:rPr>
        <w:t>PDAC 2023: The World’s Premier Mineral Exploration &amp; Mining Convention is the leading event for people, companies and organizations connected to mineral exploration.</w:t>
      </w:r>
    </w:p>
    <w:p w14:paraId="4C0B2A38" w14:textId="77777777" w:rsidR="00FC64E0" w:rsidRDefault="00FC64E0" w:rsidP="00FC64E0">
      <w:pPr>
        <w:pStyle w:val="NormalWeb"/>
        <w:shd w:val="clear" w:color="auto" w:fill="FFFFFF"/>
        <w:spacing w:before="0" w:beforeAutospacing="0" w:after="150" w:afterAutospacing="0"/>
        <w:rPr>
          <w:rFonts w:ascii="Source Sans Pro" w:hAnsi="Source Sans Pro"/>
          <w:color w:val="333333"/>
          <w:sz w:val="21"/>
          <w:szCs w:val="21"/>
        </w:rPr>
      </w:pPr>
      <w:r>
        <w:rPr>
          <w:rFonts w:ascii="Source Sans Pro" w:hAnsi="Source Sans Pro"/>
          <w:color w:val="333333"/>
          <w:sz w:val="21"/>
          <w:szCs w:val="21"/>
        </w:rPr>
        <w:t xml:space="preserve">This annual convention in Toronto, Canada is known for attracting up to 30,000 attendees from over 130+ countries for its educational programming, networking events, outstanding business opportunities and fun. Since it began in 1932, the PDAC Convention has </w:t>
      </w:r>
      <w:proofErr w:type="gramStart"/>
      <w:r>
        <w:rPr>
          <w:rFonts w:ascii="Source Sans Pro" w:hAnsi="Source Sans Pro"/>
          <w:color w:val="333333"/>
          <w:sz w:val="21"/>
          <w:szCs w:val="21"/>
        </w:rPr>
        <w:t>grown in size</w:t>
      </w:r>
      <w:proofErr w:type="gramEnd"/>
      <w:r>
        <w:rPr>
          <w:rFonts w:ascii="Source Sans Pro" w:hAnsi="Source Sans Pro"/>
          <w:color w:val="333333"/>
          <w:sz w:val="21"/>
          <w:szCs w:val="21"/>
        </w:rPr>
        <w:t>, stature and influence. Today, it is the event of choice for the world’s mineral industry hosting more than 1,100 exhibitors and 2,500 investors.</w:t>
      </w:r>
    </w:p>
    <w:p w14:paraId="635F7AF0" w14:textId="4370C0BF" w:rsidR="00FC64E0" w:rsidRDefault="00FC64E0" w:rsidP="00FC64E0">
      <w:pPr>
        <w:pStyle w:val="NormalWeb"/>
        <w:shd w:val="clear" w:color="auto" w:fill="FFFFFF"/>
        <w:spacing w:before="0" w:beforeAutospacing="0" w:after="150" w:afterAutospacing="0"/>
        <w:rPr>
          <w:rFonts w:ascii="Source Sans Pro" w:hAnsi="Source Sans Pro"/>
          <w:color w:val="333333"/>
          <w:sz w:val="21"/>
          <w:szCs w:val="21"/>
        </w:rPr>
      </w:pPr>
      <w:r>
        <w:rPr>
          <w:rFonts w:ascii="Source Sans Pro" w:hAnsi="Source Sans Pro"/>
          <w:color w:val="333333"/>
          <w:sz w:val="21"/>
          <w:szCs w:val="21"/>
        </w:rPr>
        <w:t>For more information and/or to register for the conference please visit: </w:t>
      </w:r>
      <w:hyperlink r:id="rId9" w:history="1">
        <w:r>
          <w:rPr>
            <w:rStyle w:val="Hyperlink"/>
            <w:rFonts w:ascii="Source Sans Pro" w:hAnsi="Source Sans Pro"/>
            <w:color w:val="337AB7"/>
            <w:sz w:val="21"/>
            <w:szCs w:val="21"/>
          </w:rPr>
          <w:t>https://www.pdac.ca/convention/attend/registration</w:t>
        </w:r>
      </w:hyperlink>
      <w:r>
        <w:rPr>
          <w:rFonts w:ascii="Source Sans Pro" w:hAnsi="Source Sans Pro"/>
          <w:color w:val="333333"/>
          <w:sz w:val="21"/>
          <w:szCs w:val="21"/>
        </w:rPr>
        <w:t>.</w:t>
      </w:r>
    </w:p>
    <w:p w14:paraId="579F340E" w14:textId="7E95B7EB" w:rsidR="00BD3DC8" w:rsidRPr="00B22531" w:rsidRDefault="00AA6E1A" w:rsidP="00FC64E0">
      <w:pPr>
        <w:pStyle w:val="NormalWeb"/>
        <w:shd w:val="clear" w:color="auto" w:fill="FFFFFF"/>
        <w:spacing w:before="0" w:beforeAutospacing="0" w:after="150" w:afterAutospacing="0"/>
        <w:rPr>
          <w:rFonts w:ascii="Source Sans Pro" w:hAnsi="Source Sans Pro"/>
          <w:b/>
          <w:bCs/>
          <w:color w:val="333333"/>
          <w:sz w:val="21"/>
          <w:szCs w:val="21"/>
        </w:rPr>
      </w:pPr>
      <w:r>
        <w:rPr>
          <w:rFonts w:ascii="Source Sans Pro" w:hAnsi="Source Sans Pro"/>
          <w:b/>
          <w:bCs/>
          <w:color w:val="333333"/>
          <w:sz w:val="21"/>
          <w:szCs w:val="21"/>
        </w:rPr>
        <w:br w:type="column"/>
      </w:r>
      <w:r w:rsidR="00033C90" w:rsidRPr="00B22531">
        <w:rPr>
          <w:rFonts w:ascii="Source Sans Pro" w:hAnsi="Source Sans Pro"/>
          <w:b/>
          <w:bCs/>
          <w:color w:val="333333"/>
          <w:sz w:val="21"/>
          <w:szCs w:val="21"/>
        </w:rPr>
        <w:t>Fondaway Canyon Mineral Resource Estimate</w:t>
      </w:r>
    </w:p>
    <w:p w14:paraId="5AB71C71" w14:textId="77777777" w:rsidR="00767CA7" w:rsidRDefault="00767CA7" w:rsidP="00767CA7">
      <w:pPr>
        <w:spacing w:before="240" w:after="0" w:line="252" w:lineRule="auto"/>
        <w:jc w:val="both"/>
        <w:rPr>
          <w:rFonts w:eastAsia="Times New Roman" w:cstheme="minorHAnsi"/>
        </w:rPr>
      </w:pPr>
      <w:r>
        <w:rPr>
          <w:rFonts w:eastAsia="Times New Roman" w:cstheme="minorHAnsi"/>
        </w:rPr>
        <w:t>The results of the Mineral Resource Estimate are as follows:</w:t>
      </w:r>
    </w:p>
    <w:p w14:paraId="3DCAFC3C" w14:textId="77777777" w:rsidR="00767CA7" w:rsidRDefault="00767CA7" w:rsidP="00767CA7">
      <w:pPr>
        <w:pStyle w:val="Caption"/>
        <w:spacing w:before="200" w:after="60"/>
        <w:jc w:val="both"/>
        <w:rPr>
          <w:color w:val="7F7F7F" w:themeColor="text1" w:themeTint="80"/>
        </w:rPr>
      </w:pPr>
      <w:r>
        <w:rPr>
          <w:color w:val="7F7F7F" w:themeColor="text1" w:themeTint="80"/>
        </w:rPr>
        <w:t>Table</w:t>
      </w:r>
      <w:r w:rsidRPr="00BE2341">
        <w:rPr>
          <w:color w:val="7F7F7F" w:themeColor="text1" w:themeTint="80"/>
        </w:rPr>
        <w:t xml:space="preserve"> </w:t>
      </w:r>
      <w:r>
        <w:rPr>
          <w:color w:val="7F7F7F" w:themeColor="text1" w:themeTint="80"/>
        </w:rPr>
        <w:t>1</w:t>
      </w:r>
      <w:r w:rsidRPr="00BE2341">
        <w:rPr>
          <w:color w:val="7F7F7F" w:themeColor="text1" w:themeTint="80"/>
        </w:rPr>
        <w:t>:  Fondaway Canyon</w:t>
      </w:r>
      <w:r>
        <w:rPr>
          <w:color w:val="7F7F7F" w:themeColor="text1" w:themeTint="80"/>
        </w:rPr>
        <w:t xml:space="preserve"> Global Mineral Resources Estimate at a price of US$ 1,650 per ounce.</w:t>
      </w:r>
    </w:p>
    <w:p w14:paraId="2F3B53D4" w14:textId="77777777" w:rsidR="00767CA7" w:rsidRDefault="00767CA7" w:rsidP="00767CA7">
      <w:pPr>
        <w:spacing w:after="0" w:line="252" w:lineRule="auto"/>
        <w:jc w:val="both"/>
        <w:rPr>
          <w:rFonts w:eastAsia="Times New Roman" w:cstheme="minorHAnsi"/>
        </w:rPr>
      </w:pPr>
      <w:r>
        <w:rPr>
          <w:rFonts w:eastAsia="Times New Roman" w:cstheme="minorHAnsi"/>
          <w:noProof/>
        </w:rPr>
        <w:drawing>
          <wp:inline distT="0" distB="0" distL="0" distR="0" wp14:anchorId="53E1E02C" wp14:editId="1B61DAAB">
            <wp:extent cx="5522339" cy="916536"/>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2339" cy="916536"/>
                    </a:xfrm>
                    <a:prstGeom prst="rect">
                      <a:avLst/>
                    </a:prstGeom>
                  </pic:spPr>
                </pic:pic>
              </a:graphicData>
            </a:graphic>
          </wp:inline>
        </w:drawing>
      </w:r>
    </w:p>
    <w:p w14:paraId="120BB12D" w14:textId="77777777" w:rsidR="00767CA7" w:rsidRDefault="00767CA7" w:rsidP="00767CA7">
      <w:pPr>
        <w:pStyle w:val="Caption"/>
        <w:spacing w:before="200" w:after="60"/>
        <w:jc w:val="both"/>
        <w:rPr>
          <w:color w:val="7F7F7F" w:themeColor="text1" w:themeTint="80"/>
        </w:rPr>
      </w:pPr>
      <w:r>
        <w:rPr>
          <w:color w:val="7F7F7F" w:themeColor="text1" w:themeTint="80"/>
        </w:rPr>
        <w:t>Table</w:t>
      </w:r>
      <w:r w:rsidRPr="00BE2341">
        <w:rPr>
          <w:color w:val="7F7F7F" w:themeColor="text1" w:themeTint="80"/>
        </w:rPr>
        <w:t xml:space="preserve"> </w:t>
      </w:r>
      <w:r>
        <w:rPr>
          <w:color w:val="7F7F7F" w:themeColor="text1" w:themeTint="80"/>
        </w:rPr>
        <w:t>2</w:t>
      </w:r>
      <w:r w:rsidRPr="00BE2341">
        <w:rPr>
          <w:color w:val="7F7F7F" w:themeColor="text1" w:themeTint="80"/>
        </w:rPr>
        <w:t>:  Fondaway Canyon</w:t>
      </w:r>
      <w:r>
        <w:rPr>
          <w:color w:val="7F7F7F" w:themeColor="text1" w:themeTint="80"/>
        </w:rPr>
        <w:t xml:space="preserve"> Mineral Resource Estimate by Zone</w:t>
      </w:r>
    </w:p>
    <w:p w14:paraId="6598D7EC" w14:textId="2D5713A0" w:rsidR="00767CA7" w:rsidRDefault="00767CA7" w:rsidP="00767CA7">
      <w:pPr>
        <w:spacing w:after="240" w:line="252" w:lineRule="auto"/>
        <w:jc w:val="both"/>
        <w:rPr>
          <w:rFonts w:eastAsia="Times New Roman" w:cstheme="minorHAnsi"/>
        </w:rPr>
      </w:pPr>
      <w:r>
        <w:rPr>
          <w:rFonts w:eastAsia="Times New Roman" w:cstheme="minorHAnsi"/>
          <w:noProof/>
        </w:rPr>
        <w:drawing>
          <wp:inline distT="0" distB="0" distL="0" distR="0" wp14:anchorId="140E8E11" wp14:editId="0D6CE1A5">
            <wp:extent cx="5943599" cy="1640871"/>
            <wp:effectExtent l="0" t="0" r="63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1640871"/>
                    </a:xfrm>
                    <a:prstGeom prst="rect">
                      <a:avLst/>
                    </a:prstGeom>
                  </pic:spPr>
                </pic:pic>
              </a:graphicData>
            </a:graphic>
          </wp:inline>
        </w:drawing>
      </w:r>
    </w:p>
    <w:p w14:paraId="0098BBB8" w14:textId="77777777" w:rsidR="00AA6E1A" w:rsidRDefault="00AA6E1A" w:rsidP="00767CA7">
      <w:pPr>
        <w:spacing w:after="240" w:line="252" w:lineRule="auto"/>
        <w:jc w:val="both"/>
        <w:rPr>
          <w:rFonts w:eastAsia="Times New Roman" w:cstheme="minorHAnsi"/>
        </w:rPr>
      </w:pPr>
    </w:p>
    <w:p w14:paraId="33A06B00" w14:textId="77777777" w:rsidR="00767CA7" w:rsidRDefault="00767CA7" w:rsidP="00767CA7">
      <w:pPr>
        <w:spacing w:after="60"/>
        <w:ind w:left="-567"/>
        <w:jc w:val="both"/>
        <w:rPr>
          <w:color w:val="000000"/>
        </w:rPr>
      </w:pPr>
      <w:r>
        <w:rPr>
          <w:noProof/>
          <w:color w:val="000000"/>
        </w:rPr>
        <w:drawing>
          <wp:inline distT="0" distB="0" distL="0" distR="0" wp14:anchorId="251924A6" wp14:editId="509FC680">
            <wp:extent cx="6630606" cy="2898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0606" cy="2898816"/>
                    </a:xfrm>
                    <a:prstGeom prst="rect">
                      <a:avLst/>
                    </a:prstGeom>
                  </pic:spPr>
                </pic:pic>
              </a:graphicData>
            </a:graphic>
          </wp:inline>
        </w:drawing>
      </w:r>
    </w:p>
    <w:p w14:paraId="2C35B8EA" w14:textId="357F82BD" w:rsidR="00767CA7" w:rsidRDefault="00767CA7" w:rsidP="00767CA7">
      <w:pPr>
        <w:spacing w:after="60"/>
        <w:ind w:left="-567"/>
        <w:jc w:val="both"/>
        <w:rPr>
          <w:color w:val="7F7F7F" w:themeColor="text1" w:themeTint="80"/>
        </w:rPr>
      </w:pPr>
      <w:r>
        <w:rPr>
          <w:color w:val="7F7F7F" w:themeColor="text1" w:themeTint="80"/>
        </w:rPr>
        <w:t>Figure</w:t>
      </w:r>
      <w:r w:rsidRPr="00BE2341">
        <w:rPr>
          <w:color w:val="7F7F7F" w:themeColor="text1" w:themeTint="80"/>
        </w:rPr>
        <w:t xml:space="preserve"> </w:t>
      </w:r>
      <w:r>
        <w:rPr>
          <w:color w:val="7F7F7F" w:themeColor="text1" w:themeTint="80"/>
        </w:rPr>
        <w:t>1</w:t>
      </w:r>
      <w:r w:rsidRPr="00BE2341">
        <w:rPr>
          <w:color w:val="7F7F7F" w:themeColor="text1" w:themeTint="80"/>
        </w:rPr>
        <w:t>:  Fondaway Canyon</w:t>
      </w:r>
      <w:r>
        <w:rPr>
          <w:color w:val="7F7F7F" w:themeColor="text1" w:themeTint="80"/>
        </w:rPr>
        <w:t xml:space="preserve"> Project MRE showing conceptual pits and Central Zone gold grade block model</w:t>
      </w:r>
      <w:r w:rsidR="00AA6E1A">
        <w:rPr>
          <w:color w:val="7F7F7F" w:themeColor="text1" w:themeTint="80"/>
        </w:rPr>
        <w:t xml:space="preserve"> in </w:t>
      </w:r>
      <w:proofErr w:type="spellStart"/>
      <w:r w:rsidR="00AA6E1A">
        <w:rPr>
          <w:color w:val="7F7F7F" w:themeColor="text1" w:themeTint="80"/>
        </w:rPr>
        <w:t>plan</w:t>
      </w:r>
      <w:proofErr w:type="spellEnd"/>
      <w:r w:rsidR="00AA6E1A">
        <w:rPr>
          <w:color w:val="7F7F7F" w:themeColor="text1" w:themeTint="80"/>
        </w:rPr>
        <w:t xml:space="preserve"> view</w:t>
      </w:r>
      <w:r w:rsidR="0020703A">
        <w:rPr>
          <w:color w:val="7F7F7F" w:themeColor="text1" w:themeTint="80"/>
        </w:rPr>
        <w:t>.</w:t>
      </w:r>
    </w:p>
    <w:p w14:paraId="2403C1A6" w14:textId="77777777" w:rsidR="00767CA7" w:rsidRDefault="00767CA7" w:rsidP="00767CA7">
      <w:pPr>
        <w:spacing w:after="60"/>
        <w:ind w:left="-567"/>
        <w:jc w:val="both"/>
        <w:rPr>
          <w:color w:val="000000"/>
        </w:rPr>
      </w:pPr>
    </w:p>
    <w:p w14:paraId="3F28D293" w14:textId="77777777" w:rsidR="00767CA7" w:rsidRDefault="00767CA7" w:rsidP="00AA6E1A">
      <w:pPr>
        <w:spacing w:after="60"/>
        <w:rPr>
          <w:rFonts w:ascii="Calibri" w:hAnsi="Calibri" w:cs="Calibri"/>
          <w:color w:val="auto"/>
          <w:lang w:val="en-CA"/>
        </w:rPr>
      </w:pPr>
      <w:r>
        <w:rPr>
          <w:rFonts w:ascii="Calibri" w:hAnsi="Calibri" w:cs="Calibri"/>
          <w:noProof/>
          <w:color w:val="auto"/>
          <w:lang w:val="en-CA"/>
        </w:rPr>
        <w:drawing>
          <wp:inline distT="0" distB="0" distL="0" distR="0" wp14:anchorId="1C8F004F" wp14:editId="464287C8">
            <wp:extent cx="5130140" cy="3649377"/>
            <wp:effectExtent l="0" t="0" r="0" b="825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5836" cy="3696110"/>
                    </a:xfrm>
                    <a:prstGeom prst="rect">
                      <a:avLst/>
                    </a:prstGeom>
                  </pic:spPr>
                </pic:pic>
              </a:graphicData>
            </a:graphic>
          </wp:inline>
        </w:drawing>
      </w:r>
    </w:p>
    <w:p w14:paraId="1C232001" w14:textId="1021EAD8" w:rsidR="00767CA7" w:rsidRDefault="00767CA7" w:rsidP="00AA6E1A">
      <w:pPr>
        <w:spacing w:after="60"/>
        <w:jc w:val="both"/>
        <w:rPr>
          <w:color w:val="7F7F7F" w:themeColor="text1" w:themeTint="80"/>
        </w:rPr>
      </w:pPr>
      <w:r>
        <w:rPr>
          <w:color w:val="7F7F7F" w:themeColor="text1" w:themeTint="80"/>
        </w:rPr>
        <w:t>Figure</w:t>
      </w:r>
      <w:r w:rsidRPr="00BE2341">
        <w:rPr>
          <w:color w:val="7F7F7F" w:themeColor="text1" w:themeTint="80"/>
        </w:rPr>
        <w:t xml:space="preserve"> </w:t>
      </w:r>
      <w:r>
        <w:rPr>
          <w:color w:val="7F7F7F" w:themeColor="text1" w:themeTint="80"/>
        </w:rPr>
        <w:t>2</w:t>
      </w:r>
      <w:r w:rsidRPr="00BE2341">
        <w:rPr>
          <w:color w:val="7F7F7F" w:themeColor="text1" w:themeTint="80"/>
        </w:rPr>
        <w:t>:  Fondaway Canyon</w:t>
      </w:r>
      <w:r>
        <w:rPr>
          <w:color w:val="7F7F7F" w:themeColor="text1" w:themeTint="80"/>
        </w:rPr>
        <w:t xml:space="preserve"> MRE 3D gold grade block model </w:t>
      </w:r>
      <w:r w:rsidR="00AA6E1A">
        <w:rPr>
          <w:color w:val="7F7F7F" w:themeColor="text1" w:themeTint="80"/>
        </w:rPr>
        <w:t xml:space="preserve">sliced through the </w:t>
      </w:r>
      <w:r>
        <w:rPr>
          <w:color w:val="7F7F7F" w:themeColor="text1" w:themeTint="80"/>
        </w:rPr>
        <w:t xml:space="preserve">Colorado SW </w:t>
      </w:r>
      <w:r w:rsidR="00AA6E1A">
        <w:rPr>
          <w:color w:val="7F7F7F" w:themeColor="text1" w:themeTint="80"/>
        </w:rPr>
        <w:t>zone</w:t>
      </w:r>
      <w:r>
        <w:rPr>
          <w:color w:val="7F7F7F" w:themeColor="text1" w:themeTint="80"/>
        </w:rPr>
        <w:t xml:space="preserve"> </w:t>
      </w:r>
      <w:r w:rsidR="00AA6E1A">
        <w:rPr>
          <w:color w:val="7F7F7F" w:themeColor="text1" w:themeTint="80"/>
        </w:rPr>
        <w:t>showing select drill hole gold intervals.</w:t>
      </w:r>
    </w:p>
    <w:p w14:paraId="0A8F8E99" w14:textId="77777777" w:rsidR="00767CA7" w:rsidRDefault="00767CA7" w:rsidP="00AA6E1A">
      <w:pPr>
        <w:spacing w:after="60"/>
        <w:rPr>
          <w:rFonts w:ascii="Calibri" w:hAnsi="Calibri" w:cs="Calibri"/>
          <w:color w:val="auto"/>
          <w:lang w:val="en-CA"/>
        </w:rPr>
      </w:pPr>
      <w:r>
        <w:rPr>
          <w:rFonts w:ascii="Calibri" w:hAnsi="Calibri" w:cs="Calibri"/>
          <w:noProof/>
          <w:color w:val="auto"/>
          <w:lang w:val="en-CA"/>
        </w:rPr>
        <w:drawing>
          <wp:inline distT="0" distB="0" distL="0" distR="0" wp14:anchorId="167035A5" wp14:editId="31E8F3BA">
            <wp:extent cx="5129530" cy="3625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6054" cy="3650940"/>
                    </a:xfrm>
                    <a:prstGeom prst="rect">
                      <a:avLst/>
                    </a:prstGeom>
                  </pic:spPr>
                </pic:pic>
              </a:graphicData>
            </a:graphic>
          </wp:inline>
        </w:drawing>
      </w:r>
    </w:p>
    <w:p w14:paraId="5F0E3C61" w14:textId="2831A63C" w:rsidR="00AA6E1A" w:rsidRDefault="00767CA7" w:rsidP="00AA6E1A">
      <w:pPr>
        <w:spacing w:after="60"/>
        <w:jc w:val="both"/>
        <w:rPr>
          <w:color w:val="7F7F7F" w:themeColor="text1" w:themeTint="80"/>
        </w:rPr>
      </w:pPr>
      <w:r>
        <w:rPr>
          <w:color w:val="7F7F7F" w:themeColor="text1" w:themeTint="80"/>
        </w:rPr>
        <w:t>Figure</w:t>
      </w:r>
      <w:r w:rsidRPr="00BE2341">
        <w:rPr>
          <w:color w:val="7F7F7F" w:themeColor="text1" w:themeTint="80"/>
        </w:rPr>
        <w:t xml:space="preserve"> </w:t>
      </w:r>
      <w:r>
        <w:rPr>
          <w:color w:val="7F7F7F" w:themeColor="text1" w:themeTint="80"/>
        </w:rPr>
        <w:t>3</w:t>
      </w:r>
      <w:r w:rsidRPr="00BE2341">
        <w:rPr>
          <w:color w:val="7F7F7F" w:themeColor="text1" w:themeTint="80"/>
        </w:rPr>
        <w:t>:  Fondaway Canyon</w:t>
      </w:r>
      <w:r>
        <w:rPr>
          <w:color w:val="7F7F7F" w:themeColor="text1" w:themeTint="80"/>
        </w:rPr>
        <w:t xml:space="preserve"> Project MRE 3D gold grade block model </w:t>
      </w:r>
      <w:r w:rsidR="00AA6E1A">
        <w:rPr>
          <w:color w:val="7F7F7F" w:themeColor="text1" w:themeTint="80"/>
        </w:rPr>
        <w:t>sliced through the</w:t>
      </w:r>
      <w:r>
        <w:rPr>
          <w:color w:val="7F7F7F" w:themeColor="text1" w:themeTint="80"/>
        </w:rPr>
        <w:t xml:space="preserve"> North Fork </w:t>
      </w:r>
      <w:r w:rsidR="00AA6E1A">
        <w:rPr>
          <w:color w:val="7F7F7F" w:themeColor="text1" w:themeTint="80"/>
        </w:rPr>
        <w:t>zone</w:t>
      </w:r>
      <w:r>
        <w:rPr>
          <w:color w:val="7F7F7F" w:themeColor="text1" w:themeTint="80"/>
        </w:rPr>
        <w:t xml:space="preserve"> </w:t>
      </w:r>
      <w:r w:rsidR="00AA6E1A">
        <w:rPr>
          <w:color w:val="7F7F7F" w:themeColor="text1" w:themeTint="80"/>
        </w:rPr>
        <w:t>showing select drill hole</w:t>
      </w:r>
      <w:r w:rsidR="00B22531">
        <w:rPr>
          <w:color w:val="7F7F7F" w:themeColor="text1" w:themeTint="80"/>
        </w:rPr>
        <w:t xml:space="preserve"> </w:t>
      </w:r>
      <w:r w:rsidR="00AA6E1A">
        <w:rPr>
          <w:color w:val="7F7F7F" w:themeColor="text1" w:themeTint="80"/>
        </w:rPr>
        <w:t>gold intervals.</w:t>
      </w:r>
    </w:p>
    <w:p w14:paraId="7A088565" w14:textId="77777777" w:rsidR="00767CA7" w:rsidRDefault="00767CA7" w:rsidP="00767CA7">
      <w:pPr>
        <w:spacing w:after="180"/>
        <w:jc w:val="both"/>
        <w:rPr>
          <w:color w:val="000000"/>
        </w:rPr>
      </w:pPr>
    </w:p>
    <w:p w14:paraId="33F25CF7" w14:textId="5AE72F99" w:rsidR="00767CA7" w:rsidRDefault="00977F2C" w:rsidP="00767CA7">
      <w:pPr>
        <w:spacing w:after="180"/>
        <w:jc w:val="both"/>
        <w:rPr>
          <w:color w:val="000000"/>
        </w:rPr>
      </w:pPr>
      <w:r>
        <w:rPr>
          <w:color w:val="000000"/>
        </w:rPr>
        <w:t>*</w:t>
      </w:r>
      <w:r w:rsidR="00767CA7">
        <w:rPr>
          <w:color w:val="000000"/>
        </w:rPr>
        <w:t>The Fondaway Canyon Mineral Resources Estimate is based on 518 reverse circulation and diamond drill holes totaling 52,395 metres (171,900 feet) spanning over forty years to the present along a 3.5 km East-West gold trend (Figure 1).</w:t>
      </w:r>
    </w:p>
    <w:p w14:paraId="73E55182" w14:textId="77777777" w:rsidR="00767CA7" w:rsidRDefault="00767CA7" w:rsidP="00767CA7">
      <w:pPr>
        <w:spacing w:after="60"/>
        <w:jc w:val="both"/>
        <w:rPr>
          <w:color w:val="000000"/>
        </w:rPr>
      </w:pPr>
      <w:r>
        <w:rPr>
          <w:color w:val="000000"/>
        </w:rPr>
        <w:t>The MRE represents a significant expansion to a historic Mineral Resources Estimate published by a previous operator in 2017 by:</w:t>
      </w:r>
    </w:p>
    <w:p w14:paraId="3F74EA01" w14:textId="77777777" w:rsidR="00767CA7" w:rsidRDefault="00767CA7" w:rsidP="00767CA7">
      <w:pPr>
        <w:pStyle w:val="ListParagraph"/>
        <w:numPr>
          <w:ilvl w:val="0"/>
          <w:numId w:val="42"/>
        </w:numPr>
        <w:spacing w:after="180"/>
        <w:ind w:left="709" w:hanging="425"/>
        <w:jc w:val="both"/>
        <w:rPr>
          <w:color w:val="000000"/>
        </w:rPr>
      </w:pPr>
      <w:r>
        <w:rPr>
          <w:color w:val="000000"/>
        </w:rPr>
        <w:t xml:space="preserve">Primarily </w:t>
      </w:r>
      <w:r w:rsidRPr="00D02989">
        <w:rPr>
          <w:color w:val="000000"/>
        </w:rPr>
        <w:t xml:space="preserve">modelling the Mineral Resources </w:t>
      </w:r>
      <w:r>
        <w:rPr>
          <w:color w:val="000000"/>
        </w:rPr>
        <w:t>as a bulk tonnage target with a conceptual open pit mining scenario versus a solely underground extraction scenario;</w:t>
      </w:r>
    </w:p>
    <w:p w14:paraId="0341F2EC" w14:textId="77777777" w:rsidR="00767CA7" w:rsidRDefault="00767CA7" w:rsidP="00767CA7">
      <w:pPr>
        <w:pStyle w:val="ListParagraph"/>
        <w:numPr>
          <w:ilvl w:val="0"/>
          <w:numId w:val="42"/>
        </w:numPr>
        <w:spacing w:after="180"/>
        <w:ind w:left="709" w:hanging="425"/>
        <w:jc w:val="both"/>
        <w:rPr>
          <w:color w:val="000000"/>
        </w:rPr>
      </w:pPr>
      <w:r>
        <w:rPr>
          <w:color w:val="000000"/>
        </w:rPr>
        <w:t xml:space="preserve">The addition of new assay results from 26 diamond drill holes (2017 to 2022) that were completed </w:t>
      </w:r>
      <w:proofErr w:type="gramStart"/>
      <w:r>
        <w:rPr>
          <w:color w:val="000000"/>
        </w:rPr>
        <w:t>subsequent to</w:t>
      </w:r>
      <w:proofErr w:type="gramEnd"/>
      <w:r>
        <w:rPr>
          <w:color w:val="000000"/>
        </w:rPr>
        <w:t xml:space="preserve"> the release of the historic 2017 Mineral Resources Estimate; and</w:t>
      </w:r>
    </w:p>
    <w:p w14:paraId="1410F0F3" w14:textId="371B5726" w:rsidR="00767CA7" w:rsidRPr="00E830BB" w:rsidRDefault="00767CA7" w:rsidP="00767CA7">
      <w:pPr>
        <w:pStyle w:val="ListParagraph"/>
        <w:numPr>
          <w:ilvl w:val="0"/>
          <w:numId w:val="42"/>
        </w:numPr>
        <w:spacing w:after="180"/>
        <w:ind w:left="709" w:hanging="425"/>
        <w:jc w:val="both"/>
        <w:rPr>
          <w:color w:val="000000"/>
        </w:rPr>
      </w:pPr>
      <w:r>
        <w:rPr>
          <w:color w:val="000000"/>
        </w:rPr>
        <w:t>Major discoveries in 2020 and expansion of the new zones drilled through 2022.</w:t>
      </w:r>
    </w:p>
    <w:p w14:paraId="68F84A02" w14:textId="77777777" w:rsidR="00767CA7" w:rsidRDefault="00767CA7" w:rsidP="00767CA7">
      <w:pPr>
        <w:spacing w:after="180"/>
        <w:jc w:val="both"/>
        <w:rPr>
          <w:color w:val="000000"/>
        </w:rPr>
      </w:pPr>
      <w:r>
        <w:rPr>
          <w:color w:val="000000"/>
        </w:rPr>
        <w:t>Nineteen (19) drill holes, FCG20-01 to FCG22-19, totaling 6,973 metres (22,877 feet) drilled by the Company in 2020, 2021, and 2022, were considered in the current MRE and represent a significant component of the expanded gold mineralization.</w:t>
      </w:r>
    </w:p>
    <w:p w14:paraId="183C1442" w14:textId="77777777" w:rsidR="00767CA7" w:rsidRDefault="00767CA7" w:rsidP="00767CA7">
      <w:pPr>
        <w:spacing w:after="180"/>
        <w:jc w:val="both"/>
        <w:rPr>
          <w:color w:val="000000"/>
        </w:rPr>
      </w:pPr>
      <w:r>
        <w:rPr>
          <w:color w:val="000000"/>
        </w:rPr>
        <w:t xml:space="preserve">Nine (9) holes drilled in 2022, FCG22-20 through FCG22-28, totaling 3,473 metres (11,394 feet) were completed </w:t>
      </w:r>
      <w:proofErr w:type="gramStart"/>
      <w:r>
        <w:rPr>
          <w:color w:val="000000"/>
        </w:rPr>
        <w:t>subsequent to</w:t>
      </w:r>
      <w:proofErr w:type="gramEnd"/>
      <w:r>
        <w:rPr>
          <w:color w:val="000000"/>
        </w:rPr>
        <w:t xml:space="preserve"> the cut-off for inclusion into the MRE.  The assay results from these nine 2022 holes will be incorporated into a future Mineral Resources Estimate.</w:t>
      </w:r>
    </w:p>
    <w:p w14:paraId="56B07F16" w14:textId="77777777" w:rsidR="00767CA7" w:rsidRDefault="00767CA7" w:rsidP="00AA6E1A">
      <w:pPr>
        <w:spacing w:after="120"/>
        <w:jc w:val="both"/>
        <w:rPr>
          <w:color w:val="000000"/>
        </w:rPr>
      </w:pPr>
      <w:r>
        <w:rPr>
          <w:color w:val="000000"/>
        </w:rPr>
        <w:t>Notes on the Mineral Resource Estimate:</w:t>
      </w:r>
    </w:p>
    <w:p w14:paraId="4C08563E" w14:textId="77777777" w:rsidR="00767CA7" w:rsidRPr="00614265" w:rsidRDefault="00767CA7" w:rsidP="00767CA7">
      <w:pPr>
        <w:pStyle w:val="ListParagraph"/>
        <w:numPr>
          <w:ilvl w:val="0"/>
          <w:numId w:val="40"/>
        </w:numPr>
        <w:spacing w:after="0" w:line="252" w:lineRule="auto"/>
        <w:ind w:left="426"/>
        <w:jc w:val="both"/>
        <w:rPr>
          <w:rFonts w:eastAsia="Times New Roman" w:cstheme="minorHAnsi"/>
          <w:color w:val="0D0D0D" w:themeColor="text1" w:themeTint="F2"/>
          <w:sz w:val="21"/>
          <w:szCs w:val="21"/>
        </w:rPr>
      </w:pPr>
      <w:r w:rsidRPr="00614265">
        <w:rPr>
          <w:rFonts w:eastAsia="Times New Roman" w:cstheme="minorHAnsi"/>
          <w:color w:val="0D0D0D" w:themeColor="text1" w:themeTint="F2"/>
          <w:sz w:val="21"/>
          <w:szCs w:val="21"/>
        </w:rPr>
        <w:t xml:space="preserve">The independent and qualified person for the mineral resources </w:t>
      </w:r>
      <w:proofErr w:type="gramStart"/>
      <w:r w:rsidRPr="00614265">
        <w:rPr>
          <w:rFonts w:eastAsia="Times New Roman" w:cstheme="minorHAnsi"/>
          <w:color w:val="0D0D0D" w:themeColor="text1" w:themeTint="F2"/>
          <w:sz w:val="21"/>
          <w:szCs w:val="21"/>
        </w:rPr>
        <w:t>estimate</w:t>
      </w:r>
      <w:proofErr w:type="gramEnd"/>
      <w:r w:rsidRPr="00614265">
        <w:rPr>
          <w:rFonts w:eastAsia="Times New Roman" w:cstheme="minorHAnsi"/>
          <w:color w:val="0D0D0D" w:themeColor="text1" w:themeTint="F2"/>
          <w:sz w:val="21"/>
          <w:szCs w:val="21"/>
        </w:rPr>
        <w:t>, as defined by NI 43-101, is Michael Dufresne, P.Geo., from APEX Geoscience Ltd.</w:t>
      </w:r>
    </w:p>
    <w:p w14:paraId="76E16DE6" w14:textId="77777777" w:rsidR="00767CA7" w:rsidRPr="00614265" w:rsidRDefault="00767CA7" w:rsidP="00767CA7">
      <w:pPr>
        <w:pStyle w:val="ListParagraph"/>
        <w:numPr>
          <w:ilvl w:val="0"/>
          <w:numId w:val="40"/>
        </w:numPr>
        <w:spacing w:after="0" w:line="252" w:lineRule="auto"/>
        <w:ind w:left="426"/>
        <w:jc w:val="both"/>
        <w:rPr>
          <w:rFonts w:eastAsia="Times New Roman" w:cstheme="minorHAnsi"/>
          <w:color w:val="0D0D0D" w:themeColor="text1" w:themeTint="F2"/>
          <w:sz w:val="21"/>
          <w:szCs w:val="21"/>
        </w:rPr>
      </w:pPr>
      <w:r w:rsidRPr="00614265">
        <w:rPr>
          <w:rFonts w:eastAsia="Times New Roman" w:cstheme="minorHAnsi"/>
          <w:color w:val="0D0D0D" w:themeColor="text1" w:themeTint="F2"/>
          <w:sz w:val="21"/>
          <w:szCs w:val="21"/>
        </w:rPr>
        <w:t xml:space="preserve">Mineral Resources, which are not Mineral Reserves, do not have demonstrated economic viability. There has been insufficient exploration to define the inferred resources tabulated above as an indicated or measured mineral resource, however, it is reasonably expected that </w:t>
      </w:r>
      <w:proofErr w:type="gramStart"/>
      <w:r w:rsidRPr="00614265">
        <w:rPr>
          <w:rFonts w:eastAsia="Times New Roman" w:cstheme="minorHAnsi"/>
          <w:color w:val="0D0D0D" w:themeColor="text1" w:themeTint="F2"/>
          <w:sz w:val="21"/>
          <w:szCs w:val="21"/>
        </w:rPr>
        <w:t>the majority of</w:t>
      </w:r>
      <w:proofErr w:type="gramEnd"/>
      <w:r w:rsidRPr="00614265">
        <w:rPr>
          <w:rFonts w:eastAsia="Times New Roman" w:cstheme="minorHAnsi"/>
          <w:color w:val="0D0D0D" w:themeColor="text1" w:themeTint="F2"/>
          <w:sz w:val="21"/>
          <w:szCs w:val="21"/>
        </w:rPr>
        <w:t xml:space="preserve"> the Inferred Mineral Resources could be upgraded to Indicated Mineral Resources with continued exploration. There is no guarantee that any part of the mineral resources discussed herein will be converted into a mineral reserve in the future. The estimate of Mineral Resources may be materially affected by environmental, permitting, legal, marketing, or other relevant issues. The mineral resources in this report were estimated using the Canadian Institute of Mining, Metallurgy and Petroleum standards on mineral resources and reserves, definitions, and guidelines prepared by the CIM standing committee on reserve definitions and adopted by the CIM council (CIM 2014 and 2019).</w:t>
      </w:r>
    </w:p>
    <w:p w14:paraId="09DAC535" w14:textId="6573898F" w:rsidR="00767CA7" w:rsidRDefault="00767CA7" w:rsidP="00767CA7">
      <w:pPr>
        <w:pStyle w:val="ListParagraph"/>
        <w:numPr>
          <w:ilvl w:val="0"/>
          <w:numId w:val="40"/>
        </w:numPr>
        <w:spacing w:after="0" w:line="252" w:lineRule="auto"/>
        <w:ind w:left="426"/>
        <w:jc w:val="both"/>
        <w:rPr>
          <w:rFonts w:eastAsia="Times New Roman" w:cstheme="minorHAnsi"/>
          <w:color w:val="0D0D0D" w:themeColor="text1" w:themeTint="F2"/>
          <w:sz w:val="21"/>
          <w:szCs w:val="21"/>
        </w:rPr>
      </w:pPr>
      <w:r w:rsidRPr="000B6E95">
        <w:rPr>
          <w:rFonts w:eastAsia="Times New Roman" w:cstheme="minorHAnsi"/>
          <w:color w:val="0D0D0D" w:themeColor="text1" w:themeTint="F2"/>
          <w:sz w:val="21"/>
          <w:szCs w:val="21"/>
        </w:rPr>
        <w:t>The effective date of the Mineral Resources Estimate is December 1</w:t>
      </w:r>
      <w:r>
        <w:rPr>
          <w:rFonts w:eastAsia="Times New Roman" w:cstheme="minorHAnsi"/>
          <w:color w:val="0D0D0D" w:themeColor="text1" w:themeTint="F2"/>
          <w:sz w:val="21"/>
          <w:szCs w:val="21"/>
        </w:rPr>
        <w:t>5</w:t>
      </w:r>
      <w:r w:rsidRPr="000B6E95">
        <w:rPr>
          <w:rFonts w:eastAsia="Times New Roman" w:cstheme="minorHAnsi"/>
          <w:color w:val="0D0D0D" w:themeColor="text1" w:themeTint="F2"/>
          <w:sz w:val="21"/>
          <w:szCs w:val="21"/>
        </w:rPr>
        <w:t>, 2022</w:t>
      </w:r>
      <w:r>
        <w:rPr>
          <w:rFonts w:eastAsia="Times New Roman" w:cstheme="minorHAnsi"/>
          <w:color w:val="0D0D0D" w:themeColor="text1" w:themeTint="F2"/>
          <w:sz w:val="21"/>
          <w:szCs w:val="21"/>
        </w:rPr>
        <w:t>,</w:t>
      </w:r>
      <w:r w:rsidRPr="000B6E95">
        <w:rPr>
          <w:rFonts w:eastAsia="Times New Roman" w:cstheme="minorHAnsi"/>
          <w:color w:val="0D0D0D" w:themeColor="text1" w:themeTint="F2"/>
          <w:sz w:val="21"/>
          <w:szCs w:val="21"/>
        </w:rPr>
        <w:t xml:space="preserve"> and the related technical report</w:t>
      </w:r>
      <w:r>
        <w:rPr>
          <w:rFonts w:eastAsia="Times New Roman" w:cstheme="minorHAnsi"/>
          <w:color w:val="0D0D0D" w:themeColor="text1" w:themeTint="F2"/>
          <w:sz w:val="21"/>
          <w:szCs w:val="21"/>
        </w:rPr>
        <w:t xml:space="preserve">, </w:t>
      </w:r>
      <w:r w:rsidR="00001214">
        <w:rPr>
          <w:rFonts w:eastAsia="Times New Roman" w:cstheme="minorHAnsi"/>
          <w:color w:val="0D0D0D" w:themeColor="text1" w:themeTint="F2"/>
          <w:sz w:val="21"/>
          <w:szCs w:val="21"/>
        </w:rPr>
        <w:t>titled “</w:t>
      </w:r>
      <w:r w:rsidR="00001214" w:rsidRPr="00001214">
        <w:rPr>
          <w:rFonts w:eastAsia="Times New Roman" w:cstheme="minorHAnsi"/>
          <w:color w:val="0D0D0D" w:themeColor="text1" w:themeTint="F2"/>
          <w:sz w:val="21"/>
          <w:szCs w:val="21"/>
        </w:rPr>
        <w:t>Technical Report Mineral Resource Estimate Fondaway Canyon Project, Nevada, USA</w:t>
      </w:r>
      <w:r w:rsidR="00001214">
        <w:rPr>
          <w:rFonts w:eastAsia="Times New Roman" w:cstheme="minorHAnsi"/>
          <w:color w:val="0D0D0D" w:themeColor="text1" w:themeTint="F2"/>
          <w:sz w:val="21"/>
          <w:szCs w:val="21"/>
        </w:rPr>
        <w:t xml:space="preserve">” </w:t>
      </w:r>
      <w:r>
        <w:rPr>
          <w:rFonts w:eastAsia="Times New Roman" w:cstheme="minorHAnsi"/>
          <w:color w:val="0D0D0D" w:themeColor="text1" w:themeTint="F2"/>
          <w:sz w:val="21"/>
          <w:szCs w:val="21"/>
        </w:rPr>
        <w:t>published on February 1, 2023, is available for download on the Company’s website and on SEDAR</w:t>
      </w:r>
      <w:r w:rsidRPr="000B6E95">
        <w:rPr>
          <w:rFonts w:eastAsia="Times New Roman" w:cstheme="minorHAnsi"/>
          <w:color w:val="0D0D0D" w:themeColor="text1" w:themeTint="F2"/>
          <w:sz w:val="21"/>
          <w:szCs w:val="21"/>
        </w:rPr>
        <w:t>.</w:t>
      </w:r>
    </w:p>
    <w:p w14:paraId="2874917E" w14:textId="710E209E" w:rsidR="00767CA7" w:rsidRPr="000B6E95" w:rsidRDefault="00767CA7" w:rsidP="00767CA7">
      <w:pPr>
        <w:pStyle w:val="ListParagraph"/>
        <w:numPr>
          <w:ilvl w:val="0"/>
          <w:numId w:val="40"/>
        </w:numPr>
        <w:spacing w:after="0" w:line="252" w:lineRule="auto"/>
        <w:ind w:left="426"/>
        <w:jc w:val="both"/>
        <w:rPr>
          <w:rFonts w:eastAsia="Times New Roman" w:cstheme="minorHAnsi"/>
          <w:color w:val="0D0D0D" w:themeColor="text1" w:themeTint="F2"/>
          <w:sz w:val="21"/>
          <w:szCs w:val="21"/>
        </w:rPr>
      </w:pPr>
      <w:r>
        <w:rPr>
          <w:rFonts w:eastAsia="Times New Roman" w:cstheme="minorHAnsi"/>
          <w:color w:val="0D0D0D" w:themeColor="text1" w:themeTint="F2"/>
          <w:sz w:val="21"/>
          <w:szCs w:val="21"/>
        </w:rPr>
        <w:t xml:space="preserve">For additional notes on the MRE, refer to the Company’s news release dated </w:t>
      </w:r>
      <w:r w:rsidRPr="000B6E95">
        <w:rPr>
          <w:rFonts w:eastAsia="Times New Roman" w:cstheme="minorHAnsi"/>
          <w:color w:val="0D0D0D" w:themeColor="text1" w:themeTint="F2"/>
          <w:sz w:val="21"/>
          <w:szCs w:val="21"/>
        </w:rPr>
        <w:t>December 1</w:t>
      </w:r>
      <w:r>
        <w:rPr>
          <w:rFonts w:eastAsia="Times New Roman" w:cstheme="minorHAnsi"/>
          <w:color w:val="0D0D0D" w:themeColor="text1" w:themeTint="F2"/>
          <w:sz w:val="21"/>
          <w:szCs w:val="21"/>
        </w:rPr>
        <w:t>5</w:t>
      </w:r>
      <w:r w:rsidRPr="000B6E95">
        <w:rPr>
          <w:rFonts w:eastAsia="Times New Roman" w:cstheme="minorHAnsi"/>
          <w:color w:val="0D0D0D" w:themeColor="text1" w:themeTint="F2"/>
          <w:sz w:val="21"/>
          <w:szCs w:val="21"/>
        </w:rPr>
        <w:t>, 2022</w:t>
      </w:r>
      <w:r>
        <w:rPr>
          <w:rFonts w:eastAsia="Times New Roman" w:cstheme="minorHAnsi"/>
          <w:color w:val="0D0D0D" w:themeColor="text1" w:themeTint="F2"/>
          <w:sz w:val="21"/>
          <w:szCs w:val="21"/>
        </w:rPr>
        <w:t xml:space="preserve">, or the </w:t>
      </w:r>
      <w:r w:rsidR="008C3778">
        <w:rPr>
          <w:rFonts w:eastAsia="Times New Roman" w:cstheme="minorHAnsi"/>
          <w:color w:val="0D0D0D" w:themeColor="text1" w:themeTint="F2"/>
          <w:sz w:val="21"/>
          <w:szCs w:val="21"/>
        </w:rPr>
        <w:t>technical report.</w:t>
      </w:r>
    </w:p>
    <w:p w14:paraId="02617F20" w14:textId="77777777" w:rsidR="00713755" w:rsidRPr="00BE2341" w:rsidRDefault="00713755" w:rsidP="00713755">
      <w:pPr>
        <w:spacing w:before="240" w:after="60"/>
        <w:jc w:val="both"/>
        <w:rPr>
          <w:rFonts w:ascii="Calibri" w:hAnsi="Calibri" w:cs="Calibri"/>
          <w:color w:val="auto"/>
          <w:lang w:val="en-CA"/>
        </w:rPr>
      </w:pPr>
      <w:r w:rsidRPr="00BE2341">
        <w:rPr>
          <w:rFonts w:ascii="Calibri" w:hAnsi="Calibri" w:cs="Calibri"/>
          <w:color w:val="auto"/>
          <w:lang w:val="en-CA"/>
        </w:rPr>
        <w:t>Scott Frostad, P.Geo., is the Qualified Person (as defined in NI 43-101) who reviewed and approved the content and scientific and technical information in the news release.</w:t>
      </w:r>
    </w:p>
    <w:p w14:paraId="259648FD" w14:textId="77777777" w:rsidR="008C3778" w:rsidRDefault="008C3778" w:rsidP="00FC64E0">
      <w:pPr>
        <w:pStyle w:val="NormalWeb"/>
        <w:shd w:val="clear" w:color="auto" w:fill="FFFFFF"/>
        <w:spacing w:before="0" w:beforeAutospacing="0" w:after="150" w:afterAutospacing="0"/>
        <w:rPr>
          <w:rFonts w:ascii="Source Sans Pro" w:hAnsi="Source Sans Pro"/>
          <w:color w:val="333333"/>
          <w:sz w:val="21"/>
          <w:szCs w:val="21"/>
        </w:rPr>
      </w:pPr>
    </w:p>
    <w:p w14:paraId="78B40F2D" w14:textId="363B7077" w:rsidR="00BD3DC8" w:rsidRPr="00BE2341" w:rsidRDefault="00557F4F" w:rsidP="00BD3DC8">
      <w:pPr>
        <w:spacing w:after="60"/>
        <w:rPr>
          <w:rFonts w:cstheme="minorHAnsi"/>
          <w:b/>
          <w:bCs/>
          <w:sz w:val="23"/>
          <w:szCs w:val="23"/>
        </w:rPr>
      </w:pPr>
      <w:r>
        <w:rPr>
          <w:rFonts w:cstheme="minorHAnsi"/>
          <w:b/>
          <w:bCs/>
          <w:sz w:val="23"/>
          <w:szCs w:val="23"/>
        </w:rPr>
        <w:br w:type="column"/>
      </w:r>
      <w:r w:rsidR="00BD3DC8" w:rsidRPr="00BE2341">
        <w:rPr>
          <w:rFonts w:cstheme="minorHAnsi"/>
          <w:b/>
          <w:bCs/>
          <w:sz w:val="23"/>
          <w:szCs w:val="23"/>
        </w:rPr>
        <w:t>About Getchell Gold Corp.</w:t>
      </w:r>
    </w:p>
    <w:p w14:paraId="2EB7312D" w14:textId="77777777" w:rsidR="00BD3DC8" w:rsidRPr="00BE2341" w:rsidRDefault="00BD3DC8" w:rsidP="00BD3DC8">
      <w:pPr>
        <w:spacing w:before="240" w:after="60"/>
        <w:jc w:val="both"/>
        <w:rPr>
          <w:rFonts w:ascii="Calibri" w:hAnsi="Calibri" w:cs="Calibri"/>
          <w:color w:val="auto"/>
          <w:lang w:val="en-CA"/>
        </w:rPr>
      </w:pPr>
      <w:r w:rsidRPr="00BE2341">
        <w:rPr>
          <w:rFonts w:ascii="Calibri" w:hAnsi="Calibri" w:cs="Calibri"/>
          <w:color w:val="auto"/>
          <w:lang w:val="en-CA"/>
        </w:rPr>
        <w:t xml:space="preserve">The Company is a Nevada focused gold and copper exploration company trading on the CSE: GTCH and OTCQB: GGLDF.   Getchell Gold is primarily directing its efforts on its most advanced stage asset, Fondaway Canyon, a past gold producer with a significant in-the-ground </w:t>
      </w:r>
      <w:r>
        <w:rPr>
          <w:rFonts w:ascii="Calibri" w:hAnsi="Calibri" w:cs="Calibri"/>
          <w:color w:val="auto"/>
          <w:lang w:val="en-CA"/>
        </w:rPr>
        <w:t>Mineral Resources E</w:t>
      </w:r>
      <w:r w:rsidRPr="00BE2341">
        <w:rPr>
          <w:rFonts w:ascii="Calibri" w:hAnsi="Calibri" w:cs="Calibri"/>
          <w:color w:val="auto"/>
          <w:lang w:val="en-CA"/>
        </w:rPr>
        <w:t>stimate.  Complementing Getchell’s asset portfolio is</w:t>
      </w:r>
      <w:r>
        <w:rPr>
          <w:rFonts w:ascii="Calibri" w:hAnsi="Calibri" w:cs="Calibri"/>
          <w:color w:val="auto"/>
          <w:lang w:val="en-CA"/>
        </w:rPr>
        <w:t xml:space="preserve"> the </w:t>
      </w:r>
      <w:r w:rsidRPr="00BE2341">
        <w:rPr>
          <w:rFonts w:ascii="Calibri" w:hAnsi="Calibri" w:cs="Calibri"/>
          <w:color w:val="auto"/>
          <w:lang w:val="en-CA"/>
        </w:rPr>
        <w:t>Star project, a past high-grade copper, gold, and silver small-scale producer</w:t>
      </w:r>
      <w:r>
        <w:rPr>
          <w:rFonts w:ascii="Calibri" w:hAnsi="Calibri" w:cs="Calibri"/>
          <w:color w:val="auto"/>
          <w:lang w:val="en-CA"/>
        </w:rPr>
        <w:t>, the</w:t>
      </w:r>
      <w:r w:rsidRPr="00BE2341">
        <w:rPr>
          <w:rFonts w:ascii="Calibri" w:hAnsi="Calibri" w:cs="Calibri"/>
          <w:color w:val="auto"/>
          <w:lang w:val="en-CA"/>
        </w:rPr>
        <w:t xml:space="preserve"> Dixie Comstock</w:t>
      </w:r>
      <w:r>
        <w:rPr>
          <w:rFonts w:ascii="Calibri" w:hAnsi="Calibri" w:cs="Calibri"/>
          <w:color w:val="auto"/>
          <w:lang w:val="en-CA"/>
        </w:rPr>
        <w:t xml:space="preserve"> project</w:t>
      </w:r>
      <w:r w:rsidRPr="00BE2341">
        <w:rPr>
          <w:rFonts w:ascii="Calibri" w:hAnsi="Calibri" w:cs="Calibri"/>
          <w:color w:val="auto"/>
          <w:lang w:val="en-CA"/>
        </w:rPr>
        <w:t>, a past gold producer with a historic resource</w:t>
      </w:r>
      <w:r>
        <w:rPr>
          <w:rFonts w:ascii="Calibri" w:hAnsi="Calibri" w:cs="Calibri"/>
          <w:color w:val="auto"/>
          <w:lang w:val="en-CA"/>
        </w:rPr>
        <w:t>,</w:t>
      </w:r>
      <w:r w:rsidRPr="00BE2341">
        <w:rPr>
          <w:rFonts w:ascii="Calibri" w:hAnsi="Calibri" w:cs="Calibri"/>
          <w:color w:val="auto"/>
          <w:lang w:val="en-CA"/>
        </w:rPr>
        <w:t xml:space="preserve"> and one earlier stage exploration project, Hot Springs Peak</w:t>
      </w:r>
      <w:r>
        <w:rPr>
          <w:rFonts w:ascii="Calibri" w:hAnsi="Calibri" w:cs="Calibri"/>
          <w:color w:val="auto"/>
          <w:lang w:val="en-CA"/>
        </w:rPr>
        <w:t xml:space="preserve"> (Au)</w:t>
      </w:r>
      <w:r w:rsidRPr="00BE2341">
        <w:rPr>
          <w:rFonts w:ascii="Calibri" w:hAnsi="Calibri" w:cs="Calibri"/>
          <w:color w:val="auto"/>
          <w:lang w:val="en-CA"/>
        </w:rPr>
        <w:t>.  Getchell has the option to acquire 100% of the Fondaway Canyon and Dixie Comstock properties, Churchill County, Nevada.</w:t>
      </w:r>
    </w:p>
    <w:p w14:paraId="44E660B1" w14:textId="77777777" w:rsidR="00BD3DC8" w:rsidRPr="00BE2341" w:rsidRDefault="00BD3DC8" w:rsidP="00BD3DC8">
      <w:pPr>
        <w:spacing w:before="240" w:after="60"/>
        <w:jc w:val="both"/>
        <w:rPr>
          <w:rFonts w:ascii="Calibri" w:hAnsi="Calibri" w:cs="Calibri"/>
          <w:color w:val="auto"/>
          <w:lang w:val="en-CA"/>
        </w:rPr>
      </w:pPr>
      <w:r w:rsidRPr="00BE2341">
        <w:rPr>
          <w:rFonts w:ascii="Calibri" w:hAnsi="Calibri" w:cs="Calibri"/>
          <w:color w:val="auto"/>
          <w:lang w:val="en-CA"/>
        </w:rPr>
        <w:t xml:space="preserve">For further information please visit the Company’s website at </w:t>
      </w:r>
      <w:hyperlink r:id="rId15" w:history="1">
        <w:r w:rsidRPr="00BE2341">
          <w:rPr>
            <w:rFonts w:ascii="Calibri" w:hAnsi="Calibri" w:cs="Calibri"/>
            <w:color w:val="auto"/>
            <w:lang w:val="en-CA"/>
          </w:rPr>
          <w:t>www.getchellgold.com</w:t>
        </w:r>
      </w:hyperlink>
      <w:r w:rsidRPr="00BE2341">
        <w:rPr>
          <w:rFonts w:ascii="Calibri" w:hAnsi="Calibri" w:cs="Calibri"/>
          <w:color w:val="auto"/>
          <w:lang w:val="en-CA"/>
        </w:rPr>
        <w:t xml:space="preserve"> or contact the Company by e-mail at </w:t>
      </w:r>
      <w:hyperlink r:id="rId16" w:history="1">
        <w:r w:rsidRPr="00BE2341">
          <w:rPr>
            <w:rFonts w:ascii="Calibri" w:hAnsi="Calibri" w:cs="Calibri"/>
            <w:color w:val="auto"/>
            <w:lang w:val="en-CA"/>
          </w:rPr>
          <w:t>info@getchellgold.com</w:t>
        </w:r>
      </w:hyperlink>
      <w:r w:rsidRPr="00BE2341">
        <w:rPr>
          <w:rFonts w:ascii="Calibri" w:hAnsi="Calibri" w:cs="Calibri"/>
          <w:color w:val="auto"/>
          <w:lang w:val="en-CA"/>
        </w:rPr>
        <w:t xml:space="preserve"> or by phone at +1 647 249-4798.</w:t>
      </w:r>
    </w:p>
    <w:p w14:paraId="5EB39814" w14:textId="77777777" w:rsidR="00767CA7" w:rsidRDefault="00767CA7" w:rsidP="00BD3DC8">
      <w:pPr>
        <w:spacing w:after="180"/>
        <w:rPr>
          <w:rFonts w:eastAsia="Times New Roman" w:cstheme="minorHAnsi"/>
          <w:color w:val="000000"/>
          <w:sz w:val="23"/>
          <w:szCs w:val="23"/>
        </w:rPr>
      </w:pPr>
    </w:p>
    <w:p w14:paraId="1DBD9E20" w14:textId="4E66F436" w:rsidR="00BD3DC8" w:rsidRPr="005A12E4" w:rsidRDefault="00BD3DC8" w:rsidP="00BD3DC8">
      <w:pPr>
        <w:spacing w:after="180"/>
        <w:rPr>
          <w:rFonts w:eastAsia="Times New Roman" w:cstheme="minorHAnsi"/>
          <w:color w:val="000000"/>
          <w:sz w:val="23"/>
          <w:szCs w:val="23"/>
        </w:rPr>
      </w:pPr>
      <w:r w:rsidRPr="005A12E4">
        <w:rPr>
          <w:rFonts w:eastAsia="Times New Roman" w:cstheme="minorHAnsi"/>
          <w:color w:val="000000"/>
          <w:sz w:val="23"/>
          <w:szCs w:val="23"/>
        </w:rPr>
        <w:t>Mr.  William Wagener, Chairman &amp; CEO</w:t>
      </w:r>
    </w:p>
    <w:p w14:paraId="59930858" w14:textId="243E5097" w:rsidR="00BD3DC8" w:rsidRPr="005A12E4" w:rsidRDefault="00BD3DC8" w:rsidP="00BD3DC8">
      <w:pPr>
        <w:pStyle w:val="NormalWeb"/>
        <w:shd w:val="clear" w:color="auto" w:fill="FFFFFF"/>
        <w:spacing w:before="0" w:beforeAutospacing="0" w:after="0" w:afterAutospacing="0"/>
        <w:rPr>
          <w:rFonts w:asciiTheme="minorHAnsi" w:hAnsiTheme="minorHAnsi" w:cstheme="minorHAnsi"/>
          <w:color w:val="000000"/>
          <w:sz w:val="23"/>
          <w:szCs w:val="23"/>
        </w:rPr>
      </w:pPr>
      <w:r w:rsidRPr="005A12E4">
        <w:rPr>
          <w:rFonts w:asciiTheme="minorHAnsi" w:hAnsiTheme="minorHAnsi" w:cstheme="minorHAnsi"/>
          <w:color w:val="000000"/>
          <w:sz w:val="23"/>
          <w:szCs w:val="23"/>
        </w:rPr>
        <w:t>Getchell Gold Corp.</w:t>
      </w:r>
    </w:p>
    <w:p w14:paraId="05A67F4F" w14:textId="5BEF1C26" w:rsidR="00BD3DC8" w:rsidRPr="00BD3DC8" w:rsidRDefault="00BD3DC8" w:rsidP="00BD3DC8">
      <w:pPr>
        <w:pStyle w:val="NormalWeb"/>
        <w:shd w:val="clear" w:color="auto" w:fill="FFFFFF"/>
        <w:spacing w:before="0" w:beforeAutospacing="0" w:after="0" w:afterAutospacing="0"/>
        <w:rPr>
          <w:rFonts w:ascii="Calibri" w:hAnsi="Calibri" w:cs="Calibri"/>
          <w:color w:val="auto"/>
          <w:sz w:val="22"/>
          <w:szCs w:val="22"/>
        </w:rPr>
      </w:pPr>
      <w:r w:rsidRPr="00BD3DC8">
        <w:rPr>
          <w:rFonts w:ascii="Calibri" w:hAnsi="Calibri" w:cs="Calibri"/>
          <w:color w:val="auto"/>
          <w:sz w:val="22"/>
          <w:szCs w:val="22"/>
          <w:shd w:val="clear" w:color="auto" w:fill="FFFFFF"/>
        </w:rPr>
        <w:t>1-647-249-4798</w:t>
      </w:r>
    </w:p>
    <w:p w14:paraId="570E8653" w14:textId="4A63C2F5" w:rsidR="00FC64E0" w:rsidRPr="00BD3DC8" w:rsidRDefault="00000000" w:rsidP="00BD3DC8">
      <w:pPr>
        <w:pStyle w:val="NormalWeb"/>
        <w:shd w:val="clear" w:color="auto" w:fill="FFFFFF"/>
        <w:spacing w:before="0" w:beforeAutospacing="0" w:after="0" w:afterAutospacing="0"/>
        <w:rPr>
          <w:rFonts w:ascii="Calibri" w:hAnsi="Calibri" w:cs="Calibri"/>
          <w:color w:val="333333"/>
          <w:sz w:val="22"/>
          <w:szCs w:val="22"/>
        </w:rPr>
      </w:pPr>
      <w:hyperlink r:id="rId17" w:history="1">
        <w:r w:rsidR="00FC64E0" w:rsidRPr="00BD3DC8">
          <w:rPr>
            <w:rStyle w:val="Hyperlink"/>
            <w:rFonts w:ascii="Calibri" w:hAnsi="Calibri" w:cs="Calibri"/>
            <w:i/>
            <w:iCs/>
            <w:color w:val="337AB7"/>
            <w:sz w:val="22"/>
            <w:szCs w:val="22"/>
          </w:rPr>
          <w:t>getchellgold.com</w:t>
        </w:r>
      </w:hyperlink>
    </w:p>
    <w:p w14:paraId="6A926755" w14:textId="199AEA24" w:rsidR="00327FE1" w:rsidRPr="00BE2341" w:rsidRDefault="00327FE1" w:rsidP="00327FE1">
      <w:pPr>
        <w:spacing w:after="0"/>
        <w:rPr>
          <w:rFonts w:eastAsia="Times New Roman" w:cstheme="minorHAnsi"/>
          <w:i/>
          <w:iCs/>
          <w:color w:val="000000"/>
          <w:sz w:val="23"/>
          <w:szCs w:val="23"/>
        </w:rPr>
      </w:pPr>
    </w:p>
    <w:p w14:paraId="0D931BA6" w14:textId="3F7D1C25"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The Canadian Securities Exchange has not reviewed this press release and does not accept responsibility for the adequacy or accuracy of this news release.</w:t>
      </w:r>
    </w:p>
    <w:p w14:paraId="5F9854C4" w14:textId="77777777"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p>
    <w:p w14:paraId="153C791D" w14:textId="4FF58D00" w:rsidR="008D6EF6"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 xml:space="preserve">Certain information contained herein constitutes “forward-looking information” under Canadian securities legislation.  Forward-looking information includes, but is not limited to, statements with respect to the use of proceeds.  Generally, forward-looking information can be identified </w:t>
      </w:r>
      <w:proofErr w:type="gramStart"/>
      <w:r w:rsidRPr="00E12F2E">
        <w:rPr>
          <w:rFonts w:asciiTheme="minorHAnsi" w:hAnsiTheme="minorHAnsi" w:cstheme="minorHAnsi"/>
          <w:i/>
          <w:iCs/>
          <w:color w:val="404040" w:themeColor="text1" w:themeTint="BF"/>
          <w:sz w:val="21"/>
          <w:szCs w:val="21"/>
        </w:rPr>
        <w:t>by the use of</w:t>
      </w:r>
      <w:proofErr w:type="gramEnd"/>
      <w:r w:rsidRPr="00E12F2E">
        <w:rPr>
          <w:rFonts w:asciiTheme="minorHAnsi" w:hAnsiTheme="minorHAnsi" w:cstheme="minorHAnsi"/>
          <w:i/>
          <w:iCs/>
          <w:color w:val="404040" w:themeColor="text1" w:themeTint="BF"/>
          <w:sz w:val="21"/>
          <w:szCs w:val="21"/>
        </w:rPr>
        <w:t xml:space="preserve"> forward-looking terminology such as “will” or variations of such words and phrases or statements that certain actions, events or results “will” occur.  Forward-looking statements are based on the opinions and estimates of management as of the date such statements are made and they are subject to known and unknown risks, uncertainties and other factors that may cause the actual results to be materially different from those expressed or implied by such forward-looking statements or forward-looking information</w:t>
      </w:r>
      <w:r w:rsidR="00DE3834">
        <w:rPr>
          <w:rFonts w:asciiTheme="minorHAnsi" w:hAnsiTheme="minorHAnsi" w:cstheme="minorHAnsi"/>
          <w:i/>
          <w:iCs/>
          <w:color w:val="404040" w:themeColor="text1" w:themeTint="BF"/>
          <w:sz w:val="21"/>
          <w:szCs w:val="21"/>
        </w:rPr>
        <w:t xml:space="preserve">.   </w:t>
      </w:r>
      <w:r w:rsidRPr="00E12F2E">
        <w:rPr>
          <w:rFonts w:asciiTheme="minorHAnsi" w:hAnsiTheme="minorHAnsi" w:cstheme="minorHAnsi"/>
          <w:i/>
          <w:iCs/>
          <w:color w:val="404040" w:themeColor="text1" w:themeTint="BF"/>
          <w:sz w:val="21"/>
          <w:szCs w:val="21"/>
        </w:rPr>
        <w:t>Although management of Getchell have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Accordingly, readers should not place undue reliance on forward-looking statements and forward-looking information.  The Company will not update any forward-looking statements or forward-looking information that are incorporated by reference herein, except as required by applicable securities laws.</w:t>
      </w:r>
    </w:p>
    <w:sectPr w:rsidR="008D6EF6" w:rsidRPr="00E12F2E" w:rsidSect="003C101B">
      <w:headerReference w:type="default" r:id="rId18"/>
      <w:footerReference w:type="even" r:id="rId19"/>
      <w:footerReference w:type="default" r:id="rId20"/>
      <w:footerReference w:type="first" r:id="rId21"/>
      <w:pgSz w:w="12240" w:h="15840"/>
      <w:pgMar w:top="1843" w:right="1440" w:bottom="851" w:left="1440" w:header="426" w:footer="5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47DD7" w14:textId="77777777" w:rsidR="00451EDC" w:rsidRDefault="00451EDC">
      <w:pPr>
        <w:spacing w:after="0" w:line="240" w:lineRule="auto"/>
      </w:pPr>
      <w:r>
        <w:separator/>
      </w:r>
    </w:p>
  </w:endnote>
  <w:endnote w:type="continuationSeparator" w:id="0">
    <w:p w14:paraId="7CCB58FC" w14:textId="77777777" w:rsidR="00451EDC" w:rsidRDefault="00451EDC">
      <w:pPr>
        <w:spacing w:after="0" w:line="240" w:lineRule="auto"/>
      </w:pPr>
      <w:r>
        <w:continuationSeparator/>
      </w:r>
    </w:p>
  </w:endnote>
  <w:endnote w:type="continuationNotice" w:id="1">
    <w:p w14:paraId="494F04F2" w14:textId="77777777" w:rsidR="00451EDC" w:rsidRDefault="00451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Sans-Regular">
    <w:altName w:val="Calibri"/>
    <w:charset w:val="00"/>
    <w:family w:val="auto"/>
    <w:pitch w:val="default"/>
  </w:font>
  <w:font w:name="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E00"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5165"/>
      <w:docPartObj>
        <w:docPartGallery w:val="Page Numbers (Bottom of Page)"/>
        <w:docPartUnique/>
      </w:docPartObj>
    </w:sdtPr>
    <w:sdtEndPr>
      <w:rPr>
        <w:noProof/>
      </w:rPr>
    </w:sdtEndPr>
    <w:sdtContent>
      <w:p w14:paraId="47490E4F" w14:textId="76ED3603" w:rsidR="008D6EF6" w:rsidRDefault="008D6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B048DD" w14:textId="77777777" w:rsidR="008D6EF6" w:rsidRPr="000C1A9A" w:rsidRDefault="008D6EF6" w:rsidP="008D6EF6">
    <w:pPr>
      <w:pStyle w:val="Footer"/>
      <w:rPr>
        <w:rFonts w:ascii="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2A3"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6236" w14:textId="77777777" w:rsidR="00451EDC" w:rsidRDefault="00451EDC">
      <w:pPr>
        <w:spacing w:after="0" w:line="240" w:lineRule="auto"/>
      </w:pPr>
      <w:r>
        <w:separator/>
      </w:r>
    </w:p>
  </w:footnote>
  <w:footnote w:type="continuationSeparator" w:id="0">
    <w:p w14:paraId="20DBA327" w14:textId="77777777" w:rsidR="00451EDC" w:rsidRDefault="00451EDC">
      <w:pPr>
        <w:spacing w:after="0" w:line="240" w:lineRule="auto"/>
      </w:pPr>
      <w:r>
        <w:continuationSeparator/>
      </w:r>
    </w:p>
  </w:footnote>
  <w:footnote w:type="continuationNotice" w:id="1">
    <w:p w14:paraId="44CC28E7" w14:textId="77777777" w:rsidR="00451EDC" w:rsidRDefault="00451E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4AA3" w14:textId="6B22EED0" w:rsidR="008D6EF6" w:rsidRDefault="001E4C11" w:rsidP="008D6EF6">
    <w:pPr>
      <w:pStyle w:val="Header"/>
      <w:jc w:val="center"/>
    </w:pPr>
    <w:r>
      <w:rPr>
        <w:noProof/>
      </w:rPr>
      <w:drawing>
        <wp:anchor distT="0" distB="0" distL="114300" distR="114300" simplePos="0" relativeHeight="251658240" behindDoc="0" locked="0" layoutInCell="1" allowOverlap="1" wp14:anchorId="36308BA9" wp14:editId="39D66DD9">
          <wp:simplePos x="0" y="0"/>
          <wp:positionH relativeFrom="column">
            <wp:posOffset>-421684</wp:posOffset>
          </wp:positionH>
          <wp:positionV relativeFrom="paragraph">
            <wp:posOffset>-116840</wp:posOffset>
          </wp:positionV>
          <wp:extent cx="850456" cy="870662"/>
          <wp:effectExtent l="0" t="0" r="6985" b="571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0456" cy="870662"/>
                  </a:xfrm>
                  <a:prstGeom prst="rect">
                    <a:avLst/>
                  </a:prstGeom>
                </pic:spPr>
              </pic:pic>
            </a:graphicData>
          </a:graphic>
          <wp14:sizeRelH relativeFrom="margin">
            <wp14:pctWidth>0</wp14:pctWidth>
          </wp14:sizeRelH>
          <wp14:sizeRelV relativeFrom="margin">
            <wp14:pctHeight>0</wp14:pctHeight>
          </wp14:sizeRelV>
        </wp:anchor>
      </w:drawing>
    </w:r>
  </w:p>
  <w:p w14:paraId="6CA114BE" w14:textId="4CB6B642" w:rsidR="008D6EF6" w:rsidRPr="0052247D" w:rsidRDefault="0052247D" w:rsidP="0052247D">
    <w:pPr>
      <w:pStyle w:val="Header"/>
      <w:tabs>
        <w:tab w:val="left" w:pos="8193"/>
      </w:tabs>
      <w:jc w:val="center"/>
      <w:rPr>
        <w:b/>
        <w:bCs/>
        <w:color w:val="B49200"/>
      </w:rPr>
    </w:pPr>
    <w:r>
      <w:tab/>
    </w:r>
    <w:r>
      <w:tab/>
    </w:r>
    <w:r w:rsidRPr="0052247D">
      <w:rPr>
        <w:b/>
        <w:bCs/>
        <w:color w:val="B49200"/>
      </w:rPr>
      <w:t>CSE: GTCH</w:t>
    </w:r>
  </w:p>
  <w:p w14:paraId="4AA59FC2" w14:textId="0F46B6E0" w:rsidR="0052247D" w:rsidRDefault="0052247D" w:rsidP="0052247D">
    <w:pPr>
      <w:pStyle w:val="Header"/>
      <w:jc w:val="center"/>
    </w:pPr>
    <w:r>
      <w:tab/>
    </w:r>
    <w:r>
      <w:tab/>
    </w:r>
    <w:r w:rsidRPr="0052247D">
      <w:rPr>
        <w:b/>
        <w:bCs/>
        <w:color w:val="B49200"/>
      </w:rPr>
      <w:t>OTCQB: GGLDF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18"/>
    <w:multiLevelType w:val="hybridMultilevel"/>
    <w:tmpl w:val="68D05EAC"/>
    <w:lvl w:ilvl="0" w:tplc="44C0E1A6">
      <w:start w:val="1"/>
      <w:numFmt w:val="decimal"/>
      <w:lvlText w:val="%1."/>
      <w:lvlJc w:val="left"/>
      <w:pPr>
        <w:ind w:left="720" w:hanging="360"/>
      </w:pPr>
    </w:lvl>
    <w:lvl w:ilvl="1" w:tplc="3FB0C098" w:tentative="1">
      <w:start w:val="1"/>
      <w:numFmt w:val="lowerLetter"/>
      <w:lvlText w:val="%2."/>
      <w:lvlJc w:val="left"/>
      <w:pPr>
        <w:ind w:left="1440" w:hanging="360"/>
      </w:pPr>
    </w:lvl>
    <w:lvl w:ilvl="2" w:tplc="36C458E0" w:tentative="1">
      <w:start w:val="1"/>
      <w:numFmt w:val="lowerRoman"/>
      <w:lvlText w:val="%3."/>
      <w:lvlJc w:val="right"/>
      <w:pPr>
        <w:ind w:left="2160" w:hanging="180"/>
      </w:pPr>
    </w:lvl>
    <w:lvl w:ilvl="3" w:tplc="FC7E24A8" w:tentative="1">
      <w:start w:val="1"/>
      <w:numFmt w:val="decimal"/>
      <w:lvlText w:val="%4."/>
      <w:lvlJc w:val="left"/>
      <w:pPr>
        <w:ind w:left="2880" w:hanging="360"/>
      </w:pPr>
    </w:lvl>
    <w:lvl w:ilvl="4" w:tplc="C9041E88" w:tentative="1">
      <w:start w:val="1"/>
      <w:numFmt w:val="lowerLetter"/>
      <w:lvlText w:val="%5."/>
      <w:lvlJc w:val="left"/>
      <w:pPr>
        <w:ind w:left="3600" w:hanging="360"/>
      </w:pPr>
    </w:lvl>
    <w:lvl w:ilvl="5" w:tplc="BA3E7FB4" w:tentative="1">
      <w:start w:val="1"/>
      <w:numFmt w:val="lowerRoman"/>
      <w:lvlText w:val="%6."/>
      <w:lvlJc w:val="right"/>
      <w:pPr>
        <w:ind w:left="4320" w:hanging="180"/>
      </w:pPr>
    </w:lvl>
    <w:lvl w:ilvl="6" w:tplc="A0DA44B0" w:tentative="1">
      <w:start w:val="1"/>
      <w:numFmt w:val="decimal"/>
      <w:lvlText w:val="%7."/>
      <w:lvlJc w:val="left"/>
      <w:pPr>
        <w:ind w:left="5040" w:hanging="360"/>
      </w:pPr>
    </w:lvl>
    <w:lvl w:ilvl="7" w:tplc="8C4E00B2" w:tentative="1">
      <w:start w:val="1"/>
      <w:numFmt w:val="lowerLetter"/>
      <w:lvlText w:val="%8."/>
      <w:lvlJc w:val="left"/>
      <w:pPr>
        <w:ind w:left="5760" w:hanging="360"/>
      </w:pPr>
    </w:lvl>
    <w:lvl w:ilvl="8" w:tplc="0E7E7E3A" w:tentative="1">
      <w:start w:val="1"/>
      <w:numFmt w:val="lowerRoman"/>
      <w:lvlText w:val="%9."/>
      <w:lvlJc w:val="right"/>
      <w:pPr>
        <w:ind w:left="6480" w:hanging="180"/>
      </w:pPr>
    </w:lvl>
  </w:abstractNum>
  <w:abstractNum w:abstractNumId="1" w15:restartNumberingAfterBreak="0">
    <w:nsid w:val="06BF7EA9"/>
    <w:multiLevelType w:val="hybridMultilevel"/>
    <w:tmpl w:val="6BCC0BF4"/>
    <w:lvl w:ilvl="0" w:tplc="C8E6ADA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913E4"/>
    <w:multiLevelType w:val="hybridMultilevel"/>
    <w:tmpl w:val="16A2CE3A"/>
    <w:lvl w:ilvl="0" w:tplc="35D22C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004927"/>
    <w:multiLevelType w:val="hybridMultilevel"/>
    <w:tmpl w:val="32B835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B8A6BA9"/>
    <w:multiLevelType w:val="hybridMultilevel"/>
    <w:tmpl w:val="EB466900"/>
    <w:lvl w:ilvl="0" w:tplc="94C492D2">
      <w:start w:val="1"/>
      <w:numFmt w:val="decimal"/>
      <w:lvlText w:val="%1.)"/>
      <w:lvlJc w:val="left"/>
      <w:pPr>
        <w:ind w:left="720" w:hanging="360"/>
      </w:pPr>
      <w:rPr>
        <w:rFonts w:asciiTheme="minorHAnsi" w:eastAsia="Times New Roman"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DD66CBC"/>
    <w:multiLevelType w:val="hybridMultilevel"/>
    <w:tmpl w:val="8032A08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6" w15:restartNumberingAfterBreak="0">
    <w:nsid w:val="0EBF54EB"/>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FC1D18"/>
    <w:multiLevelType w:val="hybridMultilevel"/>
    <w:tmpl w:val="CD3AA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C45D95"/>
    <w:multiLevelType w:val="hybridMultilevel"/>
    <w:tmpl w:val="C6D687BE"/>
    <w:lvl w:ilvl="0" w:tplc="861ECBBC">
      <w:start w:val="1"/>
      <w:numFmt w:val="lowerRoman"/>
      <w:lvlText w:val="%1)"/>
      <w:lvlJc w:val="left"/>
      <w:pPr>
        <w:ind w:left="768" w:hanging="360"/>
      </w:pPr>
      <w:rPr>
        <w:rFonts w:hint="default"/>
        <w:sz w:val="22"/>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9" w15:restartNumberingAfterBreak="0">
    <w:nsid w:val="14AE7A65"/>
    <w:multiLevelType w:val="hybridMultilevel"/>
    <w:tmpl w:val="41EA39F4"/>
    <w:lvl w:ilvl="0" w:tplc="71320A4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5407FAE"/>
    <w:multiLevelType w:val="hybridMultilevel"/>
    <w:tmpl w:val="0A420694"/>
    <w:lvl w:ilvl="0" w:tplc="33FA89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5D06E52"/>
    <w:multiLevelType w:val="hybridMultilevel"/>
    <w:tmpl w:val="2C285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82743CF"/>
    <w:multiLevelType w:val="hybridMultilevel"/>
    <w:tmpl w:val="657E32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21322D"/>
    <w:multiLevelType w:val="hybridMultilevel"/>
    <w:tmpl w:val="4A260384"/>
    <w:lvl w:ilvl="0" w:tplc="DE9A4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EAB2C29"/>
    <w:multiLevelType w:val="hybridMultilevel"/>
    <w:tmpl w:val="DC7067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1474808"/>
    <w:multiLevelType w:val="multilevel"/>
    <w:tmpl w:val="8BEE9740"/>
    <w:numStyleLink w:val="Style1"/>
  </w:abstractNum>
  <w:abstractNum w:abstractNumId="16" w15:restartNumberingAfterBreak="0">
    <w:nsid w:val="215C71F8"/>
    <w:multiLevelType w:val="multilevel"/>
    <w:tmpl w:val="8BEE9740"/>
    <w:styleLink w:val="Style1"/>
    <w:lvl w:ilvl="0">
      <w:start w:val="1"/>
      <w:numFmt w:val="decimal"/>
      <w:lvlText w:val="%1."/>
      <w:lvlJc w:val="left"/>
      <w:pPr>
        <w:ind w:left="1508" w:hanging="360"/>
      </w:pPr>
      <w:rPr>
        <w:rFonts w:hint="default"/>
        <w:sz w:val="20"/>
        <w:szCs w:val="20"/>
      </w:rPr>
    </w:lvl>
    <w:lvl w:ilvl="1">
      <w:start w:val="1"/>
      <w:numFmt w:val="lowerRoman"/>
      <w:lvlText w:val="%2.)"/>
      <w:lvlJc w:val="left"/>
      <w:pPr>
        <w:ind w:left="2228" w:hanging="360"/>
      </w:pPr>
      <w:rPr>
        <w:rFonts w:hint="default"/>
      </w:rPr>
    </w:lvl>
    <w:lvl w:ilvl="2">
      <w:start w:val="1"/>
      <w:numFmt w:val="lowerRoman"/>
      <w:lvlText w:val="%3."/>
      <w:lvlJc w:val="right"/>
      <w:pPr>
        <w:ind w:left="2948" w:hanging="180"/>
      </w:pPr>
      <w:rPr>
        <w:rFonts w:hint="default"/>
      </w:rPr>
    </w:lvl>
    <w:lvl w:ilvl="3">
      <w:start w:val="1"/>
      <w:numFmt w:val="decimal"/>
      <w:lvlText w:val="%4."/>
      <w:lvlJc w:val="left"/>
      <w:pPr>
        <w:ind w:left="3668" w:hanging="360"/>
      </w:pPr>
      <w:rPr>
        <w:rFonts w:hint="default"/>
      </w:rPr>
    </w:lvl>
    <w:lvl w:ilvl="4">
      <w:start w:val="1"/>
      <w:numFmt w:val="lowerLetter"/>
      <w:lvlText w:val="%5."/>
      <w:lvlJc w:val="left"/>
      <w:pPr>
        <w:ind w:left="4388" w:hanging="360"/>
      </w:pPr>
      <w:rPr>
        <w:rFonts w:hint="default"/>
      </w:rPr>
    </w:lvl>
    <w:lvl w:ilvl="5">
      <w:start w:val="1"/>
      <w:numFmt w:val="lowerRoman"/>
      <w:lvlText w:val="%6."/>
      <w:lvlJc w:val="right"/>
      <w:pPr>
        <w:ind w:left="5108" w:hanging="180"/>
      </w:pPr>
      <w:rPr>
        <w:rFonts w:hint="default"/>
      </w:rPr>
    </w:lvl>
    <w:lvl w:ilvl="6">
      <w:start w:val="1"/>
      <w:numFmt w:val="decimal"/>
      <w:lvlText w:val="%7."/>
      <w:lvlJc w:val="left"/>
      <w:pPr>
        <w:ind w:left="5828" w:hanging="360"/>
      </w:pPr>
      <w:rPr>
        <w:rFonts w:hint="default"/>
      </w:rPr>
    </w:lvl>
    <w:lvl w:ilvl="7">
      <w:start w:val="1"/>
      <w:numFmt w:val="lowerLetter"/>
      <w:lvlText w:val="%8."/>
      <w:lvlJc w:val="left"/>
      <w:pPr>
        <w:ind w:left="6548" w:hanging="360"/>
      </w:pPr>
      <w:rPr>
        <w:rFonts w:hint="default"/>
      </w:rPr>
    </w:lvl>
    <w:lvl w:ilvl="8">
      <w:start w:val="1"/>
      <w:numFmt w:val="lowerRoman"/>
      <w:lvlText w:val="%9."/>
      <w:lvlJc w:val="right"/>
      <w:pPr>
        <w:ind w:left="7268" w:hanging="180"/>
      </w:pPr>
      <w:rPr>
        <w:rFonts w:hint="default"/>
      </w:rPr>
    </w:lvl>
  </w:abstractNum>
  <w:abstractNum w:abstractNumId="17" w15:restartNumberingAfterBreak="0">
    <w:nsid w:val="245F173F"/>
    <w:multiLevelType w:val="hybridMultilevel"/>
    <w:tmpl w:val="B3B22CB6"/>
    <w:lvl w:ilvl="0" w:tplc="2702C5F2">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530577"/>
    <w:multiLevelType w:val="hybridMultilevel"/>
    <w:tmpl w:val="FD80D17E"/>
    <w:lvl w:ilvl="0" w:tplc="14767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95D1C36"/>
    <w:multiLevelType w:val="hybridMultilevel"/>
    <w:tmpl w:val="E05A7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A9728EE"/>
    <w:multiLevelType w:val="hybridMultilevel"/>
    <w:tmpl w:val="E74A875E"/>
    <w:lvl w:ilvl="0" w:tplc="6E2C0154">
      <w:start w:val="1"/>
      <w:numFmt w:val="decimal"/>
      <w:lvlText w:val="%1."/>
      <w:lvlJc w:val="left"/>
      <w:pPr>
        <w:ind w:left="781" w:hanging="360"/>
      </w:pPr>
    </w:lvl>
    <w:lvl w:ilvl="1" w:tplc="610C7BF4" w:tentative="1">
      <w:start w:val="1"/>
      <w:numFmt w:val="lowerLetter"/>
      <w:lvlText w:val="%2."/>
      <w:lvlJc w:val="left"/>
      <w:pPr>
        <w:ind w:left="1501" w:hanging="360"/>
      </w:pPr>
    </w:lvl>
    <w:lvl w:ilvl="2" w:tplc="E43A0B00" w:tentative="1">
      <w:start w:val="1"/>
      <w:numFmt w:val="lowerRoman"/>
      <w:lvlText w:val="%3."/>
      <w:lvlJc w:val="right"/>
      <w:pPr>
        <w:ind w:left="2221" w:hanging="180"/>
      </w:pPr>
    </w:lvl>
    <w:lvl w:ilvl="3" w:tplc="802CB414" w:tentative="1">
      <w:start w:val="1"/>
      <w:numFmt w:val="decimal"/>
      <w:lvlText w:val="%4."/>
      <w:lvlJc w:val="left"/>
      <w:pPr>
        <w:ind w:left="2941" w:hanging="360"/>
      </w:pPr>
    </w:lvl>
    <w:lvl w:ilvl="4" w:tplc="D152E86A" w:tentative="1">
      <w:start w:val="1"/>
      <w:numFmt w:val="lowerLetter"/>
      <w:lvlText w:val="%5."/>
      <w:lvlJc w:val="left"/>
      <w:pPr>
        <w:ind w:left="3661" w:hanging="360"/>
      </w:pPr>
    </w:lvl>
    <w:lvl w:ilvl="5" w:tplc="D41CC69C" w:tentative="1">
      <w:start w:val="1"/>
      <w:numFmt w:val="lowerRoman"/>
      <w:lvlText w:val="%6."/>
      <w:lvlJc w:val="right"/>
      <w:pPr>
        <w:ind w:left="4381" w:hanging="180"/>
      </w:pPr>
    </w:lvl>
    <w:lvl w:ilvl="6" w:tplc="F53E134C" w:tentative="1">
      <w:start w:val="1"/>
      <w:numFmt w:val="decimal"/>
      <w:lvlText w:val="%7."/>
      <w:lvlJc w:val="left"/>
      <w:pPr>
        <w:ind w:left="5101" w:hanging="360"/>
      </w:pPr>
    </w:lvl>
    <w:lvl w:ilvl="7" w:tplc="CFE63AA6" w:tentative="1">
      <w:start w:val="1"/>
      <w:numFmt w:val="lowerLetter"/>
      <w:lvlText w:val="%8."/>
      <w:lvlJc w:val="left"/>
      <w:pPr>
        <w:ind w:left="5821" w:hanging="360"/>
      </w:pPr>
    </w:lvl>
    <w:lvl w:ilvl="8" w:tplc="5A42227C" w:tentative="1">
      <w:start w:val="1"/>
      <w:numFmt w:val="lowerRoman"/>
      <w:lvlText w:val="%9."/>
      <w:lvlJc w:val="right"/>
      <w:pPr>
        <w:ind w:left="6541" w:hanging="180"/>
      </w:pPr>
    </w:lvl>
  </w:abstractNum>
  <w:abstractNum w:abstractNumId="21" w15:restartNumberingAfterBreak="0">
    <w:nsid w:val="2E505C05"/>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031011D"/>
    <w:multiLevelType w:val="hybridMultilevel"/>
    <w:tmpl w:val="E31C632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151336F"/>
    <w:multiLevelType w:val="hybridMultilevel"/>
    <w:tmpl w:val="ED00D7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72952E5"/>
    <w:multiLevelType w:val="hybridMultilevel"/>
    <w:tmpl w:val="CA1E8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ADA6E96"/>
    <w:multiLevelType w:val="hybridMultilevel"/>
    <w:tmpl w:val="60ECC8F4"/>
    <w:lvl w:ilvl="0" w:tplc="DBAE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B721E0D"/>
    <w:multiLevelType w:val="hybridMultilevel"/>
    <w:tmpl w:val="B0AC396C"/>
    <w:lvl w:ilvl="0" w:tplc="036A64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120B06"/>
    <w:multiLevelType w:val="hybridMultilevel"/>
    <w:tmpl w:val="50C89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562007"/>
    <w:multiLevelType w:val="multilevel"/>
    <w:tmpl w:val="439ADE4C"/>
    <w:lvl w:ilvl="0">
      <w:start w:val="1"/>
      <w:numFmt w:val="decimal"/>
      <w:lvlText w:val="%1."/>
      <w:lvlJc w:val="left"/>
      <w:pPr>
        <w:ind w:left="788" w:hanging="360"/>
      </w:pPr>
      <w:rPr>
        <w:rFonts w:hint="default"/>
        <w:sz w:val="20"/>
        <w:szCs w:val="20"/>
      </w:rPr>
    </w:lvl>
    <w:lvl w:ilvl="1">
      <w:start w:val="1"/>
      <w:numFmt w:val="lowerRoman"/>
      <w:lvlText w:val="%2.)"/>
      <w:lvlJc w:val="left"/>
      <w:pPr>
        <w:ind w:left="1508" w:hanging="360"/>
      </w:pPr>
      <w:rPr>
        <w:rFonts w:hint="default"/>
      </w:rPr>
    </w:lvl>
    <w:lvl w:ilvl="2">
      <w:start w:val="1"/>
      <w:numFmt w:val="lowerRoman"/>
      <w:lvlText w:val="%3."/>
      <w:lvlJc w:val="right"/>
      <w:pPr>
        <w:ind w:left="2228" w:hanging="180"/>
      </w:pPr>
      <w:rPr>
        <w:rFonts w:hint="default"/>
      </w:rPr>
    </w:lvl>
    <w:lvl w:ilvl="3">
      <w:start w:val="1"/>
      <w:numFmt w:val="decimal"/>
      <w:lvlText w:val="%4."/>
      <w:lvlJc w:val="left"/>
      <w:pPr>
        <w:ind w:left="2948" w:hanging="360"/>
      </w:pPr>
      <w:rPr>
        <w:rFonts w:hint="default"/>
      </w:rPr>
    </w:lvl>
    <w:lvl w:ilvl="4">
      <w:start w:val="1"/>
      <w:numFmt w:val="lowerLetter"/>
      <w:lvlText w:val="%5."/>
      <w:lvlJc w:val="left"/>
      <w:pPr>
        <w:ind w:left="3668" w:hanging="360"/>
      </w:pPr>
      <w:rPr>
        <w:rFonts w:hint="default"/>
      </w:rPr>
    </w:lvl>
    <w:lvl w:ilvl="5">
      <w:start w:val="1"/>
      <w:numFmt w:val="lowerRoman"/>
      <w:lvlText w:val="%6."/>
      <w:lvlJc w:val="right"/>
      <w:pPr>
        <w:ind w:left="4388" w:hanging="180"/>
      </w:pPr>
      <w:rPr>
        <w:rFonts w:hint="default"/>
      </w:rPr>
    </w:lvl>
    <w:lvl w:ilvl="6">
      <w:start w:val="1"/>
      <w:numFmt w:val="decimal"/>
      <w:lvlText w:val="%7."/>
      <w:lvlJc w:val="left"/>
      <w:pPr>
        <w:ind w:left="5108" w:hanging="360"/>
      </w:pPr>
      <w:rPr>
        <w:rFonts w:hint="default"/>
      </w:rPr>
    </w:lvl>
    <w:lvl w:ilvl="7">
      <w:start w:val="1"/>
      <w:numFmt w:val="lowerLetter"/>
      <w:lvlText w:val="%8."/>
      <w:lvlJc w:val="left"/>
      <w:pPr>
        <w:ind w:left="5828" w:hanging="360"/>
      </w:pPr>
      <w:rPr>
        <w:rFonts w:hint="default"/>
      </w:rPr>
    </w:lvl>
    <w:lvl w:ilvl="8">
      <w:start w:val="1"/>
      <w:numFmt w:val="lowerRoman"/>
      <w:lvlText w:val="%9."/>
      <w:lvlJc w:val="right"/>
      <w:pPr>
        <w:ind w:left="6548" w:hanging="180"/>
      </w:pPr>
      <w:rPr>
        <w:rFonts w:hint="default"/>
      </w:rPr>
    </w:lvl>
  </w:abstractNum>
  <w:abstractNum w:abstractNumId="29" w15:restartNumberingAfterBreak="0">
    <w:nsid w:val="524F6CB0"/>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5672849"/>
    <w:multiLevelType w:val="hybridMultilevel"/>
    <w:tmpl w:val="1D5225E4"/>
    <w:lvl w:ilvl="0" w:tplc="EF948C2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60A79A5"/>
    <w:multiLevelType w:val="hybridMultilevel"/>
    <w:tmpl w:val="0804CEE2"/>
    <w:lvl w:ilvl="0" w:tplc="04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9A677EF"/>
    <w:multiLevelType w:val="hybridMultilevel"/>
    <w:tmpl w:val="DF32FE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C115116"/>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C172220"/>
    <w:multiLevelType w:val="hybridMultilevel"/>
    <w:tmpl w:val="BA66620A"/>
    <w:lvl w:ilvl="0" w:tplc="98F8D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02F3681"/>
    <w:multiLevelType w:val="hybridMultilevel"/>
    <w:tmpl w:val="80025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2895DCE"/>
    <w:multiLevelType w:val="hybridMultilevel"/>
    <w:tmpl w:val="6B4223D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4B1A54"/>
    <w:multiLevelType w:val="hybridMultilevel"/>
    <w:tmpl w:val="80BE92FA"/>
    <w:lvl w:ilvl="0" w:tplc="3C18CB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B4B57AA"/>
    <w:multiLevelType w:val="hybridMultilevel"/>
    <w:tmpl w:val="B1E42DAC"/>
    <w:lvl w:ilvl="0" w:tplc="EB1658B6">
      <w:start w:val="1"/>
      <w:numFmt w:val="bullet"/>
      <w:lvlText w:val=""/>
      <w:lvlJc w:val="left"/>
      <w:pPr>
        <w:ind w:left="720" w:hanging="360"/>
      </w:pPr>
      <w:rPr>
        <w:rFonts w:ascii="Symbol" w:hAnsi="Symbol" w:hint="default"/>
      </w:rPr>
    </w:lvl>
    <w:lvl w:ilvl="1" w:tplc="A5BE0C4C" w:tentative="1">
      <w:start w:val="1"/>
      <w:numFmt w:val="bullet"/>
      <w:lvlText w:val="o"/>
      <w:lvlJc w:val="left"/>
      <w:pPr>
        <w:ind w:left="1440" w:hanging="360"/>
      </w:pPr>
      <w:rPr>
        <w:rFonts w:ascii="Courier New" w:hAnsi="Courier New" w:cs="Courier New" w:hint="default"/>
      </w:rPr>
    </w:lvl>
    <w:lvl w:ilvl="2" w:tplc="235E2FB6" w:tentative="1">
      <w:start w:val="1"/>
      <w:numFmt w:val="bullet"/>
      <w:lvlText w:val=""/>
      <w:lvlJc w:val="left"/>
      <w:pPr>
        <w:ind w:left="2160" w:hanging="360"/>
      </w:pPr>
      <w:rPr>
        <w:rFonts w:ascii="Wingdings" w:hAnsi="Wingdings" w:hint="default"/>
      </w:rPr>
    </w:lvl>
    <w:lvl w:ilvl="3" w:tplc="E7207C40" w:tentative="1">
      <w:start w:val="1"/>
      <w:numFmt w:val="bullet"/>
      <w:lvlText w:val=""/>
      <w:lvlJc w:val="left"/>
      <w:pPr>
        <w:ind w:left="2880" w:hanging="360"/>
      </w:pPr>
      <w:rPr>
        <w:rFonts w:ascii="Symbol" w:hAnsi="Symbol" w:hint="default"/>
      </w:rPr>
    </w:lvl>
    <w:lvl w:ilvl="4" w:tplc="4B44C5B4" w:tentative="1">
      <w:start w:val="1"/>
      <w:numFmt w:val="bullet"/>
      <w:lvlText w:val="o"/>
      <w:lvlJc w:val="left"/>
      <w:pPr>
        <w:ind w:left="3600" w:hanging="360"/>
      </w:pPr>
      <w:rPr>
        <w:rFonts w:ascii="Courier New" w:hAnsi="Courier New" w:cs="Courier New" w:hint="default"/>
      </w:rPr>
    </w:lvl>
    <w:lvl w:ilvl="5" w:tplc="3FA62A64" w:tentative="1">
      <w:start w:val="1"/>
      <w:numFmt w:val="bullet"/>
      <w:lvlText w:val=""/>
      <w:lvlJc w:val="left"/>
      <w:pPr>
        <w:ind w:left="4320" w:hanging="360"/>
      </w:pPr>
      <w:rPr>
        <w:rFonts w:ascii="Wingdings" w:hAnsi="Wingdings" w:hint="default"/>
      </w:rPr>
    </w:lvl>
    <w:lvl w:ilvl="6" w:tplc="97CE25BE" w:tentative="1">
      <w:start w:val="1"/>
      <w:numFmt w:val="bullet"/>
      <w:lvlText w:val=""/>
      <w:lvlJc w:val="left"/>
      <w:pPr>
        <w:ind w:left="5040" w:hanging="360"/>
      </w:pPr>
      <w:rPr>
        <w:rFonts w:ascii="Symbol" w:hAnsi="Symbol" w:hint="default"/>
      </w:rPr>
    </w:lvl>
    <w:lvl w:ilvl="7" w:tplc="742C5ED2" w:tentative="1">
      <w:start w:val="1"/>
      <w:numFmt w:val="bullet"/>
      <w:lvlText w:val="o"/>
      <w:lvlJc w:val="left"/>
      <w:pPr>
        <w:ind w:left="5760" w:hanging="360"/>
      </w:pPr>
      <w:rPr>
        <w:rFonts w:ascii="Courier New" w:hAnsi="Courier New" w:cs="Courier New" w:hint="default"/>
      </w:rPr>
    </w:lvl>
    <w:lvl w:ilvl="8" w:tplc="06F663CA" w:tentative="1">
      <w:start w:val="1"/>
      <w:numFmt w:val="bullet"/>
      <w:lvlText w:val=""/>
      <w:lvlJc w:val="left"/>
      <w:pPr>
        <w:ind w:left="6480" w:hanging="360"/>
      </w:pPr>
      <w:rPr>
        <w:rFonts w:ascii="Wingdings" w:hAnsi="Wingdings" w:hint="default"/>
      </w:rPr>
    </w:lvl>
  </w:abstractNum>
  <w:abstractNum w:abstractNumId="39" w15:restartNumberingAfterBreak="0">
    <w:nsid w:val="6D5702C6"/>
    <w:multiLevelType w:val="hybridMultilevel"/>
    <w:tmpl w:val="21169DEA"/>
    <w:lvl w:ilvl="0" w:tplc="9482D572">
      <w:start w:val="1"/>
      <w:numFmt w:val="bullet"/>
      <w:lvlText w:val=""/>
      <w:lvlJc w:val="left"/>
      <w:pPr>
        <w:ind w:left="781" w:hanging="360"/>
      </w:pPr>
      <w:rPr>
        <w:rFonts w:ascii="Symbol" w:hAnsi="Symbol" w:hint="default"/>
      </w:rPr>
    </w:lvl>
    <w:lvl w:ilvl="1" w:tplc="F63E5DE2" w:tentative="1">
      <w:start w:val="1"/>
      <w:numFmt w:val="bullet"/>
      <w:lvlText w:val="o"/>
      <w:lvlJc w:val="left"/>
      <w:pPr>
        <w:ind w:left="1501" w:hanging="360"/>
      </w:pPr>
      <w:rPr>
        <w:rFonts w:ascii="Courier New" w:hAnsi="Courier New" w:cs="Courier New" w:hint="default"/>
      </w:rPr>
    </w:lvl>
    <w:lvl w:ilvl="2" w:tplc="3F9249B8" w:tentative="1">
      <w:start w:val="1"/>
      <w:numFmt w:val="bullet"/>
      <w:lvlText w:val=""/>
      <w:lvlJc w:val="left"/>
      <w:pPr>
        <w:ind w:left="2221" w:hanging="360"/>
      </w:pPr>
      <w:rPr>
        <w:rFonts w:ascii="Wingdings" w:hAnsi="Wingdings" w:hint="default"/>
      </w:rPr>
    </w:lvl>
    <w:lvl w:ilvl="3" w:tplc="66289F10" w:tentative="1">
      <w:start w:val="1"/>
      <w:numFmt w:val="bullet"/>
      <w:lvlText w:val=""/>
      <w:lvlJc w:val="left"/>
      <w:pPr>
        <w:ind w:left="2941" w:hanging="360"/>
      </w:pPr>
      <w:rPr>
        <w:rFonts w:ascii="Symbol" w:hAnsi="Symbol" w:hint="default"/>
      </w:rPr>
    </w:lvl>
    <w:lvl w:ilvl="4" w:tplc="A5CC373A" w:tentative="1">
      <w:start w:val="1"/>
      <w:numFmt w:val="bullet"/>
      <w:lvlText w:val="o"/>
      <w:lvlJc w:val="left"/>
      <w:pPr>
        <w:ind w:left="3661" w:hanging="360"/>
      </w:pPr>
      <w:rPr>
        <w:rFonts w:ascii="Courier New" w:hAnsi="Courier New" w:cs="Courier New" w:hint="default"/>
      </w:rPr>
    </w:lvl>
    <w:lvl w:ilvl="5" w:tplc="2146D7F2" w:tentative="1">
      <w:start w:val="1"/>
      <w:numFmt w:val="bullet"/>
      <w:lvlText w:val=""/>
      <w:lvlJc w:val="left"/>
      <w:pPr>
        <w:ind w:left="4381" w:hanging="360"/>
      </w:pPr>
      <w:rPr>
        <w:rFonts w:ascii="Wingdings" w:hAnsi="Wingdings" w:hint="default"/>
      </w:rPr>
    </w:lvl>
    <w:lvl w:ilvl="6" w:tplc="10AE443E" w:tentative="1">
      <w:start w:val="1"/>
      <w:numFmt w:val="bullet"/>
      <w:lvlText w:val=""/>
      <w:lvlJc w:val="left"/>
      <w:pPr>
        <w:ind w:left="5101" w:hanging="360"/>
      </w:pPr>
      <w:rPr>
        <w:rFonts w:ascii="Symbol" w:hAnsi="Symbol" w:hint="default"/>
      </w:rPr>
    </w:lvl>
    <w:lvl w:ilvl="7" w:tplc="50D2EF0C" w:tentative="1">
      <w:start w:val="1"/>
      <w:numFmt w:val="bullet"/>
      <w:lvlText w:val="o"/>
      <w:lvlJc w:val="left"/>
      <w:pPr>
        <w:ind w:left="5821" w:hanging="360"/>
      </w:pPr>
      <w:rPr>
        <w:rFonts w:ascii="Courier New" w:hAnsi="Courier New" w:cs="Courier New" w:hint="default"/>
      </w:rPr>
    </w:lvl>
    <w:lvl w:ilvl="8" w:tplc="242E82AC" w:tentative="1">
      <w:start w:val="1"/>
      <w:numFmt w:val="bullet"/>
      <w:lvlText w:val=""/>
      <w:lvlJc w:val="left"/>
      <w:pPr>
        <w:ind w:left="6541" w:hanging="360"/>
      </w:pPr>
      <w:rPr>
        <w:rFonts w:ascii="Wingdings" w:hAnsi="Wingdings" w:hint="default"/>
      </w:rPr>
    </w:lvl>
  </w:abstractNum>
  <w:abstractNum w:abstractNumId="40" w15:restartNumberingAfterBreak="0">
    <w:nsid w:val="6F026FB0"/>
    <w:multiLevelType w:val="hybridMultilevel"/>
    <w:tmpl w:val="6786D72A"/>
    <w:lvl w:ilvl="0" w:tplc="AA983D1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19A6514"/>
    <w:multiLevelType w:val="multilevel"/>
    <w:tmpl w:val="074A14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15:restartNumberingAfterBreak="0">
    <w:nsid w:val="75B03F4C"/>
    <w:multiLevelType w:val="hybridMultilevel"/>
    <w:tmpl w:val="E9A02B9E"/>
    <w:lvl w:ilvl="0" w:tplc="2BF6F8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9795B3B"/>
    <w:multiLevelType w:val="multilevel"/>
    <w:tmpl w:val="9154B4A8"/>
    <w:lvl w:ilvl="0">
      <w:start w:val="1"/>
      <w:numFmt w:val="decimal"/>
      <w:lvlText w:val="%1."/>
      <w:lvlJc w:val="left"/>
      <w:pPr>
        <w:ind w:left="788" w:hanging="360"/>
      </w:pPr>
      <w:rPr>
        <w:sz w:val="20"/>
        <w:szCs w:val="20"/>
      </w:r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44" w15:restartNumberingAfterBreak="0">
    <w:nsid w:val="7B1B1D37"/>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84306117">
    <w:abstractNumId w:val="0"/>
  </w:num>
  <w:num w:numId="2" w16cid:durableId="1627080911">
    <w:abstractNumId w:val="38"/>
  </w:num>
  <w:num w:numId="3" w16cid:durableId="1717117207">
    <w:abstractNumId w:val="20"/>
  </w:num>
  <w:num w:numId="4" w16cid:durableId="391929593">
    <w:abstractNumId w:val="39"/>
  </w:num>
  <w:num w:numId="5" w16cid:durableId="1355955744">
    <w:abstractNumId w:val="1"/>
  </w:num>
  <w:num w:numId="6" w16cid:durableId="158620951">
    <w:abstractNumId w:val="26"/>
  </w:num>
  <w:num w:numId="7" w16cid:durableId="1085566933">
    <w:abstractNumId w:val="31"/>
  </w:num>
  <w:num w:numId="8" w16cid:durableId="1997492836">
    <w:abstractNumId w:val="35"/>
  </w:num>
  <w:num w:numId="9" w16cid:durableId="1801612822">
    <w:abstractNumId w:val="14"/>
  </w:num>
  <w:num w:numId="10" w16cid:durableId="1618681091">
    <w:abstractNumId w:val="32"/>
  </w:num>
  <w:num w:numId="11" w16cid:durableId="383331711">
    <w:abstractNumId w:val="11"/>
  </w:num>
  <w:num w:numId="12" w16cid:durableId="1579629518">
    <w:abstractNumId w:val="22"/>
  </w:num>
  <w:num w:numId="13" w16cid:durableId="1537504699">
    <w:abstractNumId w:val="23"/>
  </w:num>
  <w:num w:numId="14" w16cid:durableId="822621872">
    <w:abstractNumId w:val="36"/>
  </w:num>
  <w:num w:numId="15" w16cid:durableId="1467628401">
    <w:abstractNumId w:val="40"/>
  </w:num>
  <w:num w:numId="16" w16cid:durableId="817307303">
    <w:abstractNumId w:val="23"/>
  </w:num>
  <w:num w:numId="17" w16cid:durableId="369109691">
    <w:abstractNumId w:val="19"/>
  </w:num>
  <w:num w:numId="18" w16cid:durableId="1437292990">
    <w:abstractNumId w:val="13"/>
  </w:num>
  <w:num w:numId="19" w16cid:durableId="1939480656">
    <w:abstractNumId w:val="2"/>
  </w:num>
  <w:num w:numId="20" w16cid:durableId="611061275">
    <w:abstractNumId w:val="21"/>
  </w:num>
  <w:num w:numId="21" w16cid:durableId="514999695">
    <w:abstractNumId w:val="37"/>
  </w:num>
  <w:num w:numId="22" w16cid:durableId="276376322">
    <w:abstractNumId w:val="19"/>
  </w:num>
  <w:num w:numId="23" w16cid:durableId="343868721">
    <w:abstractNumId w:val="33"/>
  </w:num>
  <w:num w:numId="24" w16cid:durableId="1827814639">
    <w:abstractNumId w:val="6"/>
  </w:num>
  <w:num w:numId="25" w16cid:durableId="239564877">
    <w:abstractNumId w:val="29"/>
  </w:num>
  <w:num w:numId="26" w16cid:durableId="117647744">
    <w:abstractNumId w:val="44"/>
  </w:num>
  <w:num w:numId="27" w16cid:durableId="2134250362">
    <w:abstractNumId w:val="34"/>
  </w:num>
  <w:num w:numId="28" w16cid:durableId="624897100">
    <w:abstractNumId w:val="5"/>
  </w:num>
  <w:num w:numId="29" w16cid:durableId="935985474">
    <w:abstractNumId w:val="8"/>
  </w:num>
  <w:num w:numId="30" w16cid:durableId="504784106">
    <w:abstractNumId w:val="4"/>
  </w:num>
  <w:num w:numId="31" w16cid:durableId="1120997170">
    <w:abstractNumId w:val="18"/>
  </w:num>
  <w:num w:numId="32" w16cid:durableId="1627196182">
    <w:abstractNumId w:val="25"/>
  </w:num>
  <w:num w:numId="33" w16cid:durableId="1772427735">
    <w:abstractNumId w:val="42"/>
  </w:num>
  <w:num w:numId="34" w16cid:durableId="1422484290">
    <w:abstractNumId w:val="12"/>
  </w:num>
  <w:num w:numId="35" w16cid:durableId="1124345578">
    <w:abstractNumId w:val="10"/>
  </w:num>
  <w:num w:numId="36" w16cid:durableId="1066034344">
    <w:abstractNumId w:val="27"/>
  </w:num>
  <w:num w:numId="37" w16cid:durableId="628827876">
    <w:abstractNumId w:val="24"/>
  </w:num>
  <w:num w:numId="38" w16cid:durableId="1797793636">
    <w:abstractNumId w:val="41"/>
  </w:num>
  <w:num w:numId="39" w16cid:durableId="144472197">
    <w:abstractNumId w:val="17"/>
  </w:num>
  <w:num w:numId="40" w16cid:durableId="1065566649">
    <w:abstractNumId w:val="3"/>
  </w:num>
  <w:num w:numId="41" w16cid:durableId="1395926506">
    <w:abstractNumId w:val="7"/>
  </w:num>
  <w:num w:numId="42" w16cid:durableId="1641105348">
    <w:abstractNumId w:val="30"/>
  </w:num>
  <w:num w:numId="43" w16cid:durableId="783814831">
    <w:abstractNumId w:val="9"/>
  </w:num>
  <w:num w:numId="44" w16cid:durableId="248850766">
    <w:abstractNumId w:val="28"/>
  </w:num>
  <w:num w:numId="45" w16cid:durableId="425618871">
    <w:abstractNumId w:val="16"/>
  </w:num>
  <w:num w:numId="46" w16cid:durableId="1743062213">
    <w:abstractNumId w:val="15"/>
  </w:num>
  <w:num w:numId="47" w16cid:durableId="1521242327">
    <w:abstractNumId w:val="43"/>
  </w:num>
  <w:num w:numId="48" w16cid:durableId="2003847623">
    <w:abstractNumId w:val="28"/>
    <w:lvlOverride w:ilvl="0">
      <w:lvl w:ilvl="0">
        <w:start w:val="1"/>
        <w:numFmt w:val="decimal"/>
        <w:lvlText w:val="%1."/>
        <w:lvlJc w:val="left"/>
        <w:pPr>
          <w:ind w:left="788" w:hanging="360"/>
        </w:pPr>
        <w:rPr>
          <w:rFonts w:hint="default"/>
          <w:sz w:val="20"/>
          <w:szCs w:val="20"/>
        </w:rPr>
      </w:lvl>
    </w:lvlOverride>
    <w:lvlOverride w:ilvl="1">
      <w:lvl w:ilvl="1">
        <w:start w:val="1"/>
        <w:numFmt w:val="lowerRoman"/>
        <w:lvlText w:val="%2.)"/>
        <w:lvlJc w:val="left"/>
        <w:pPr>
          <w:ind w:left="1508" w:hanging="360"/>
        </w:pPr>
        <w:rPr>
          <w:rFonts w:ascii="Calibri" w:hAnsi="Calibri" w:hint="default"/>
          <w:sz w:val="20"/>
        </w:rPr>
      </w:lvl>
    </w:lvlOverride>
    <w:lvlOverride w:ilvl="2">
      <w:lvl w:ilvl="2">
        <w:start w:val="1"/>
        <w:numFmt w:val="lowerRoman"/>
        <w:lvlText w:val="%3."/>
        <w:lvlJc w:val="right"/>
        <w:pPr>
          <w:ind w:left="2228" w:hanging="180"/>
        </w:pPr>
        <w:rPr>
          <w:rFonts w:hint="default"/>
        </w:rPr>
      </w:lvl>
    </w:lvlOverride>
    <w:lvlOverride w:ilvl="3">
      <w:lvl w:ilvl="3">
        <w:start w:val="1"/>
        <w:numFmt w:val="decimal"/>
        <w:lvlText w:val="%4."/>
        <w:lvlJc w:val="left"/>
        <w:pPr>
          <w:ind w:left="2948" w:hanging="360"/>
        </w:pPr>
        <w:rPr>
          <w:rFonts w:hint="default"/>
        </w:rPr>
      </w:lvl>
    </w:lvlOverride>
    <w:lvlOverride w:ilvl="4">
      <w:lvl w:ilvl="4">
        <w:start w:val="1"/>
        <w:numFmt w:val="lowerLetter"/>
        <w:lvlText w:val="%5."/>
        <w:lvlJc w:val="left"/>
        <w:pPr>
          <w:ind w:left="3668" w:hanging="360"/>
        </w:pPr>
        <w:rPr>
          <w:rFonts w:hint="default"/>
        </w:rPr>
      </w:lvl>
    </w:lvlOverride>
    <w:lvlOverride w:ilvl="5">
      <w:lvl w:ilvl="5">
        <w:start w:val="1"/>
        <w:numFmt w:val="lowerRoman"/>
        <w:lvlText w:val="%6."/>
        <w:lvlJc w:val="right"/>
        <w:pPr>
          <w:ind w:left="4388" w:hanging="180"/>
        </w:pPr>
        <w:rPr>
          <w:rFonts w:hint="default"/>
        </w:rPr>
      </w:lvl>
    </w:lvlOverride>
    <w:lvlOverride w:ilvl="6">
      <w:lvl w:ilvl="6">
        <w:start w:val="1"/>
        <w:numFmt w:val="decimal"/>
        <w:lvlText w:val="%7."/>
        <w:lvlJc w:val="left"/>
        <w:pPr>
          <w:ind w:left="5108" w:hanging="360"/>
        </w:pPr>
        <w:rPr>
          <w:rFonts w:hint="default"/>
        </w:rPr>
      </w:lvl>
    </w:lvlOverride>
    <w:lvlOverride w:ilvl="7">
      <w:lvl w:ilvl="7">
        <w:start w:val="1"/>
        <w:numFmt w:val="lowerLetter"/>
        <w:lvlText w:val="%8."/>
        <w:lvlJc w:val="left"/>
        <w:pPr>
          <w:ind w:left="5828" w:hanging="360"/>
        </w:pPr>
        <w:rPr>
          <w:rFonts w:hint="default"/>
        </w:rPr>
      </w:lvl>
    </w:lvlOverride>
    <w:lvlOverride w:ilvl="8">
      <w:lvl w:ilvl="8">
        <w:start w:val="1"/>
        <w:numFmt w:val="lowerRoman"/>
        <w:lvlText w:val="%9."/>
        <w:lvlJc w:val="right"/>
        <w:pPr>
          <w:ind w:left="6548"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20"/>
    <w:rsid w:val="00001214"/>
    <w:rsid w:val="00007AC5"/>
    <w:rsid w:val="00010182"/>
    <w:rsid w:val="000124C4"/>
    <w:rsid w:val="0001370E"/>
    <w:rsid w:val="00014038"/>
    <w:rsid w:val="00016B11"/>
    <w:rsid w:val="00016D16"/>
    <w:rsid w:val="00016E19"/>
    <w:rsid w:val="00017ACD"/>
    <w:rsid w:val="000200EF"/>
    <w:rsid w:val="00020822"/>
    <w:rsid w:val="00021BC1"/>
    <w:rsid w:val="00022669"/>
    <w:rsid w:val="00023128"/>
    <w:rsid w:val="000233E4"/>
    <w:rsid w:val="00023E9A"/>
    <w:rsid w:val="00024E14"/>
    <w:rsid w:val="00025B0E"/>
    <w:rsid w:val="00025D3F"/>
    <w:rsid w:val="0002600E"/>
    <w:rsid w:val="00030162"/>
    <w:rsid w:val="0003041A"/>
    <w:rsid w:val="00031857"/>
    <w:rsid w:val="00031A3A"/>
    <w:rsid w:val="00031F25"/>
    <w:rsid w:val="00033B3D"/>
    <w:rsid w:val="00033C90"/>
    <w:rsid w:val="00034F78"/>
    <w:rsid w:val="00035FB4"/>
    <w:rsid w:val="000400CD"/>
    <w:rsid w:val="000404E5"/>
    <w:rsid w:val="00040DDF"/>
    <w:rsid w:val="000418CF"/>
    <w:rsid w:val="000439E5"/>
    <w:rsid w:val="00051B96"/>
    <w:rsid w:val="00051EB9"/>
    <w:rsid w:val="00052A67"/>
    <w:rsid w:val="00052D42"/>
    <w:rsid w:val="00054547"/>
    <w:rsid w:val="00055233"/>
    <w:rsid w:val="000562A0"/>
    <w:rsid w:val="00061D2F"/>
    <w:rsid w:val="00063A62"/>
    <w:rsid w:val="000660BF"/>
    <w:rsid w:val="00066873"/>
    <w:rsid w:val="00066EB4"/>
    <w:rsid w:val="00067397"/>
    <w:rsid w:val="00072766"/>
    <w:rsid w:val="000763E8"/>
    <w:rsid w:val="00080290"/>
    <w:rsid w:val="00082AEC"/>
    <w:rsid w:val="00084B30"/>
    <w:rsid w:val="00085DF9"/>
    <w:rsid w:val="00086F0B"/>
    <w:rsid w:val="000919F5"/>
    <w:rsid w:val="00091D0E"/>
    <w:rsid w:val="00093952"/>
    <w:rsid w:val="00093B4B"/>
    <w:rsid w:val="00094749"/>
    <w:rsid w:val="000947F2"/>
    <w:rsid w:val="00095233"/>
    <w:rsid w:val="00095906"/>
    <w:rsid w:val="000960CA"/>
    <w:rsid w:val="00096A3F"/>
    <w:rsid w:val="00096F2F"/>
    <w:rsid w:val="00097AA7"/>
    <w:rsid w:val="000A113D"/>
    <w:rsid w:val="000A129E"/>
    <w:rsid w:val="000A420B"/>
    <w:rsid w:val="000A5AF8"/>
    <w:rsid w:val="000A5E32"/>
    <w:rsid w:val="000A6376"/>
    <w:rsid w:val="000A6850"/>
    <w:rsid w:val="000B1C04"/>
    <w:rsid w:val="000B2B0C"/>
    <w:rsid w:val="000B48BF"/>
    <w:rsid w:val="000B63DB"/>
    <w:rsid w:val="000B669E"/>
    <w:rsid w:val="000B670D"/>
    <w:rsid w:val="000B6E95"/>
    <w:rsid w:val="000B75B6"/>
    <w:rsid w:val="000B7724"/>
    <w:rsid w:val="000C00C5"/>
    <w:rsid w:val="000C07AE"/>
    <w:rsid w:val="000C0A66"/>
    <w:rsid w:val="000C2584"/>
    <w:rsid w:val="000C2D37"/>
    <w:rsid w:val="000C36A3"/>
    <w:rsid w:val="000C44CB"/>
    <w:rsid w:val="000C7ADF"/>
    <w:rsid w:val="000C7F29"/>
    <w:rsid w:val="000D05F8"/>
    <w:rsid w:val="000D0D8F"/>
    <w:rsid w:val="000D16FB"/>
    <w:rsid w:val="000D334A"/>
    <w:rsid w:val="000D497F"/>
    <w:rsid w:val="000D4D6D"/>
    <w:rsid w:val="000E136A"/>
    <w:rsid w:val="000E13A0"/>
    <w:rsid w:val="000E17DA"/>
    <w:rsid w:val="000E1989"/>
    <w:rsid w:val="000E44D9"/>
    <w:rsid w:val="000E460A"/>
    <w:rsid w:val="000E4C71"/>
    <w:rsid w:val="000E549A"/>
    <w:rsid w:val="000E648B"/>
    <w:rsid w:val="000F0B47"/>
    <w:rsid w:val="000F4063"/>
    <w:rsid w:val="000F53ED"/>
    <w:rsid w:val="000F62B3"/>
    <w:rsid w:val="000F71C5"/>
    <w:rsid w:val="000F79AA"/>
    <w:rsid w:val="001016E3"/>
    <w:rsid w:val="00103561"/>
    <w:rsid w:val="00103CCD"/>
    <w:rsid w:val="00103DE2"/>
    <w:rsid w:val="00104309"/>
    <w:rsid w:val="00105D1E"/>
    <w:rsid w:val="00107005"/>
    <w:rsid w:val="001071EA"/>
    <w:rsid w:val="0011054A"/>
    <w:rsid w:val="00112765"/>
    <w:rsid w:val="00112D80"/>
    <w:rsid w:val="00116D84"/>
    <w:rsid w:val="00117F7C"/>
    <w:rsid w:val="00120596"/>
    <w:rsid w:val="0012125F"/>
    <w:rsid w:val="00123433"/>
    <w:rsid w:val="00123FEF"/>
    <w:rsid w:val="001240CB"/>
    <w:rsid w:val="00125F2E"/>
    <w:rsid w:val="00127469"/>
    <w:rsid w:val="001274BD"/>
    <w:rsid w:val="00127632"/>
    <w:rsid w:val="001313D2"/>
    <w:rsid w:val="00134032"/>
    <w:rsid w:val="001341F7"/>
    <w:rsid w:val="0013436A"/>
    <w:rsid w:val="0013525B"/>
    <w:rsid w:val="001358CC"/>
    <w:rsid w:val="001367B8"/>
    <w:rsid w:val="00140AC6"/>
    <w:rsid w:val="0014160F"/>
    <w:rsid w:val="00142E47"/>
    <w:rsid w:val="0015099D"/>
    <w:rsid w:val="001509EA"/>
    <w:rsid w:val="00150A08"/>
    <w:rsid w:val="00150B6A"/>
    <w:rsid w:val="001521BC"/>
    <w:rsid w:val="0015280B"/>
    <w:rsid w:val="00152D46"/>
    <w:rsid w:val="00153972"/>
    <w:rsid w:val="00154032"/>
    <w:rsid w:val="001540B4"/>
    <w:rsid w:val="001543C7"/>
    <w:rsid w:val="00155B8D"/>
    <w:rsid w:val="00157290"/>
    <w:rsid w:val="00157D27"/>
    <w:rsid w:val="001611BC"/>
    <w:rsid w:val="00162B50"/>
    <w:rsid w:val="0016450B"/>
    <w:rsid w:val="0016594D"/>
    <w:rsid w:val="00165F01"/>
    <w:rsid w:val="00166F97"/>
    <w:rsid w:val="0016733E"/>
    <w:rsid w:val="001674E0"/>
    <w:rsid w:val="00167534"/>
    <w:rsid w:val="00167DF3"/>
    <w:rsid w:val="001700CD"/>
    <w:rsid w:val="001701A6"/>
    <w:rsid w:val="001713EE"/>
    <w:rsid w:val="00172689"/>
    <w:rsid w:val="0017292F"/>
    <w:rsid w:val="001729A0"/>
    <w:rsid w:val="00172FAF"/>
    <w:rsid w:val="0018055C"/>
    <w:rsid w:val="00181A3C"/>
    <w:rsid w:val="00186581"/>
    <w:rsid w:val="0019020F"/>
    <w:rsid w:val="001932D9"/>
    <w:rsid w:val="00194B90"/>
    <w:rsid w:val="001955F8"/>
    <w:rsid w:val="001956FE"/>
    <w:rsid w:val="001A27A5"/>
    <w:rsid w:val="001A3DEE"/>
    <w:rsid w:val="001A4917"/>
    <w:rsid w:val="001A73A5"/>
    <w:rsid w:val="001A77B5"/>
    <w:rsid w:val="001B0344"/>
    <w:rsid w:val="001B095D"/>
    <w:rsid w:val="001B0D69"/>
    <w:rsid w:val="001B278B"/>
    <w:rsid w:val="001B2BA6"/>
    <w:rsid w:val="001B2D15"/>
    <w:rsid w:val="001B3BB3"/>
    <w:rsid w:val="001B4138"/>
    <w:rsid w:val="001B4D75"/>
    <w:rsid w:val="001B56DB"/>
    <w:rsid w:val="001B7179"/>
    <w:rsid w:val="001B79D0"/>
    <w:rsid w:val="001C25F5"/>
    <w:rsid w:val="001C34F2"/>
    <w:rsid w:val="001C3516"/>
    <w:rsid w:val="001C3FF4"/>
    <w:rsid w:val="001C4370"/>
    <w:rsid w:val="001C4FB4"/>
    <w:rsid w:val="001C54C8"/>
    <w:rsid w:val="001C5719"/>
    <w:rsid w:val="001C6640"/>
    <w:rsid w:val="001C7198"/>
    <w:rsid w:val="001C728C"/>
    <w:rsid w:val="001C72F1"/>
    <w:rsid w:val="001D01F9"/>
    <w:rsid w:val="001D1225"/>
    <w:rsid w:val="001D29A7"/>
    <w:rsid w:val="001D4219"/>
    <w:rsid w:val="001D4527"/>
    <w:rsid w:val="001D59AB"/>
    <w:rsid w:val="001D5B09"/>
    <w:rsid w:val="001D7605"/>
    <w:rsid w:val="001D7893"/>
    <w:rsid w:val="001E0140"/>
    <w:rsid w:val="001E07FC"/>
    <w:rsid w:val="001E0A7A"/>
    <w:rsid w:val="001E0F79"/>
    <w:rsid w:val="001E18BB"/>
    <w:rsid w:val="001E2E7D"/>
    <w:rsid w:val="001E343D"/>
    <w:rsid w:val="001E3BC8"/>
    <w:rsid w:val="001E4C11"/>
    <w:rsid w:val="001E5A21"/>
    <w:rsid w:val="001E6142"/>
    <w:rsid w:val="001E78E0"/>
    <w:rsid w:val="001E7FD2"/>
    <w:rsid w:val="001F0A73"/>
    <w:rsid w:val="001F11F9"/>
    <w:rsid w:val="001F17BD"/>
    <w:rsid w:val="001F2728"/>
    <w:rsid w:val="001F4B3C"/>
    <w:rsid w:val="001F7324"/>
    <w:rsid w:val="00200FA4"/>
    <w:rsid w:val="00203CC9"/>
    <w:rsid w:val="002059E9"/>
    <w:rsid w:val="0020703A"/>
    <w:rsid w:val="00207F54"/>
    <w:rsid w:val="002139B3"/>
    <w:rsid w:val="00213B10"/>
    <w:rsid w:val="002149E9"/>
    <w:rsid w:val="00215028"/>
    <w:rsid w:val="00216951"/>
    <w:rsid w:val="00220759"/>
    <w:rsid w:val="0022186F"/>
    <w:rsid w:val="00221CB9"/>
    <w:rsid w:val="00221F03"/>
    <w:rsid w:val="00223576"/>
    <w:rsid w:val="00223EC2"/>
    <w:rsid w:val="0022538F"/>
    <w:rsid w:val="00225C70"/>
    <w:rsid w:val="00226AE6"/>
    <w:rsid w:val="00227A6C"/>
    <w:rsid w:val="0023286D"/>
    <w:rsid w:val="002339EE"/>
    <w:rsid w:val="00234CB8"/>
    <w:rsid w:val="00235A0C"/>
    <w:rsid w:val="0023616A"/>
    <w:rsid w:val="002375B1"/>
    <w:rsid w:val="00237B76"/>
    <w:rsid w:val="00240515"/>
    <w:rsid w:val="00242B3B"/>
    <w:rsid w:val="002433E1"/>
    <w:rsid w:val="00244634"/>
    <w:rsid w:val="00247C8B"/>
    <w:rsid w:val="002504E0"/>
    <w:rsid w:val="00255D50"/>
    <w:rsid w:val="00260F6A"/>
    <w:rsid w:val="00261897"/>
    <w:rsid w:val="00262DE6"/>
    <w:rsid w:val="00263480"/>
    <w:rsid w:val="00264C81"/>
    <w:rsid w:val="00265612"/>
    <w:rsid w:val="00265AFD"/>
    <w:rsid w:val="00265B95"/>
    <w:rsid w:val="00266760"/>
    <w:rsid w:val="0026692D"/>
    <w:rsid w:val="00267BB3"/>
    <w:rsid w:val="0027100E"/>
    <w:rsid w:val="00272C4C"/>
    <w:rsid w:val="00272EDC"/>
    <w:rsid w:val="00273C1F"/>
    <w:rsid w:val="00273F2B"/>
    <w:rsid w:val="00273F57"/>
    <w:rsid w:val="00274179"/>
    <w:rsid w:val="0027432D"/>
    <w:rsid w:val="0027466A"/>
    <w:rsid w:val="002768C0"/>
    <w:rsid w:val="00277AF9"/>
    <w:rsid w:val="0028049D"/>
    <w:rsid w:val="00280882"/>
    <w:rsid w:val="00282845"/>
    <w:rsid w:val="002831F0"/>
    <w:rsid w:val="0028420F"/>
    <w:rsid w:val="00284D37"/>
    <w:rsid w:val="002900B5"/>
    <w:rsid w:val="00290F1C"/>
    <w:rsid w:val="002912C7"/>
    <w:rsid w:val="002935E4"/>
    <w:rsid w:val="00294B57"/>
    <w:rsid w:val="00296617"/>
    <w:rsid w:val="002A0D55"/>
    <w:rsid w:val="002A1160"/>
    <w:rsid w:val="002A2FFF"/>
    <w:rsid w:val="002A370A"/>
    <w:rsid w:val="002A3ACF"/>
    <w:rsid w:val="002A6127"/>
    <w:rsid w:val="002A7797"/>
    <w:rsid w:val="002A7804"/>
    <w:rsid w:val="002B009E"/>
    <w:rsid w:val="002B0492"/>
    <w:rsid w:val="002B0ACD"/>
    <w:rsid w:val="002B164D"/>
    <w:rsid w:val="002B4ECD"/>
    <w:rsid w:val="002B6468"/>
    <w:rsid w:val="002B68AE"/>
    <w:rsid w:val="002B6E9F"/>
    <w:rsid w:val="002B744C"/>
    <w:rsid w:val="002C0621"/>
    <w:rsid w:val="002C09AA"/>
    <w:rsid w:val="002C19E9"/>
    <w:rsid w:val="002C2B82"/>
    <w:rsid w:val="002C31FE"/>
    <w:rsid w:val="002C343D"/>
    <w:rsid w:val="002C364E"/>
    <w:rsid w:val="002C36FE"/>
    <w:rsid w:val="002C4881"/>
    <w:rsid w:val="002C7727"/>
    <w:rsid w:val="002C7F37"/>
    <w:rsid w:val="002D0230"/>
    <w:rsid w:val="002D08F5"/>
    <w:rsid w:val="002D1936"/>
    <w:rsid w:val="002D1F10"/>
    <w:rsid w:val="002D21DE"/>
    <w:rsid w:val="002D27E3"/>
    <w:rsid w:val="002D6980"/>
    <w:rsid w:val="002D6AB7"/>
    <w:rsid w:val="002D6F87"/>
    <w:rsid w:val="002D732C"/>
    <w:rsid w:val="002E048D"/>
    <w:rsid w:val="002E1640"/>
    <w:rsid w:val="002E19FF"/>
    <w:rsid w:val="002E2DD6"/>
    <w:rsid w:val="002E5FF4"/>
    <w:rsid w:val="002E6E63"/>
    <w:rsid w:val="002F07BC"/>
    <w:rsid w:val="002F2206"/>
    <w:rsid w:val="002F630E"/>
    <w:rsid w:val="002F70BA"/>
    <w:rsid w:val="002F7F27"/>
    <w:rsid w:val="003026A3"/>
    <w:rsid w:val="00302BBE"/>
    <w:rsid w:val="00304021"/>
    <w:rsid w:val="00304514"/>
    <w:rsid w:val="003063FE"/>
    <w:rsid w:val="00306F6B"/>
    <w:rsid w:val="00307846"/>
    <w:rsid w:val="0031013B"/>
    <w:rsid w:val="0031079C"/>
    <w:rsid w:val="00312205"/>
    <w:rsid w:val="00313FBA"/>
    <w:rsid w:val="00315FC4"/>
    <w:rsid w:val="003160C8"/>
    <w:rsid w:val="00316140"/>
    <w:rsid w:val="00316263"/>
    <w:rsid w:val="00316553"/>
    <w:rsid w:val="00317185"/>
    <w:rsid w:val="003176DF"/>
    <w:rsid w:val="0032025B"/>
    <w:rsid w:val="003206D3"/>
    <w:rsid w:val="00325513"/>
    <w:rsid w:val="003259BB"/>
    <w:rsid w:val="00325E0E"/>
    <w:rsid w:val="003262B7"/>
    <w:rsid w:val="00326B7B"/>
    <w:rsid w:val="00327109"/>
    <w:rsid w:val="00327FE1"/>
    <w:rsid w:val="003322EE"/>
    <w:rsid w:val="003326AA"/>
    <w:rsid w:val="00332914"/>
    <w:rsid w:val="00335941"/>
    <w:rsid w:val="00336937"/>
    <w:rsid w:val="00341242"/>
    <w:rsid w:val="00341832"/>
    <w:rsid w:val="00342BF9"/>
    <w:rsid w:val="00342E5D"/>
    <w:rsid w:val="00344006"/>
    <w:rsid w:val="00344658"/>
    <w:rsid w:val="0034550B"/>
    <w:rsid w:val="003459DA"/>
    <w:rsid w:val="0035081B"/>
    <w:rsid w:val="003508F2"/>
    <w:rsid w:val="00351BD4"/>
    <w:rsid w:val="00352CD7"/>
    <w:rsid w:val="00356DA6"/>
    <w:rsid w:val="00361BDD"/>
    <w:rsid w:val="00364100"/>
    <w:rsid w:val="0036468F"/>
    <w:rsid w:val="003651BC"/>
    <w:rsid w:val="00371D90"/>
    <w:rsid w:val="00373503"/>
    <w:rsid w:val="003744A9"/>
    <w:rsid w:val="00375F16"/>
    <w:rsid w:val="00376441"/>
    <w:rsid w:val="0037692A"/>
    <w:rsid w:val="00376A41"/>
    <w:rsid w:val="00380364"/>
    <w:rsid w:val="00380CDB"/>
    <w:rsid w:val="00384FD9"/>
    <w:rsid w:val="003867D8"/>
    <w:rsid w:val="00391EBE"/>
    <w:rsid w:val="00392BCD"/>
    <w:rsid w:val="00393130"/>
    <w:rsid w:val="0039472E"/>
    <w:rsid w:val="003A0172"/>
    <w:rsid w:val="003A2366"/>
    <w:rsid w:val="003A33F5"/>
    <w:rsid w:val="003A3600"/>
    <w:rsid w:val="003A571C"/>
    <w:rsid w:val="003A7AD7"/>
    <w:rsid w:val="003A7E83"/>
    <w:rsid w:val="003B1612"/>
    <w:rsid w:val="003B2FF0"/>
    <w:rsid w:val="003B48F0"/>
    <w:rsid w:val="003B55C3"/>
    <w:rsid w:val="003B6978"/>
    <w:rsid w:val="003B6CD4"/>
    <w:rsid w:val="003C101B"/>
    <w:rsid w:val="003C1182"/>
    <w:rsid w:val="003C129C"/>
    <w:rsid w:val="003C1D84"/>
    <w:rsid w:val="003C256A"/>
    <w:rsid w:val="003C2C55"/>
    <w:rsid w:val="003C4C63"/>
    <w:rsid w:val="003C602D"/>
    <w:rsid w:val="003D0720"/>
    <w:rsid w:val="003D0EC0"/>
    <w:rsid w:val="003D14CB"/>
    <w:rsid w:val="003D19D1"/>
    <w:rsid w:val="003D19DC"/>
    <w:rsid w:val="003D21B9"/>
    <w:rsid w:val="003D232F"/>
    <w:rsid w:val="003D3826"/>
    <w:rsid w:val="003D4580"/>
    <w:rsid w:val="003D53D2"/>
    <w:rsid w:val="003D6E74"/>
    <w:rsid w:val="003D72EF"/>
    <w:rsid w:val="003E030D"/>
    <w:rsid w:val="003E032E"/>
    <w:rsid w:val="003E0B1B"/>
    <w:rsid w:val="003E25C0"/>
    <w:rsid w:val="003E405A"/>
    <w:rsid w:val="003E44F1"/>
    <w:rsid w:val="003E45E0"/>
    <w:rsid w:val="003E4AA1"/>
    <w:rsid w:val="003E6685"/>
    <w:rsid w:val="003E6CAA"/>
    <w:rsid w:val="003E717A"/>
    <w:rsid w:val="003F0C0B"/>
    <w:rsid w:val="003F5643"/>
    <w:rsid w:val="003F6541"/>
    <w:rsid w:val="003F6EA0"/>
    <w:rsid w:val="004028E7"/>
    <w:rsid w:val="00402E18"/>
    <w:rsid w:val="0040385C"/>
    <w:rsid w:val="004043E0"/>
    <w:rsid w:val="00404DF8"/>
    <w:rsid w:val="004059F8"/>
    <w:rsid w:val="00405DFF"/>
    <w:rsid w:val="00406623"/>
    <w:rsid w:val="004100AC"/>
    <w:rsid w:val="00412CC2"/>
    <w:rsid w:val="00414B09"/>
    <w:rsid w:val="0041564D"/>
    <w:rsid w:val="00415CAF"/>
    <w:rsid w:val="00416F9E"/>
    <w:rsid w:val="0041777E"/>
    <w:rsid w:val="00421BB6"/>
    <w:rsid w:val="00423AE5"/>
    <w:rsid w:val="004245A7"/>
    <w:rsid w:val="00425059"/>
    <w:rsid w:val="00426918"/>
    <w:rsid w:val="00426C10"/>
    <w:rsid w:val="00427844"/>
    <w:rsid w:val="00430C6B"/>
    <w:rsid w:val="00431473"/>
    <w:rsid w:val="00433283"/>
    <w:rsid w:val="00435B93"/>
    <w:rsid w:val="00436E99"/>
    <w:rsid w:val="0044089E"/>
    <w:rsid w:val="00441FB5"/>
    <w:rsid w:val="004424A2"/>
    <w:rsid w:val="00442A14"/>
    <w:rsid w:val="00444677"/>
    <w:rsid w:val="00444F32"/>
    <w:rsid w:val="00447704"/>
    <w:rsid w:val="00450713"/>
    <w:rsid w:val="00451EDC"/>
    <w:rsid w:val="00453791"/>
    <w:rsid w:val="00455096"/>
    <w:rsid w:val="00456564"/>
    <w:rsid w:val="00457B0F"/>
    <w:rsid w:val="004619D1"/>
    <w:rsid w:val="004623E0"/>
    <w:rsid w:val="004651F8"/>
    <w:rsid w:val="00465581"/>
    <w:rsid w:val="0047107F"/>
    <w:rsid w:val="004713C2"/>
    <w:rsid w:val="00472531"/>
    <w:rsid w:val="0047565F"/>
    <w:rsid w:val="00475E89"/>
    <w:rsid w:val="0047646F"/>
    <w:rsid w:val="00477F08"/>
    <w:rsid w:val="004800E1"/>
    <w:rsid w:val="00482B6E"/>
    <w:rsid w:val="00484C70"/>
    <w:rsid w:val="004853D3"/>
    <w:rsid w:val="00485934"/>
    <w:rsid w:val="00486EA3"/>
    <w:rsid w:val="004905C4"/>
    <w:rsid w:val="00490C12"/>
    <w:rsid w:val="00494292"/>
    <w:rsid w:val="0049442B"/>
    <w:rsid w:val="0049496D"/>
    <w:rsid w:val="004977C9"/>
    <w:rsid w:val="004A0813"/>
    <w:rsid w:val="004A14EB"/>
    <w:rsid w:val="004A1BB8"/>
    <w:rsid w:val="004A2B25"/>
    <w:rsid w:val="004A2B9B"/>
    <w:rsid w:val="004A314B"/>
    <w:rsid w:val="004A5008"/>
    <w:rsid w:val="004A6517"/>
    <w:rsid w:val="004A7D68"/>
    <w:rsid w:val="004B0271"/>
    <w:rsid w:val="004B353B"/>
    <w:rsid w:val="004B3795"/>
    <w:rsid w:val="004B3BD1"/>
    <w:rsid w:val="004B412A"/>
    <w:rsid w:val="004B4C35"/>
    <w:rsid w:val="004B6FC3"/>
    <w:rsid w:val="004B7BF7"/>
    <w:rsid w:val="004C0820"/>
    <w:rsid w:val="004C32DB"/>
    <w:rsid w:val="004C517F"/>
    <w:rsid w:val="004C6CBD"/>
    <w:rsid w:val="004C7800"/>
    <w:rsid w:val="004D120C"/>
    <w:rsid w:val="004D32C1"/>
    <w:rsid w:val="004D43D6"/>
    <w:rsid w:val="004D4DB3"/>
    <w:rsid w:val="004D5710"/>
    <w:rsid w:val="004D5D11"/>
    <w:rsid w:val="004D6E90"/>
    <w:rsid w:val="004D7804"/>
    <w:rsid w:val="004D7E59"/>
    <w:rsid w:val="004E111A"/>
    <w:rsid w:val="004E23FD"/>
    <w:rsid w:val="004E3CE7"/>
    <w:rsid w:val="004E5790"/>
    <w:rsid w:val="004E766C"/>
    <w:rsid w:val="004F1EEA"/>
    <w:rsid w:val="004F2016"/>
    <w:rsid w:val="004F24D5"/>
    <w:rsid w:val="004F3372"/>
    <w:rsid w:val="004F3839"/>
    <w:rsid w:val="004F6458"/>
    <w:rsid w:val="004F6C86"/>
    <w:rsid w:val="004F6CFC"/>
    <w:rsid w:val="005003B5"/>
    <w:rsid w:val="00500957"/>
    <w:rsid w:val="0050225C"/>
    <w:rsid w:val="005028BE"/>
    <w:rsid w:val="005033F0"/>
    <w:rsid w:val="0051023B"/>
    <w:rsid w:val="00512527"/>
    <w:rsid w:val="00512555"/>
    <w:rsid w:val="00513CF0"/>
    <w:rsid w:val="00514A4B"/>
    <w:rsid w:val="00515F03"/>
    <w:rsid w:val="005174E9"/>
    <w:rsid w:val="005203B6"/>
    <w:rsid w:val="0052045D"/>
    <w:rsid w:val="0052247D"/>
    <w:rsid w:val="0052292D"/>
    <w:rsid w:val="005242C5"/>
    <w:rsid w:val="00525D26"/>
    <w:rsid w:val="005264D4"/>
    <w:rsid w:val="00530E61"/>
    <w:rsid w:val="0053193D"/>
    <w:rsid w:val="00531AEB"/>
    <w:rsid w:val="005321CC"/>
    <w:rsid w:val="00532B83"/>
    <w:rsid w:val="00532F18"/>
    <w:rsid w:val="0053333A"/>
    <w:rsid w:val="00535E8F"/>
    <w:rsid w:val="005373ED"/>
    <w:rsid w:val="005409F5"/>
    <w:rsid w:val="00541EE2"/>
    <w:rsid w:val="0054356F"/>
    <w:rsid w:val="00543FF6"/>
    <w:rsid w:val="005445D5"/>
    <w:rsid w:val="0055191D"/>
    <w:rsid w:val="00552DC3"/>
    <w:rsid w:val="00554DF0"/>
    <w:rsid w:val="005561CA"/>
    <w:rsid w:val="00557F4F"/>
    <w:rsid w:val="00560B71"/>
    <w:rsid w:val="0056101C"/>
    <w:rsid w:val="005630F4"/>
    <w:rsid w:val="00565BAF"/>
    <w:rsid w:val="0056653C"/>
    <w:rsid w:val="00567CC5"/>
    <w:rsid w:val="005705EA"/>
    <w:rsid w:val="00571293"/>
    <w:rsid w:val="005739A2"/>
    <w:rsid w:val="005748C7"/>
    <w:rsid w:val="00574B18"/>
    <w:rsid w:val="00574CE8"/>
    <w:rsid w:val="005815CC"/>
    <w:rsid w:val="0058392E"/>
    <w:rsid w:val="005839E9"/>
    <w:rsid w:val="005850CD"/>
    <w:rsid w:val="005858E8"/>
    <w:rsid w:val="005861CE"/>
    <w:rsid w:val="00586458"/>
    <w:rsid w:val="00586E03"/>
    <w:rsid w:val="005874DE"/>
    <w:rsid w:val="00587799"/>
    <w:rsid w:val="0059073A"/>
    <w:rsid w:val="005918F1"/>
    <w:rsid w:val="00591B9E"/>
    <w:rsid w:val="0059249B"/>
    <w:rsid w:val="00594424"/>
    <w:rsid w:val="00594504"/>
    <w:rsid w:val="00595170"/>
    <w:rsid w:val="0059691D"/>
    <w:rsid w:val="00597E10"/>
    <w:rsid w:val="005A0389"/>
    <w:rsid w:val="005A12E4"/>
    <w:rsid w:val="005A1506"/>
    <w:rsid w:val="005A17BC"/>
    <w:rsid w:val="005A2E7D"/>
    <w:rsid w:val="005A409F"/>
    <w:rsid w:val="005A5187"/>
    <w:rsid w:val="005A5395"/>
    <w:rsid w:val="005B147F"/>
    <w:rsid w:val="005B1BFC"/>
    <w:rsid w:val="005B2036"/>
    <w:rsid w:val="005B2CD4"/>
    <w:rsid w:val="005B3497"/>
    <w:rsid w:val="005B463E"/>
    <w:rsid w:val="005B4655"/>
    <w:rsid w:val="005B6433"/>
    <w:rsid w:val="005B6818"/>
    <w:rsid w:val="005C06B5"/>
    <w:rsid w:val="005C0D64"/>
    <w:rsid w:val="005C2D68"/>
    <w:rsid w:val="005C4BED"/>
    <w:rsid w:val="005C5962"/>
    <w:rsid w:val="005C6FC0"/>
    <w:rsid w:val="005D09DB"/>
    <w:rsid w:val="005D2CC1"/>
    <w:rsid w:val="005D30C7"/>
    <w:rsid w:val="005D4C15"/>
    <w:rsid w:val="005D537D"/>
    <w:rsid w:val="005D6A78"/>
    <w:rsid w:val="005D6BC8"/>
    <w:rsid w:val="005D716F"/>
    <w:rsid w:val="005D78EE"/>
    <w:rsid w:val="005E1403"/>
    <w:rsid w:val="005E14FE"/>
    <w:rsid w:val="005E1E3F"/>
    <w:rsid w:val="005E282F"/>
    <w:rsid w:val="005E2D2E"/>
    <w:rsid w:val="005E516E"/>
    <w:rsid w:val="005E52C7"/>
    <w:rsid w:val="005F1AE5"/>
    <w:rsid w:val="005F324C"/>
    <w:rsid w:val="005F337E"/>
    <w:rsid w:val="005F33E9"/>
    <w:rsid w:val="005F4046"/>
    <w:rsid w:val="005F6717"/>
    <w:rsid w:val="005F6835"/>
    <w:rsid w:val="005F728B"/>
    <w:rsid w:val="005F7654"/>
    <w:rsid w:val="005F77CC"/>
    <w:rsid w:val="00601D4C"/>
    <w:rsid w:val="00601E18"/>
    <w:rsid w:val="00602532"/>
    <w:rsid w:val="00602B1A"/>
    <w:rsid w:val="00602CFA"/>
    <w:rsid w:val="006033EA"/>
    <w:rsid w:val="006051F9"/>
    <w:rsid w:val="00605E6A"/>
    <w:rsid w:val="006062F4"/>
    <w:rsid w:val="006102D3"/>
    <w:rsid w:val="006103BE"/>
    <w:rsid w:val="006104D1"/>
    <w:rsid w:val="00610F38"/>
    <w:rsid w:val="00611123"/>
    <w:rsid w:val="0061240B"/>
    <w:rsid w:val="00613555"/>
    <w:rsid w:val="00614265"/>
    <w:rsid w:val="006145E1"/>
    <w:rsid w:val="00614A69"/>
    <w:rsid w:val="0061573D"/>
    <w:rsid w:val="00616F8B"/>
    <w:rsid w:val="0062587B"/>
    <w:rsid w:val="00627294"/>
    <w:rsid w:val="006302E8"/>
    <w:rsid w:val="00630657"/>
    <w:rsid w:val="006307B0"/>
    <w:rsid w:val="00635717"/>
    <w:rsid w:val="006360D1"/>
    <w:rsid w:val="00640396"/>
    <w:rsid w:val="006423BF"/>
    <w:rsid w:val="006429F2"/>
    <w:rsid w:val="006432D6"/>
    <w:rsid w:val="0064375C"/>
    <w:rsid w:val="0064487C"/>
    <w:rsid w:val="006453C8"/>
    <w:rsid w:val="006517E9"/>
    <w:rsid w:val="006522E6"/>
    <w:rsid w:val="00652AB9"/>
    <w:rsid w:val="00652CC6"/>
    <w:rsid w:val="00652F1A"/>
    <w:rsid w:val="0065445E"/>
    <w:rsid w:val="00654C22"/>
    <w:rsid w:val="00654E7A"/>
    <w:rsid w:val="00655505"/>
    <w:rsid w:val="00656E22"/>
    <w:rsid w:val="006571BD"/>
    <w:rsid w:val="00660060"/>
    <w:rsid w:val="006605B8"/>
    <w:rsid w:val="006609B5"/>
    <w:rsid w:val="00661FCC"/>
    <w:rsid w:val="00662A07"/>
    <w:rsid w:val="00663708"/>
    <w:rsid w:val="00664D03"/>
    <w:rsid w:val="0066714F"/>
    <w:rsid w:val="00670A4D"/>
    <w:rsid w:val="00672489"/>
    <w:rsid w:val="006739F7"/>
    <w:rsid w:val="00673A7B"/>
    <w:rsid w:val="00675A22"/>
    <w:rsid w:val="00675EA2"/>
    <w:rsid w:val="006760F0"/>
    <w:rsid w:val="006847A7"/>
    <w:rsid w:val="00686195"/>
    <w:rsid w:val="006873BE"/>
    <w:rsid w:val="0069023E"/>
    <w:rsid w:val="00690CD3"/>
    <w:rsid w:val="00691C25"/>
    <w:rsid w:val="00691FDA"/>
    <w:rsid w:val="00695424"/>
    <w:rsid w:val="006967FA"/>
    <w:rsid w:val="00696E23"/>
    <w:rsid w:val="00697EB6"/>
    <w:rsid w:val="006A1158"/>
    <w:rsid w:val="006A29B9"/>
    <w:rsid w:val="006A405D"/>
    <w:rsid w:val="006A52D0"/>
    <w:rsid w:val="006A6F7A"/>
    <w:rsid w:val="006A70A3"/>
    <w:rsid w:val="006A7543"/>
    <w:rsid w:val="006B00AC"/>
    <w:rsid w:val="006B2EE3"/>
    <w:rsid w:val="006B3AC3"/>
    <w:rsid w:val="006B3DDD"/>
    <w:rsid w:val="006B6A45"/>
    <w:rsid w:val="006C09C1"/>
    <w:rsid w:val="006C0C7A"/>
    <w:rsid w:val="006C3BF3"/>
    <w:rsid w:val="006C4122"/>
    <w:rsid w:val="006C4620"/>
    <w:rsid w:val="006C4705"/>
    <w:rsid w:val="006C53BC"/>
    <w:rsid w:val="006D0EE4"/>
    <w:rsid w:val="006D1164"/>
    <w:rsid w:val="006D1E45"/>
    <w:rsid w:val="006D207E"/>
    <w:rsid w:val="006D20A6"/>
    <w:rsid w:val="006D42D8"/>
    <w:rsid w:val="006D520C"/>
    <w:rsid w:val="006D5DCB"/>
    <w:rsid w:val="006E0256"/>
    <w:rsid w:val="006E0B8E"/>
    <w:rsid w:val="006E2501"/>
    <w:rsid w:val="006E2E8D"/>
    <w:rsid w:val="006F07F8"/>
    <w:rsid w:val="006F0EBB"/>
    <w:rsid w:val="006F1C65"/>
    <w:rsid w:val="006F2456"/>
    <w:rsid w:val="006F40BB"/>
    <w:rsid w:val="006F421A"/>
    <w:rsid w:val="006F542F"/>
    <w:rsid w:val="006F63A7"/>
    <w:rsid w:val="006F770D"/>
    <w:rsid w:val="00701B83"/>
    <w:rsid w:val="007028D6"/>
    <w:rsid w:val="00702DDC"/>
    <w:rsid w:val="00704036"/>
    <w:rsid w:val="00704CAE"/>
    <w:rsid w:val="00705435"/>
    <w:rsid w:val="007077A4"/>
    <w:rsid w:val="00713755"/>
    <w:rsid w:val="00713E11"/>
    <w:rsid w:val="00714E2B"/>
    <w:rsid w:val="00714E6A"/>
    <w:rsid w:val="0071568A"/>
    <w:rsid w:val="00715BCD"/>
    <w:rsid w:val="007172E9"/>
    <w:rsid w:val="0071732F"/>
    <w:rsid w:val="00717526"/>
    <w:rsid w:val="0071799B"/>
    <w:rsid w:val="00720E0B"/>
    <w:rsid w:val="00721AA8"/>
    <w:rsid w:val="00722FBD"/>
    <w:rsid w:val="00724B49"/>
    <w:rsid w:val="0072506C"/>
    <w:rsid w:val="00725842"/>
    <w:rsid w:val="00727F7A"/>
    <w:rsid w:val="00730D8E"/>
    <w:rsid w:val="00731408"/>
    <w:rsid w:val="00731C5D"/>
    <w:rsid w:val="00731E66"/>
    <w:rsid w:val="00732F84"/>
    <w:rsid w:val="00733E5A"/>
    <w:rsid w:val="007344C4"/>
    <w:rsid w:val="007355AE"/>
    <w:rsid w:val="00735A81"/>
    <w:rsid w:val="00735FA4"/>
    <w:rsid w:val="00736824"/>
    <w:rsid w:val="00736BF2"/>
    <w:rsid w:val="00740C05"/>
    <w:rsid w:val="007422E1"/>
    <w:rsid w:val="007428CC"/>
    <w:rsid w:val="0074403F"/>
    <w:rsid w:val="00745AFE"/>
    <w:rsid w:val="00750D31"/>
    <w:rsid w:val="0075121B"/>
    <w:rsid w:val="00752060"/>
    <w:rsid w:val="00752A37"/>
    <w:rsid w:val="00755DDA"/>
    <w:rsid w:val="00756E0C"/>
    <w:rsid w:val="00757A08"/>
    <w:rsid w:val="007602C0"/>
    <w:rsid w:val="00760711"/>
    <w:rsid w:val="007608B9"/>
    <w:rsid w:val="00760933"/>
    <w:rsid w:val="00760E98"/>
    <w:rsid w:val="00764B22"/>
    <w:rsid w:val="00767790"/>
    <w:rsid w:val="00767CA7"/>
    <w:rsid w:val="007716B0"/>
    <w:rsid w:val="007753E9"/>
    <w:rsid w:val="00777756"/>
    <w:rsid w:val="0078173E"/>
    <w:rsid w:val="007875DB"/>
    <w:rsid w:val="007939E9"/>
    <w:rsid w:val="00793B50"/>
    <w:rsid w:val="00793D4F"/>
    <w:rsid w:val="00794A07"/>
    <w:rsid w:val="00795B7A"/>
    <w:rsid w:val="007972AE"/>
    <w:rsid w:val="007A02A7"/>
    <w:rsid w:val="007A1C98"/>
    <w:rsid w:val="007A2BA3"/>
    <w:rsid w:val="007A4123"/>
    <w:rsid w:val="007A747D"/>
    <w:rsid w:val="007A7D48"/>
    <w:rsid w:val="007B1B6E"/>
    <w:rsid w:val="007B21A0"/>
    <w:rsid w:val="007B2B0E"/>
    <w:rsid w:val="007B331F"/>
    <w:rsid w:val="007B57C9"/>
    <w:rsid w:val="007B5CB6"/>
    <w:rsid w:val="007B7002"/>
    <w:rsid w:val="007B7A6C"/>
    <w:rsid w:val="007C1818"/>
    <w:rsid w:val="007C2668"/>
    <w:rsid w:val="007C39F0"/>
    <w:rsid w:val="007C4AC7"/>
    <w:rsid w:val="007C5DBE"/>
    <w:rsid w:val="007C68C5"/>
    <w:rsid w:val="007C7BCA"/>
    <w:rsid w:val="007D0EB2"/>
    <w:rsid w:val="007D4624"/>
    <w:rsid w:val="007D4FAF"/>
    <w:rsid w:val="007E0545"/>
    <w:rsid w:val="007E06BC"/>
    <w:rsid w:val="007E446A"/>
    <w:rsid w:val="007E5053"/>
    <w:rsid w:val="007E6503"/>
    <w:rsid w:val="007F156F"/>
    <w:rsid w:val="007F5BF8"/>
    <w:rsid w:val="008009DA"/>
    <w:rsid w:val="0080143F"/>
    <w:rsid w:val="00802F9E"/>
    <w:rsid w:val="00803131"/>
    <w:rsid w:val="008034CD"/>
    <w:rsid w:val="008047F8"/>
    <w:rsid w:val="0080511C"/>
    <w:rsid w:val="0080655D"/>
    <w:rsid w:val="00806821"/>
    <w:rsid w:val="00810DB4"/>
    <w:rsid w:val="008137C0"/>
    <w:rsid w:val="00813849"/>
    <w:rsid w:val="00813BAD"/>
    <w:rsid w:val="008144FC"/>
    <w:rsid w:val="0081525D"/>
    <w:rsid w:val="008152CE"/>
    <w:rsid w:val="00815A42"/>
    <w:rsid w:val="00815F67"/>
    <w:rsid w:val="0081610A"/>
    <w:rsid w:val="008177C3"/>
    <w:rsid w:val="00820472"/>
    <w:rsid w:val="00821CDC"/>
    <w:rsid w:val="00821E72"/>
    <w:rsid w:val="0082352D"/>
    <w:rsid w:val="0083071E"/>
    <w:rsid w:val="00830B29"/>
    <w:rsid w:val="0083440C"/>
    <w:rsid w:val="00835ACC"/>
    <w:rsid w:val="00836CDF"/>
    <w:rsid w:val="00837A31"/>
    <w:rsid w:val="008409A1"/>
    <w:rsid w:val="0084224A"/>
    <w:rsid w:val="00843352"/>
    <w:rsid w:val="00844AAA"/>
    <w:rsid w:val="008450BC"/>
    <w:rsid w:val="00846FAC"/>
    <w:rsid w:val="00847E9F"/>
    <w:rsid w:val="00850D1D"/>
    <w:rsid w:val="00852CFA"/>
    <w:rsid w:val="008540C2"/>
    <w:rsid w:val="008546CE"/>
    <w:rsid w:val="00854B4F"/>
    <w:rsid w:val="00855270"/>
    <w:rsid w:val="00855FDC"/>
    <w:rsid w:val="00857D05"/>
    <w:rsid w:val="00860823"/>
    <w:rsid w:val="00860B8A"/>
    <w:rsid w:val="00860D88"/>
    <w:rsid w:val="00864F78"/>
    <w:rsid w:val="00865359"/>
    <w:rsid w:val="00865EB5"/>
    <w:rsid w:val="008676E7"/>
    <w:rsid w:val="00870C5A"/>
    <w:rsid w:val="008715C9"/>
    <w:rsid w:val="008718F8"/>
    <w:rsid w:val="00872899"/>
    <w:rsid w:val="00872EDA"/>
    <w:rsid w:val="008735C1"/>
    <w:rsid w:val="008756F5"/>
    <w:rsid w:val="00875A7E"/>
    <w:rsid w:val="00875D15"/>
    <w:rsid w:val="008767CB"/>
    <w:rsid w:val="00880C7D"/>
    <w:rsid w:val="008827A6"/>
    <w:rsid w:val="00882F5D"/>
    <w:rsid w:val="00886D89"/>
    <w:rsid w:val="00887937"/>
    <w:rsid w:val="0088796D"/>
    <w:rsid w:val="008919A4"/>
    <w:rsid w:val="00891E83"/>
    <w:rsid w:val="00892BC0"/>
    <w:rsid w:val="008938E1"/>
    <w:rsid w:val="00893C55"/>
    <w:rsid w:val="008950FD"/>
    <w:rsid w:val="008966E7"/>
    <w:rsid w:val="00896C10"/>
    <w:rsid w:val="00897120"/>
    <w:rsid w:val="008A021F"/>
    <w:rsid w:val="008A2137"/>
    <w:rsid w:val="008A2A8A"/>
    <w:rsid w:val="008B5658"/>
    <w:rsid w:val="008C0095"/>
    <w:rsid w:val="008C075E"/>
    <w:rsid w:val="008C0C0B"/>
    <w:rsid w:val="008C14C2"/>
    <w:rsid w:val="008C1CCF"/>
    <w:rsid w:val="008C2874"/>
    <w:rsid w:val="008C3778"/>
    <w:rsid w:val="008C5217"/>
    <w:rsid w:val="008C541A"/>
    <w:rsid w:val="008C5436"/>
    <w:rsid w:val="008C5FB9"/>
    <w:rsid w:val="008C784F"/>
    <w:rsid w:val="008D11D9"/>
    <w:rsid w:val="008D1E1E"/>
    <w:rsid w:val="008D2794"/>
    <w:rsid w:val="008D295A"/>
    <w:rsid w:val="008D3014"/>
    <w:rsid w:val="008D4758"/>
    <w:rsid w:val="008D479A"/>
    <w:rsid w:val="008D4E71"/>
    <w:rsid w:val="008D61BC"/>
    <w:rsid w:val="008D6EF6"/>
    <w:rsid w:val="008D7C58"/>
    <w:rsid w:val="008D7D88"/>
    <w:rsid w:val="008E131A"/>
    <w:rsid w:val="008E1852"/>
    <w:rsid w:val="008E19D6"/>
    <w:rsid w:val="008E1B7D"/>
    <w:rsid w:val="008E209D"/>
    <w:rsid w:val="008E24AD"/>
    <w:rsid w:val="008E2DC7"/>
    <w:rsid w:val="008E44BB"/>
    <w:rsid w:val="008E5559"/>
    <w:rsid w:val="008E58C0"/>
    <w:rsid w:val="008E6A47"/>
    <w:rsid w:val="008E6F72"/>
    <w:rsid w:val="008E73A7"/>
    <w:rsid w:val="008E7434"/>
    <w:rsid w:val="008E7609"/>
    <w:rsid w:val="008F011E"/>
    <w:rsid w:val="008F1A88"/>
    <w:rsid w:val="008F1A98"/>
    <w:rsid w:val="008F3458"/>
    <w:rsid w:val="008F52FD"/>
    <w:rsid w:val="008F5372"/>
    <w:rsid w:val="008F5C67"/>
    <w:rsid w:val="008F6758"/>
    <w:rsid w:val="008F7765"/>
    <w:rsid w:val="008F7C47"/>
    <w:rsid w:val="0090059D"/>
    <w:rsid w:val="00900654"/>
    <w:rsid w:val="009024A3"/>
    <w:rsid w:val="00903591"/>
    <w:rsid w:val="0090478B"/>
    <w:rsid w:val="00906038"/>
    <w:rsid w:val="00906A22"/>
    <w:rsid w:val="0090728A"/>
    <w:rsid w:val="009079D1"/>
    <w:rsid w:val="00907C94"/>
    <w:rsid w:val="0091235C"/>
    <w:rsid w:val="00912984"/>
    <w:rsid w:val="00914DF6"/>
    <w:rsid w:val="00915929"/>
    <w:rsid w:val="00915992"/>
    <w:rsid w:val="009164C2"/>
    <w:rsid w:val="009171E7"/>
    <w:rsid w:val="009207B2"/>
    <w:rsid w:val="009222A0"/>
    <w:rsid w:val="00923979"/>
    <w:rsid w:val="009241E5"/>
    <w:rsid w:val="00924F99"/>
    <w:rsid w:val="00926C86"/>
    <w:rsid w:val="00927960"/>
    <w:rsid w:val="00927D65"/>
    <w:rsid w:val="00930944"/>
    <w:rsid w:val="00931807"/>
    <w:rsid w:val="0093214B"/>
    <w:rsid w:val="009327BD"/>
    <w:rsid w:val="009351F0"/>
    <w:rsid w:val="009358D5"/>
    <w:rsid w:val="00940EAA"/>
    <w:rsid w:val="0094266F"/>
    <w:rsid w:val="00945C16"/>
    <w:rsid w:val="00946D73"/>
    <w:rsid w:val="00947868"/>
    <w:rsid w:val="00951EE1"/>
    <w:rsid w:val="009528D1"/>
    <w:rsid w:val="00953511"/>
    <w:rsid w:val="009536C3"/>
    <w:rsid w:val="00954515"/>
    <w:rsid w:val="009560A1"/>
    <w:rsid w:val="00957020"/>
    <w:rsid w:val="00957339"/>
    <w:rsid w:val="00962F49"/>
    <w:rsid w:val="009645D4"/>
    <w:rsid w:val="0096463E"/>
    <w:rsid w:val="00965304"/>
    <w:rsid w:val="00966CE2"/>
    <w:rsid w:val="0096762B"/>
    <w:rsid w:val="009700CE"/>
    <w:rsid w:val="00970CBC"/>
    <w:rsid w:val="00970D5C"/>
    <w:rsid w:val="009719AB"/>
    <w:rsid w:val="00971DEC"/>
    <w:rsid w:val="00973FF3"/>
    <w:rsid w:val="0097500B"/>
    <w:rsid w:val="00976692"/>
    <w:rsid w:val="0097690B"/>
    <w:rsid w:val="00977F2C"/>
    <w:rsid w:val="00981D80"/>
    <w:rsid w:val="00983946"/>
    <w:rsid w:val="009856DC"/>
    <w:rsid w:val="0098622D"/>
    <w:rsid w:val="00986ACD"/>
    <w:rsid w:val="00987658"/>
    <w:rsid w:val="009878D9"/>
    <w:rsid w:val="00987EFE"/>
    <w:rsid w:val="009904B5"/>
    <w:rsid w:val="00991617"/>
    <w:rsid w:val="00993B77"/>
    <w:rsid w:val="00994279"/>
    <w:rsid w:val="00996288"/>
    <w:rsid w:val="009966CD"/>
    <w:rsid w:val="00997BE7"/>
    <w:rsid w:val="009A1433"/>
    <w:rsid w:val="009A1859"/>
    <w:rsid w:val="009A3708"/>
    <w:rsid w:val="009A3FB1"/>
    <w:rsid w:val="009A4BF9"/>
    <w:rsid w:val="009A4F20"/>
    <w:rsid w:val="009A61A0"/>
    <w:rsid w:val="009A6F74"/>
    <w:rsid w:val="009B0481"/>
    <w:rsid w:val="009B211A"/>
    <w:rsid w:val="009B4470"/>
    <w:rsid w:val="009B4DD2"/>
    <w:rsid w:val="009B5124"/>
    <w:rsid w:val="009B5CC0"/>
    <w:rsid w:val="009B7047"/>
    <w:rsid w:val="009C053D"/>
    <w:rsid w:val="009C0B06"/>
    <w:rsid w:val="009C0D6F"/>
    <w:rsid w:val="009C1298"/>
    <w:rsid w:val="009C1ABD"/>
    <w:rsid w:val="009C2A34"/>
    <w:rsid w:val="009C2C97"/>
    <w:rsid w:val="009C6816"/>
    <w:rsid w:val="009C724B"/>
    <w:rsid w:val="009C770E"/>
    <w:rsid w:val="009D0070"/>
    <w:rsid w:val="009D1DCA"/>
    <w:rsid w:val="009D3CC7"/>
    <w:rsid w:val="009D3EED"/>
    <w:rsid w:val="009D4962"/>
    <w:rsid w:val="009D617E"/>
    <w:rsid w:val="009E079E"/>
    <w:rsid w:val="009E1D37"/>
    <w:rsid w:val="009E1FAA"/>
    <w:rsid w:val="009E2080"/>
    <w:rsid w:val="009E232C"/>
    <w:rsid w:val="009E2C91"/>
    <w:rsid w:val="009E4061"/>
    <w:rsid w:val="009E40E1"/>
    <w:rsid w:val="009E6216"/>
    <w:rsid w:val="009E719E"/>
    <w:rsid w:val="009E7907"/>
    <w:rsid w:val="009F0665"/>
    <w:rsid w:val="009F3B8F"/>
    <w:rsid w:val="009F62D3"/>
    <w:rsid w:val="009F652D"/>
    <w:rsid w:val="00A0076E"/>
    <w:rsid w:val="00A028FD"/>
    <w:rsid w:val="00A03B3A"/>
    <w:rsid w:val="00A03F3B"/>
    <w:rsid w:val="00A04178"/>
    <w:rsid w:val="00A05218"/>
    <w:rsid w:val="00A1097B"/>
    <w:rsid w:val="00A1565C"/>
    <w:rsid w:val="00A22AEE"/>
    <w:rsid w:val="00A24B43"/>
    <w:rsid w:val="00A257FB"/>
    <w:rsid w:val="00A26884"/>
    <w:rsid w:val="00A317FB"/>
    <w:rsid w:val="00A31949"/>
    <w:rsid w:val="00A31BC5"/>
    <w:rsid w:val="00A31D89"/>
    <w:rsid w:val="00A32A38"/>
    <w:rsid w:val="00A331CB"/>
    <w:rsid w:val="00A343C2"/>
    <w:rsid w:val="00A34D05"/>
    <w:rsid w:val="00A35FDC"/>
    <w:rsid w:val="00A364D4"/>
    <w:rsid w:val="00A3681D"/>
    <w:rsid w:val="00A3768E"/>
    <w:rsid w:val="00A37B69"/>
    <w:rsid w:val="00A409B2"/>
    <w:rsid w:val="00A412F1"/>
    <w:rsid w:val="00A41ABB"/>
    <w:rsid w:val="00A42582"/>
    <w:rsid w:val="00A42FA8"/>
    <w:rsid w:val="00A436A7"/>
    <w:rsid w:val="00A449BB"/>
    <w:rsid w:val="00A45FE6"/>
    <w:rsid w:val="00A500CF"/>
    <w:rsid w:val="00A505FA"/>
    <w:rsid w:val="00A5265B"/>
    <w:rsid w:val="00A53427"/>
    <w:rsid w:val="00A53902"/>
    <w:rsid w:val="00A55200"/>
    <w:rsid w:val="00A55516"/>
    <w:rsid w:val="00A557C4"/>
    <w:rsid w:val="00A5593E"/>
    <w:rsid w:val="00A55992"/>
    <w:rsid w:val="00A5697C"/>
    <w:rsid w:val="00A5778E"/>
    <w:rsid w:val="00A57CE6"/>
    <w:rsid w:val="00A60512"/>
    <w:rsid w:val="00A60684"/>
    <w:rsid w:val="00A61F1C"/>
    <w:rsid w:val="00A622C3"/>
    <w:rsid w:val="00A65B02"/>
    <w:rsid w:val="00A662B5"/>
    <w:rsid w:val="00A66D8C"/>
    <w:rsid w:val="00A66E82"/>
    <w:rsid w:val="00A6708A"/>
    <w:rsid w:val="00A71077"/>
    <w:rsid w:val="00A71EE9"/>
    <w:rsid w:val="00A74EA4"/>
    <w:rsid w:val="00A803F2"/>
    <w:rsid w:val="00A80B27"/>
    <w:rsid w:val="00A83B83"/>
    <w:rsid w:val="00A83F04"/>
    <w:rsid w:val="00A85ADC"/>
    <w:rsid w:val="00A85F9E"/>
    <w:rsid w:val="00A862E7"/>
    <w:rsid w:val="00A8666E"/>
    <w:rsid w:val="00A86FE1"/>
    <w:rsid w:val="00A87519"/>
    <w:rsid w:val="00A8784A"/>
    <w:rsid w:val="00A9030D"/>
    <w:rsid w:val="00A928D0"/>
    <w:rsid w:val="00A939D3"/>
    <w:rsid w:val="00A949AB"/>
    <w:rsid w:val="00A949F4"/>
    <w:rsid w:val="00A9501C"/>
    <w:rsid w:val="00A956D8"/>
    <w:rsid w:val="00A95704"/>
    <w:rsid w:val="00A96627"/>
    <w:rsid w:val="00A97483"/>
    <w:rsid w:val="00AA0761"/>
    <w:rsid w:val="00AA17D2"/>
    <w:rsid w:val="00AA18F8"/>
    <w:rsid w:val="00AA19B8"/>
    <w:rsid w:val="00AA1EF5"/>
    <w:rsid w:val="00AA36CA"/>
    <w:rsid w:val="00AA4CCD"/>
    <w:rsid w:val="00AA64D9"/>
    <w:rsid w:val="00AA6E1A"/>
    <w:rsid w:val="00AB0362"/>
    <w:rsid w:val="00AB083C"/>
    <w:rsid w:val="00AB1A13"/>
    <w:rsid w:val="00AB2940"/>
    <w:rsid w:val="00AB302E"/>
    <w:rsid w:val="00AB36DD"/>
    <w:rsid w:val="00AB67AC"/>
    <w:rsid w:val="00AB6DEB"/>
    <w:rsid w:val="00AB72D9"/>
    <w:rsid w:val="00AB7BAA"/>
    <w:rsid w:val="00AC16EE"/>
    <w:rsid w:val="00AC1F99"/>
    <w:rsid w:val="00AC261E"/>
    <w:rsid w:val="00AC4249"/>
    <w:rsid w:val="00AC44A2"/>
    <w:rsid w:val="00AC607D"/>
    <w:rsid w:val="00AC7322"/>
    <w:rsid w:val="00AD239D"/>
    <w:rsid w:val="00AD3F72"/>
    <w:rsid w:val="00AD4D5A"/>
    <w:rsid w:val="00AD4E9B"/>
    <w:rsid w:val="00AE04A4"/>
    <w:rsid w:val="00AE2793"/>
    <w:rsid w:val="00AE2F70"/>
    <w:rsid w:val="00AE4573"/>
    <w:rsid w:val="00AE7A2F"/>
    <w:rsid w:val="00AE7CA6"/>
    <w:rsid w:val="00AF06A1"/>
    <w:rsid w:val="00AF0BB7"/>
    <w:rsid w:val="00AF15F9"/>
    <w:rsid w:val="00AF1D76"/>
    <w:rsid w:val="00AF40FF"/>
    <w:rsid w:val="00B00B28"/>
    <w:rsid w:val="00B02F07"/>
    <w:rsid w:val="00B033A2"/>
    <w:rsid w:val="00B0351E"/>
    <w:rsid w:val="00B0429A"/>
    <w:rsid w:val="00B04B80"/>
    <w:rsid w:val="00B056C5"/>
    <w:rsid w:val="00B06459"/>
    <w:rsid w:val="00B071D3"/>
    <w:rsid w:val="00B07BA4"/>
    <w:rsid w:val="00B14529"/>
    <w:rsid w:val="00B14800"/>
    <w:rsid w:val="00B16217"/>
    <w:rsid w:val="00B16E61"/>
    <w:rsid w:val="00B17DB7"/>
    <w:rsid w:val="00B22531"/>
    <w:rsid w:val="00B235B9"/>
    <w:rsid w:val="00B25438"/>
    <w:rsid w:val="00B25669"/>
    <w:rsid w:val="00B264B5"/>
    <w:rsid w:val="00B26E97"/>
    <w:rsid w:val="00B27A13"/>
    <w:rsid w:val="00B3037E"/>
    <w:rsid w:val="00B31E27"/>
    <w:rsid w:val="00B3293A"/>
    <w:rsid w:val="00B329DA"/>
    <w:rsid w:val="00B34488"/>
    <w:rsid w:val="00B34F8C"/>
    <w:rsid w:val="00B352BB"/>
    <w:rsid w:val="00B35F27"/>
    <w:rsid w:val="00B36A47"/>
    <w:rsid w:val="00B45A1E"/>
    <w:rsid w:val="00B46235"/>
    <w:rsid w:val="00B46C5F"/>
    <w:rsid w:val="00B5387C"/>
    <w:rsid w:val="00B5484E"/>
    <w:rsid w:val="00B56A58"/>
    <w:rsid w:val="00B6062D"/>
    <w:rsid w:val="00B62ADE"/>
    <w:rsid w:val="00B64DC3"/>
    <w:rsid w:val="00B66948"/>
    <w:rsid w:val="00B67C00"/>
    <w:rsid w:val="00B71009"/>
    <w:rsid w:val="00B7197D"/>
    <w:rsid w:val="00B72B7F"/>
    <w:rsid w:val="00B734FF"/>
    <w:rsid w:val="00B750C1"/>
    <w:rsid w:val="00B754D7"/>
    <w:rsid w:val="00B767D5"/>
    <w:rsid w:val="00B774BE"/>
    <w:rsid w:val="00B7770A"/>
    <w:rsid w:val="00B7781F"/>
    <w:rsid w:val="00B825E1"/>
    <w:rsid w:val="00B83E88"/>
    <w:rsid w:val="00B84446"/>
    <w:rsid w:val="00B854C1"/>
    <w:rsid w:val="00B87153"/>
    <w:rsid w:val="00B9033A"/>
    <w:rsid w:val="00B903DF"/>
    <w:rsid w:val="00B903FB"/>
    <w:rsid w:val="00B927ED"/>
    <w:rsid w:val="00B931BB"/>
    <w:rsid w:val="00B9421E"/>
    <w:rsid w:val="00B94F3B"/>
    <w:rsid w:val="00B950DC"/>
    <w:rsid w:val="00B96B9C"/>
    <w:rsid w:val="00BA0F23"/>
    <w:rsid w:val="00BA1648"/>
    <w:rsid w:val="00BA1D6D"/>
    <w:rsid w:val="00BA2B21"/>
    <w:rsid w:val="00BA2EB9"/>
    <w:rsid w:val="00BA4897"/>
    <w:rsid w:val="00BA6048"/>
    <w:rsid w:val="00BA66C1"/>
    <w:rsid w:val="00BA76A4"/>
    <w:rsid w:val="00BB157D"/>
    <w:rsid w:val="00BB2244"/>
    <w:rsid w:val="00BB2F79"/>
    <w:rsid w:val="00BB390E"/>
    <w:rsid w:val="00BB3BA3"/>
    <w:rsid w:val="00BB543D"/>
    <w:rsid w:val="00BB56E5"/>
    <w:rsid w:val="00BB66A8"/>
    <w:rsid w:val="00BC1FEC"/>
    <w:rsid w:val="00BC2118"/>
    <w:rsid w:val="00BC2D2B"/>
    <w:rsid w:val="00BC3214"/>
    <w:rsid w:val="00BC4ED6"/>
    <w:rsid w:val="00BC6557"/>
    <w:rsid w:val="00BD09BD"/>
    <w:rsid w:val="00BD09D5"/>
    <w:rsid w:val="00BD1257"/>
    <w:rsid w:val="00BD3860"/>
    <w:rsid w:val="00BD3AA0"/>
    <w:rsid w:val="00BD3DC8"/>
    <w:rsid w:val="00BD4232"/>
    <w:rsid w:val="00BD6D0F"/>
    <w:rsid w:val="00BD71DF"/>
    <w:rsid w:val="00BD7DF5"/>
    <w:rsid w:val="00BE2341"/>
    <w:rsid w:val="00BE2DA0"/>
    <w:rsid w:val="00BE338F"/>
    <w:rsid w:val="00BE403A"/>
    <w:rsid w:val="00BE47E6"/>
    <w:rsid w:val="00BE4DA0"/>
    <w:rsid w:val="00BE5483"/>
    <w:rsid w:val="00BE696C"/>
    <w:rsid w:val="00BF21FA"/>
    <w:rsid w:val="00BF2DDE"/>
    <w:rsid w:val="00BF3276"/>
    <w:rsid w:val="00BF36FA"/>
    <w:rsid w:val="00BF4E75"/>
    <w:rsid w:val="00BF58C2"/>
    <w:rsid w:val="00BF648C"/>
    <w:rsid w:val="00BF6AD0"/>
    <w:rsid w:val="00BF73CF"/>
    <w:rsid w:val="00C00C15"/>
    <w:rsid w:val="00C01E1C"/>
    <w:rsid w:val="00C01FAE"/>
    <w:rsid w:val="00C028E8"/>
    <w:rsid w:val="00C02954"/>
    <w:rsid w:val="00C05196"/>
    <w:rsid w:val="00C063BC"/>
    <w:rsid w:val="00C06853"/>
    <w:rsid w:val="00C06AE3"/>
    <w:rsid w:val="00C1103D"/>
    <w:rsid w:val="00C11206"/>
    <w:rsid w:val="00C11753"/>
    <w:rsid w:val="00C1436B"/>
    <w:rsid w:val="00C1471E"/>
    <w:rsid w:val="00C14F27"/>
    <w:rsid w:val="00C15091"/>
    <w:rsid w:val="00C15177"/>
    <w:rsid w:val="00C17CC0"/>
    <w:rsid w:val="00C218A6"/>
    <w:rsid w:val="00C21E9D"/>
    <w:rsid w:val="00C27A59"/>
    <w:rsid w:val="00C301B8"/>
    <w:rsid w:val="00C3038B"/>
    <w:rsid w:val="00C32FE2"/>
    <w:rsid w:val="00C35A99"/>
    <w:rsid w:val="00C35C1A"/>
    <w:rsid w:val="00C36286"/>
    <w:rsid w:val="00C37174"/>
    <w:rsid w:val="00C40727"/>
    <w:rsid w:val="00C408D7"/>
    <w:rsid w:val="00C40C8F"/>
    <w:rsid w:val="00C4369D"/>
    <w:rsid w:val="00C43B92"/>
    <w:rsid w:val="00C440FB"/>
    <w:rsid w:val="00C4494F"/>
    <w:rsid w:val="00C45974"/>
    <w:rsid w:val="00C4625C"/>
    <w:rsid w:val="00C467AD"/>
    <w:rsid w:val="00C500DC"/>
    <w:rsid w:val="00C506A8"/>
    <w:rsid w:val="00C50713"/>
    <w:rsid w:val="00C51B85"/>
    <w:rsid w:val="00C52CD2"/>
    <w:rsid w:val="00C54BCF"/>
    <w:rsid w:val="00C5680A"/>
    <w:rsid w:val="00C57A19"/>
    <w:rsid w:val="00C60C10"/>
    <w:rsid w:val="00C60CD3"/>
    <w:rsid w:val="00C60FFD"/>
    <w:rsid w:val="00C617B5"/>
    <w:rsid w:val="00C622A8"/>
    <w:rsid w:val="00C627F5"/>
    <w:rsid w:val="00C636A5"/>
    <w:rsid w:val="00C6453F"/>
    <w:rsid w:val="00C65628"/>
    <w:rsid w:val="00C6576E"/>
    <w:rsid w:val="00C65FCA"/>
    <w:rsid w:val="00C67BE3"/>
    <w:rsid w:val="00C70384"/>
    <w:rsid w:val="00C72C02"/>
    <w:rsid w:val="00C741C7"/>
    <w:rsid w:val="00C74647"/>
    <w:rsid w:val="00C74A14"/>
    <w:rsid w:val="00C77082"/>
    <w:rsid w:val="00C8099A"/>
    <w:rsid w:val="00C82EA7"/>
    <w:rsid w:val="00C84F22"/>
    <w:rsid w:val="00C8596D"/>
    <w:rsid w:val="00C87C6F"/>
    <w:rsid w:val="00C905EB"/>
    <w:rsid w:val="00C91E9B"/>
    <w:rsid w:val="00C92963"/>
    <w:rsid w:val="00C92CDB"/>
    <w:rsid w:val="00C939FB"/>
    <w:rsid w:val="00C93AC3"/>
    <w:rsid w:val="00C9468C"/>
    <w:rsid w:val="00C94D2E"/>
    <w:rsid w:val="00C967AD"/>
    <w:rsid w:val="00CA080A"/>
    <w:rsid w:val="00CA1616"/>
    <w:rsid w:val="00CA2BC7"/>
    <w:rsid w:val="00CA2C74"/>
    <w:rsid w:val="00CA2FB1"/>
    <w:rsid w:val="00CA4371"/>
    <w:rsid w:val="00CA4591"/>
    <w:rsid w:val="00CA64CE"/>
    <w:rsid w:val="00CA7504"/>
    <w:rsid w:val="00CB0F7E"/>
    <w:rsid w:val="00CB2220"/>
    <w:rsid w:val="00CB3486"/>
    <w:rsid w:val="00CB4167"/>
    <w:rsid w:val="00CB42CA"/>
    <w:rsid w:val="00CB4CBC"/>
    <w:rsid w:val="00CB5306"/>
    <w:rsid w:val="00CC04D4"/>
    <w:rsid w:val="00CC09FE"/>
    <w:rsid w:val="00CC536D"/>
    <w:rsid w:val="00CC542D"/>
    <w:rsid w:val="00CC7741"/>
    <w:rsid w:val="00CD068E"/>
    <w:rsid w:val="00CD0EE2"/>
    <w:rsid w:val="00CD4CAA"/>
    <w:rsid w:val="00CD516B"/>
    <w:rsid w:val="00CD523B"/>
    <w:rsid w:val="00CD688A"/>
    <w:rsid w:val="00CD7D53"/>
    <w:rsid w:val="00CE05CD"/>
    <w:rsid w:val="00CE1178"/>
    <w:rsid w:val="00CE24AE"/>
    <w:rsid w:val="00CE2F53"/>
    <w:rsid w:val="00CE35A6"/>
    <w:rsid w:val="00CE529F"/>
    <w:rsid w:val="00CE68A8"/>
    <w:rsid w:val="00CE6D0C"/>
    <w:rsid w:val="00CF1761"/>
    <w:rsid w:val="00CF17EC"/>
    <w:rsid w:val="00CF1907"/>
    <w:rsid w:val="00CF5ACC"/>
    <w:rsid w:val="00CF616D"/>
    <w:rsid w:val="00D0000A"/>
    <w:rsid w:val="00D0054C"/>
    <w:rsid w:val="00D00A01"/>
    <w:rsid w:val="00D01682"/>
    <w:rsid w:val="00D020E6"/>
    <w:rsid w:val="00D02964"/>
    <w:rsid w:val="00D03D40"/>
    <w:rsid w:val="00D03E8F"/>
    <w:rsid w:val="00D10089"/>
    <w:rsid w:val="00D10095"/>
    <w:rsid w:val="00D111DB"/>
    <w:rsid w:val="00D11D06"/>
    <w:rsid w:val="00D121FA"/>
    <w:rsid w:val="00D12AD5"/>
    <w:rsid w:val="00D13855"/>
    <w:rsid w:val="00D13C7D"/>
    <w:rsid w:val="00D148A4"/>
    <w:rsid w:val="00D163B1"/>
    <w:rsid w:val="00D22944"/>
    <w:rsid w:val="00D229DC"/>
    <w:rsid w:val="00D22CD0"/>
    <w:rsid w:val="00D23B08"/>
    <w:rsid w:val="00D245B9"/>
    <w:rsid w:val="00D26437"/>
    <w:rsid w:val="00D2654D"/>
    <w:rsid w:val="00D30660"/>
    <w:rsid w:val="00D31335"/>
    <w:rsid w:val="00D31980"/>
    <w:rsid w:val="00D31F05"/>
    <w:rsid w:val="00D34073"/>
    <w:rsid w:val="00D37143"/>
    <w:rsid w:val="00D37F4E"/>
    <w:rsid w:val="00D422D6"/>
    <w:rsid w:val="00D42DF7"/>
    <w:rsid w:val="00D43213"/>
    <w:rsid w:val="00D43481"/>
    <w:rsid w:val="00D44BEC"/>
    <w:rsid w:val="00D44C8E"/>
    <w:rsid w:val="00D453BD"/>
    <w:rsid w:val="00D45F62"/>
    <w:rsid w:val="00D46748"/>
    <w:rsid w:val="00D50A34"/>
    <w:rsid w:val="00D50B95"/>
    <w:rsid w:val="00D50E2B"/>
    <w:rsid w:val="00D518E4"/>
    <w:rsid w:val="00D52097"/>
    <w:rsid w:val="00D523B6"/>
    <w:rsid w:val="00D5249E"/>
    <w:rsid w:val="00D52C00"/>
    <w:rsid w:val="00D53EEC"/>
    <w:rsid w:val="00D5435B"/>
    <w:rsid w:val="00D55BE3"/>
    <w:rsid w:val="00D56A19"/>
    <w:rsid w:val="00D56C7A"/>
    <w:rsid w:val="00D56EE3"/>
    <w:rsid w:val="00D571D4"/>
    <w:rsid w:val="00D578F8"/>
    <w:rsid w:val="00D62BAB"/>
    <w:rsid w:val="00D650E7"/>
    <w:rsid w:val="00D66B20"/>
    <w:rsid w:val="00D67730"/>
    <w:rsid w:val="00D67D7E"/>
    <w:rsid w:val="00D71BF7"/>
    <w:rsid w:val="00D743A6"/>
    <w:rsid w:val="00D750FF"/>
    <w:rsid w:val="00D75130"/>
    <w:rsid w:val="00D7530F"/>
    <w:rsid w:val="00D76765"/>
    <w:rsid w:val="00D76D79"/>
    <w:rsid w:val="00D76E53"/>
    <w:rsid w:val="00D7753B"/>
    <w:rsid w:val="00D80ED5"/>
    <w:rsid w:val="00D81053"/>
    <w:rsid w:val="00D81C0F"/>
    <w:rsid w:val="00D84B06"/>
    <w:rsid w:val="00D853E4"/>
    <w:rsid w:val="00D85E4C"/>
    <w:rsid w:val="00D86315"/>
    <w:rsid w:val="00D9021E"/>
    <w:rsid w:val="00D9092F"/>
    <w:rsid w:val="00D90E44"/>
    <w:rsid w:val="00D92783"/>
    <w:rsid w:val="00D9355F"/>
    <w:rsid w:val="00D93D14"/>
    <w:rsid w:val="00D965B5"/>
    <w:rsid w:val="00D96BE8"/>
    <w:rsid w:val="00D975C9"/>
    <w:rsid w:val="00DA1507"/>
    <w:rsid w:val="00DA448B"/>
    <w:rsid w:val="00DA4B50"/>
    <w:rsid w:val="00DA5111"/>
    <w:rsid w:val="00DA53F1"/>
    <w:rsid w:val="00DA5D7E"/>
    <w:rsid w:val="00DB0A6D"/>
    <w:rsid w:val="00DB1E63"/>
    <w:rsid w:val="00DB2209"/>
    <w:rsid w:val="00DB3F79"/>
    <w:rsid w:val="00DB578B"/>
    <w:rsid w:val="00DB7930"/>
    <w:rsid w:val="00DC1606"/>
    <w:rsid w:val="00DC1706"/>
    <w:rsid w:val="00DC3384"/>
    <w:rsid w:val="00DC4764"/>
    <w:rsid w:val="00DC55D6"/>
    <w:rsid w:val="00DC67D9"/>
    <w:rsid w:val="00DC6DCC"/>
    <w:rsid w:val="00DC7586"/>
    <w:rsid w:val="00DD22C6"/>
    <w:rsid w:val="00DD249E"/>
    <w:rsid w:val="00DD4349"/>
    <w:rsid w:val="00DD6858"/>
    <w:rsid w:val="00DD693C"/>
    <w:rsid w:val="00DD71B7"/>
    <w:rsid w:val="00DD7222"/>
    <w:rsid w:val="00DD77BF"/>
    <w:rsid w:val="00DD7F9D"/>
    <w:rsid w:val="00DE120E"/>
    <w:rsid w:val="00DE3028"/>
    <w:rsid w:val="00DE3093"/>
    <w:rsid w:val="00DE37B4"/>
    <w:rsid w:val="00DE3834"/>
    <w:rsid w:val="00DE5AEC"/>
    <w:rsid w:val="00DE6694"/>
    <w:rsid w:val="00DE701B"/>
    <w:rsid w:val="00DE768B"/>
    <w:rsid w:val="00DF1FB3"/>
    <w:rsid w:val="00DF27D7"/>
    <w:rsid w:val="00DF332E"/>
    <w:rsid w:val="00DF3942"/>
    <w:rsid w:val="00DF4008"/>
    <w:rsid w:val="00DF4F32"/>
    <w:rsid w:val="00DF536D"/>
    <w:rsid w:val="00DF554A"/>
    <w:rsid w:val="00DF5B9E"/>
    <w:rsid w:val="00DF60B2"/>
    <w:rsid w:val="00E009D8"/>
    <w:rsid w:val="00E00F9B"/>
    <w:rsid w:val="00E01ADD"/>
    <w:rsid w:val="00E01C16"/>
    <w:rsid w:val="00E02626"/>
    <w:rsid w:val="00E04F0F"/>
    <w:rsid w:val="00E05CA0"/>
    <w:rsid w:val="00E06A3E"/>
    <w:rsid w:val="00E079B7"/>
    <w:rsid w:val="00E11775"/>
    <w:rsid w:val="00E11882"/>
    <w:rsid w:val="00E11E1A"/>
    <w:rsid w:val="00E11F82"/>
    <w:rsid w:val="00E12018"/>
    <w:rsid w:val="00E126D7"/>
    <w:rsid w:val="00E127BA"/>
    <w:rsid w:val="00E12F2E"/>
    <w:rsid w:val="00E1338E"/>
    <w:rsid w:val="00E1437B"/>
    <w:rsid w:val="00E205E0"/>
    <w:rsid w:val="00E21168"/>
    <w:rsid w:val="00E24A72"/>
    <w:rsid w:val="00E25546"/>
    <w:rsid w:val="00E25975"/>
    <w:rsid w:val="00E259C9"/>
    <w:rsid w:val="00E26221"/>
    <w:rsid w:val="00E26977"/>
    <w:rsid w:val="00E33753"/>
    <w:rsid w:val="00E33D41"/>
    <w:rsid w:val="00E33D75"/>
    <w:rsid w:val="00E33D83"/>
    <w:rsid w:val="00E33F2F"/>
    <w:rsid w:val="00E34A58"/>
    <w:rsid w:val="00E37367"/>
    <w:rsid w:val="00E40561"/>
    <w:rsid w:val="00E41AB0"/>
    <w:rsid w:val="00E433F1"/>
    <w:rsid w:val="00E44307"/>
    <w:rsid w:val="00E45E24"/>
    <w:rsid w:val="00E5100D"/>
    <w:rsid w:val="00E52B5F"/>
    <w:rsid w:val="00E534B6"/>
    <w:rsid w:val="00E55EF8"/>
    <w:rsid w:val="00E57139"/>
    <w:rsid w:val="00E576BC"/>
    <w:rsid w:val="00E6226D"/>
    <w:rsid w:val="00E6242B"/>
    <w:rsid w:val="00E646F0"/>
    <w:rsid w:val="00E67990"/>
    <w:rsid w:val="00E7036F"/>
    <w:rsid w:val="00E71033"/>
    <w:rsid w:val="00E71089"/>
    <w:rsid w:val="00E71D1D"/>
    <w:rsid w:val="00E72DA0"/>
    <w:rsid w:val="00E72E45"/>
    <w:rsid w:val="00E73840"/>
    <w:rsid w:val="00E74087"/>
    <w:rsid w:val="00E7491B"/>
    <w:rsid w:val="00E7713A"/>
    <w:rsid w:val="00E77323"/>
    <w:rsid w:val="00E804C7"/>
    <w:rsid w:val="00E82BA5"/>
    <w:rsid w:val="00E830BB"/>
    <w:rsid w:val="00E83712"/>
    <w:rsid w:val="00E85D1B"/>
    <w:rsid w:val="00E86296"/>
    <w:rsid w:val="00E86B37"/>
    <w:rsid w:val="00E86CB1"/>
    <w:rsid w:val="00E9074E"/>
    <w:rsid w:val="00E91124"/>
    <w:rsid w:val="00E91289"/>
    <w:rsid w:val="00E91A22"/>
    <w:rsid w:val="00E91D7F"/>
    <w:rsid w:val="00E93818"/>
    <w:rsid w:val="00E95321"/>
    <w:rsid w:val="00E9562B"/>
    <w:rsid w:val="00E9572B"/>
    <w:rsid w:val="00E95AF5"/>
    <w:rsid w:val="00E960C9"/>
    <w:rsid w:val="00E96523"/>
    <w:rsid w:val="00E97574"/>
    <w:rsid w:val="00E97AD0"/>
    <w:rsid w:val="00E97AEC"/>
    <w:rsid w:val="00EA072B"/>
    <w:rsid w:val="00EA107D"/>
    <w:rsid w:val="00EA16FA"/>
    <w:rsid w:val="00EA1756"/>
    <w:rsid w:val="00EA3262"/>
    <w:rsid w:val="00EA6384"/>
    <w:rsid w:val="00EA6CB1"/>
    <w:rsid w:val="00EB102A"/>
    <w:rsid w:val="00EB5334"/>
    <w:rsid w:val="00EB5977"/>
    <w:rsid w:val="00EB5F37"/>
    <w:rsid w:val="00EB6C71"/>
    <w:rsid w:val="00EB7DCA"/>
    <w:rsid w:val="00EC0015"/>
    <w:rsid w:val="00EC2297"/>
    <w:rsid w:val="00EC2992"/>
    <w:rsid w:val="00EC37A8"/>
    <w:rsid w:val="00EC485A"/>
    <w:rsid w:val="00EC66D9"/>
    <w:rsid w:val="00EC6FC7"/>
    <w:rsid w:val="00ED084D"/>
    <w:rsid w:val="00ED0B3A"/>
    <w:rsid w:val="00ED1491"/>
    <w:rsid w:val="00ED24C6"/>
    <w:rsid w:val="00ED2D2D"/>
    <w:rsid w:val="00ED4892"/>
    <w:rsid w:val="00ED5970"/>
    <w:rsid w:val="00ED5EE0"/>
    <w:rsid w:val="00EE10A8"/>
    <w:rsid w:val="00EE1E32"/>
    <w:rsid w:val="00EE33A5"/>
    <w:rsid w:val="00EE4216"/>
    <w:rsid w:val="00EE551C"/>
    <w:rsid w:val="00EE564C"/>
    <w:rsid w:val="00EE56B0"/>
    <w:rsid w:val="00EE5CCD"/>
    <w:rsid w:val="00EE6A78"/>
    <w:rsid w:val="00EE790E"/>
    <w:rsid w:val="00EF2330"/>
    <w:rsid w:val="00EF46AD"/>
    <w:rsid w:val="00EF47E2"/>
    <w:rsid w:val="00F0043A"/>
    <w:rsid w:val="00F00B28"/>
    <w:rsid w:val="00F01C5F"/>
    <w:rsid w:val="00F01EC2"/>
    <w:rsid w:val="00F02995"/>
    <w:rsid w:val="00F061A7"/>
    <w:rsid w:val="00F066AF"/>
    <w:rsid w:val="00F06B12"/>
    <w:rsid w:val="00F07F62"/>
    <w:rsid w:val="00F1494B"/>
    <w:rsid w:val="00F14E21"/>
    <w:rsid w:val="00F1504F"/>
    <w:rsid w:val="00F15362"/>
    <w:rsid w:val="00F153F4"/>
    <w:rsid w:val="00F1641A"/>
    <w:rsid w:val="00F1743F"/>
    <w:rsid w:val="00F17A3F"/>
    <w:rsid w:val="00F208C1"/>
    <w:rsid w:val="00F22F6A"/>
    <w:rsid w:val="00F240EB"/>
    <w:rsid w:val="00F2452E"/>
    <w:rsid w:val="00F314C2"/>
    <w:rsid w:val="00F32226"/>
    <w:rsid w:val="00F333F9"/>
    <w:rsid w:val="00F3562B"/>
    <w:rsid w:val="00F36525"/>
    <w:rsid w:val="00F37FDA"/>
    <w:rsid w:val="00F40540"/>
    <w:rsid w:val="00F41478"/>
    <w:rsid w:val="00F4258A"/>
    <w:rsid w:val="00F46649"/>
    <w:rsid w:val="00F47CF6"/>
    <w:rsid w:val="00F52089"/>
    <w:rsid w:val="00F56806"/>
    <w:rsid w:val="00F63591"/>
    <w:rsid w:val="00F6435B"/>
    <w:rsid w:val="00F66C7B"/>
    <w:rsid w:val="00F67D55"/>
    <w:rsid w:val="00F7138C"/>
    <w:rsid w:val="00F73CD9"/>
    <w:rsid w:val="00F73E5B"/>
    <w:rsid w:val="00F75675"/>
    <w:rsid w:val="00F758BD"/>
    <w:rsid w:val="00F759D8"/>
    <w:rsid w:val="00F768CE"/>
    <w:rsid w:val="00F776F7"/>
    <w:rsid w:val="00F808E8"/>
    <w:rsid w:val="00F809CA"/>
    <w:rsid w:val="00F8189A"/>
    <w:rsid w:val="00F81FF7"/>
    <w:rsid w:val="00F82448"/>
    <w:rsid w:val="00F8247C"/>
    <w:rsid w:val="00F857E8"/>
    <w:rsid w:val="00F90902"/>
    <w:rsid w:val="00F90DFA"/>
    <w:rsid w:val="00F92A7B"/>
    <w:rsid w:val="00F937AD"/>
    <w:rsid w:val="00F93E7A"/>
    <w:rsid w:val="00F953CF"/>
    <w:rsid w:val="00FA080D"/>
    <w:rsid w:val="00FA160F"/>
    <w:rsid w:val="00FA2A8B"/>
    <w:rsid w:val="00FA3C97"/>
    <w:rsid w:val="00FA41FC"/>
    <w:rsid w:val="00FA7BCF"/>
    <w:rsid w:val="00FA7BF3"/>
    <w:rsid w:val="00FA7E6C"/>
    <w:rsid w:val="00FB09D1"/>
    <w:rsid w:val="00FB09FC"/>
    <w:rsid w:val="00FB0B55"/>
    <w:rsid w:val="00FB1995"/>
    <w:rsid w:val="00FB1F2C"/>
    <w:rsid w:val="00FB203F"/>
    <w:rsid w:val="00FB21B7"/>
    <w:rsid w:val="00FB4C6A"/>
    <w:rsid w:val="00FB5875"/>
    <w:rsid w:val="00FB6AA8"/>
    <w:rsid w:val="00FB7AF1"/>
    <w:rsid w:val="00FB7EAE"/>
    <w:rsid w:val="00FC1425"/>
    <w:rsid w:val="00FC26B4"/>
    <w:rsid w:val="00FC36F6"/>
    <w:rsid w:val="00FC3AD7"/>
    <w:rsid w:val="00FC50A5"/>
    <w:rsid w:val="00FC52A7"/>
    <w:rsid w:val="00FC615E"/>
    <w:rsid w:val="00FC64E0"/>
    <w:rsid w:val="00FC69BF"/>
    <w:rsid w:val="00FD0162"/>
    <w:rsid w:val="00FD1A8D"/>
    <w:rsid w:val="00FD3140"/>
    <w:rsid w:val="00FD3AA4"/>
    <w:rsid w:val="00FD4BBA"/>
    <w:rsid w:val="00FD4FE4"/>
    <w:rsid w:val="00FD7189"/>
    <w:rsid w:val="00FD72D3"/>
    <w:rsid w:val="00FD73D8"/>
    <w:rsid w:val="00FD7840"/>
    <w:rsid w:val="00FD7D73"/>
    <w:rsid w:val="00FE0456"/>
    <w:rsid w:val="00FE0672"/>
    <w:rsid w:val="00FE3208"/>
    <w:rsid w:val="00FE3D5A"/>
    <w:rsid w:val="00FE438F"/>
    <w:rsid w:val="00FE75B4"/>
    <w:rsid w:val="00FF3EDE"/>
    <w:rsid w:val="00FF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04A7"/>
  <w15:docId w15:val="{1EC42AFD-82DB-BB4A-8055-32189F5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E1A"/>
  </w:style>
  <w:style w:type="paragraph" w:styleId="Heading1">
    <w:name w:val="heading 1"/>
    <w:basedOn w:val="Normal"/>
    <w:link w:val="Heading1Char"/>
    <w:uiPriority w:val="9"/>
    <w:qFormat/>
    <w:rsid w:val="00200F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C64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57D"/>
    <w:pPr>
      <w:ind w:left="720"/>
      <w:contextualSpacing/>
    </w:pPr>
  </w:style>
  <w:style w:type="paragraph" w:styleId="NormalWeb">
    <w:name w:val="Normal (Web)"/>
    <w:basedOn w:val="Normal"/>
    <w:uiPriority w:val="99"/>
    <w:unhideWhenUsed/>
    <w:rsid w:val="00490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6CD"/>
  </w:style>
  <w:style w:type="character" w:styleId="Strong">
    <w:name w:val="Strong"/>
    <w:basedOn w:val="DefaultParagraphFont"/>
    <w:uiPriority w:val="22"/>
    <w:qFormat/>
    <w:rsid w:val="004906CD"/>
    <w:rPr>
      <w:b/>
      <w:bCs/>
    </w:rPr>
  </w:style>
  <w:style w:type="paragraph" w:styleId="BalloonText">
    <w:name w:val="Balloon Text"/>
    <w:basedOn w:val="Normal"/>
    <w:link w:val="BalloonTextChar"/>
    <w:uiPriority w:val="99"/>
    <w:semiHidden/>
    <w:unhideWhenUsed/>
    <w:rsid w:val="00D5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BF"/>
    <w:rPr>
      <w:rFonts w:ascii="Segoe UI" w:hAnsi="Segoe UI" w:cs="Segoe UI"/>
      <w:sz w:val="18"/>
      <w:szCs w:val="18"/>
    </w:rPr>
  </w:style>
  <w:style w:type="character" w:styleId="CommentReference">
    <w:name w:val="annotation reference"/>
    <w:basedOn w:val="DefaultParagraphFont"/>
    <w:uiPriority w:val="99"/>
    <w:semiHidden/>
    <w:unhideWhenUsed/>
    <w:rsid w:val="00E658DB"/>
    <w:rPr>
      <w:sz w:val="16"/>
      <w:szCs w:val="16"/>
    </w:rPr>
  </w:style>
  <w:style w:type="paragraph" w:styleId="CommentText">
    <w:name w:val="annotation text"/>
    <w:basedOn w:val="Normal"/>
    <w:link w:val="CommentTextChar"/>
    <w:uiPriority w:val="99"/>
    <w:unhideWhenUsed/>
    <w:rsid w:val="00E658DB"/>
    <w:pPr>
      <w:spacing w:line="240" w:lineRule="auto"/>
    </w:pPr>
    <w:rPr>
      <w:sz w:val="20"/>
      <w:szCs w:val="20"/>
    </w:rPr>
  </w:style>
  <w:style w:type="character" w:customStyle="1" w:styleId="CommentTextChar">
    <w:name w:val="Comment Text Char"/>
    <w:basedOn w:val="DefaultParagraphFont"/>
    <w:link w:val="CommentText"/>
    <w:uiPriority w:val="99"/>
    <w:rsid w:val="00E658DB"/>
    <w:rPr>
      <w:sz w:val="20"/>
      <w:szCs w:val="20"/>
    </w:rPr>
  </w:style>
  <w:style w:type="paragraph" w:styleId="CommentSubject">
    <w:name w:val="annotation subject"/>
    <w:basedOn w:val="CommentText"/>
    <w:next w:val="CommentText"/>
    <w:link w:val="CommentSubjectChar"/>
    <w:uiPriority w:val="99"/>
    <w:semiHidden/>
    <w:unhideWhenUsed/>
    <w:rsid w:val="00E658DB"/>
    <w:rPr>
      <w:b/>
      <w:bCs/>
    </w:rPr>
  </w:style>
  <w:style w:type="character" w:customStyle="1" w:styleId="CommentSubjectChar">
    <w:name w:val="Comment Subject Char"/>
    <w:basedOn w:val="CommentTextChar"/>
    <w:link w:val="CommentSubject"/>
    <w:uiPriority w:val="99"/>
    <w:semiHidden/>
    <w:rsid w:val="00E658DB"/>
    <w:rPr>
      <w:b/>
      <w:bCs/>
      <w:sz w:val="20"/>
      <w:szCs w:val="20"/>
    </w:rPr>
  </w:style>
  <w:style w:type="paragraph" w:styleId="Header">
    <w:name w:val="header"/>
    <w:basedOn w:val="Normal"/>
    <w:link w:val="HeaderChar"/>
    <w:uiPriority w:val="99"/>
    <w:unhideWhenUsed/>
    <w:rsid w:val="00AE4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49C"/>
  </w:style>
  <w:style w:type="paragraph" w:styleId="Footer">
    <w:name w:val="footer"/>
    <w:basedOn w:val="Normal"/>
    <w:link w:val="FooterChar"/>
    <w:uiPriority w:val="99"/>
    <w:unhideWhenUsed/>
    <w:rsid w:val="00AE4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49C"/>
  </w:style>
  <w:style w:type="character" w:styleId="Hyperlink">
    <w:name w:val="Hyperlink"/>
    <w:basedOn w:val="DefaultParagraphFont"/>
    <w:uiPriority w:val="99"/>
    <w:unhideWhenUsed/>
    <w:rsid w:val="00A7471E"/>
    <w:rPr>
      <w:color w:val="0000FF" w:themeColor="hyperlink"/>
      <w:u w:val="single"/>
    </w:rPr>
  </w:style>
  <w:style w:type="character" w:customStyle="1" w:styleId="UnresolvedMention1">
    <w:name w:val="Unresolved Mention1"/>
    <w:basedOn w:val="DefaultParagraphFont"/>
    <w:uiPriority w:val="99"/>
    <w:semiHidden/>
    <w:unhideWhenUsed/>
    <w:rsid w:val="00A7471E"/>
    <w:rPr>
      <w:color w:val="605E5C"/>
      <w:shd w:val="clear" w:color="auto" w:fill="E1DFDD"/>
    </w:rPr>
  </w:style>
  <w:style w:type="character" w:styleId="UnresolvedMention">
    <w:name w:val="Unresolved Mention"/>
    <w:basedOn w:val="DefaultParagraphFont"/>
    <w:uiPriority w:val="99"/>
    <w:semiHidden/>
    <w:unhideWhenUsed/>
    <w:rsid w:val="005F324C"/>
    <w:rPr>
      <w:color w:val="605E5C"/>
      <w:shd w:val="clear" w:color="auto" w:fill="E1DFDD"/>
    </w:rPr>
  </w:style>
  <w:style w:type="character" w:styleId="FollowedHyperlink">
    <w:name w:val="FollowedHyperlink"/>
    <w:basedOn w:val="DefaultParagraphFont"/>
    <w:uiPriority w:val="99"/>
    <w:semiHidden/>
    <w:unhideWhenUsed/>
    <w:rsid w:val="00FF54F6"/>
    <w:rPr>
      <w:color w:val="800080" w:themeColor="followedHyperlink"/>
      <w:u w:val="single"/>
    </w:rPr>
  </w:style>
  <w:style w:type="character" w:customStyle="1" w:styleId="Heading1Char">
    <w:name w:val="Heading 1 Char"/>
    <w:basedOn w:val="DefaultParagraphFont"/>
    <w:link w:val="Heading1"/>
    <w:uiPriority w:val="9"/>
    <w:rsid w:val="00200FA4"/>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47107F"/>
    <w:rPr>
      <w:rFonts w:ascii="OpenSans-Regular" w:hAnsi="OpenSans-Regular" w:hint="default"/>
      <w:b w:val="0"/>
      <w:bCs w:val="0"/>
      <w:i w:val="0"/>
      <w:iCs w:val="0"/>
      <w:color w:val="474747"/>
    </w:rPr>
  </w:style>
  <w:style w:type="paragraph" w:styleId="Caption">
    <w:name w:val="caption"/>
    <w:basedOn w:val="Normal"/>
    <w:next w:val="Normal"/>
    <w:uiPriority w:val="35"/>
    <w:unhideWhenUsed/>
    <w:qFormat/>
    <w:rsid w:val="00994279"/>
    <w:pPr>
      <w:spacing w:line="240" w:lineRule="auto"/>
    </w:pPr>
    <w:rPr>
      <w:iCs/>
      <w:color w:val="595959" w:themeColor="text1" w:themeTint="A6"/>
      <w:szCs w:val="18"/>
    </w:rPr>
  </w:style>
  <w:style w:type="paragraph" w:styleId="Revision">
    <w:name w:val="Revision"/>
    <w:hidden/>
    <w:uiPriority w:val="99"/>
    <w:semiHidden/>
    <w:rsid w:val="004C32DB"/>
    <w:pPr>
      <w:spacing w:after="0" w:line="240" w:lineRule="auto"/>
    </w:pPr>
  </w:style>
  <w:style w:type="numbering" w:customStyle="1" w:styleId="Style1">
    <w:name w:val="Style1"/>
    <w:uiPriority w:val="99"/>
    <w:rsid w:val="00FD1A8D"/>
    <w:pPr>
      <w:numPr>
        <w:numId w:val="45"/>
      </w:numPr>
    </w:pPr>
  </w:style>
  <w:style w:type="character" w:customStyle="1" w:styleId="Heading3Char">
    <w:name w:val="Heading 3 Char"/>
    <w:basedOn w:val="DefaultParagraphFont"/>
    <w:link w:val="Heading3"/>
    <w:uiPriority w:val="9"/>
    <w:semiHidden/>
    <w:rsid w:val="00FC64E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2560">
      <w:bodyDiv w:val="1"/>
      <w:marLeft w:val="0"/>
      <w:marRight w:val="0"/>
      <w:marTop w:val="0"/>
      <w:marBottom w:val="0"/>
      <w:divBdr>
        <w:top w:val="none" w:sz="0" w:space="0" w:color="auto"/>
        <w:left w:val="none" w:sz="0" w:space="0" w:color="auto"/>
        <w:bottom w:val="none" w:sz="0" w:space="0" w:color="auto"/>
        <w:right w:val="none" w:sz="0" w:space="0" w:color="auto"/>
      </w:divBdr>
    </w:div>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505288204">
      <w:bodyDiv w:val="1"/>
      <w:marLeft w:val="0"/>
      <w:marRight w:val="0"/>
      <w:marTop w:val="0"/>
      <w:marBottom w:val="0"/>
      <w:divBdr>
        <w:top w:val="none" w:sz="0" w:space="0" w:color="auto"/>
        <w:left w:val="none" w:sz="0" w:space="0" w:color="auto"/>
        <w:bottom w:val="none" w:sz="0" w:space="0" w:color="auto"/>
        <w:right w:val="none" w:sz="0" w:space="0" w:color="auto"/>
      </w:divBdr>
    </w:div>
    <w:div w:id="577404554">
      <w:bodyDiv w:val="1"/>
      <w:marLeft w:val="0"/>
      <w:marRight w:val="0"/>
      <w:marTop w:val="0"/>
      <w:marBottom w:val="0"/>
      <w:divBdr>
        <w:top w:val="none" w:sz="0" w:space="0" w:color="auto"/>
        <w:left w:val="none" w:sz="0" w:space="0" w:color="auto"/>
        <w:bottom w:val="none" w:sz="0" w:space="0" w:color="auto"/>
        <w:right w:val="none" w:sz="0" w:space="0" w:color="auto"/>
      </w:divBdr>
    </w:div>
    <w:div w:id="672730696">
      <w:bodyDiv w:val="1"/>
      <w:marLeft w:val="0"/>
      <w:marRight w:val="0"/>
      <w:marTop w:val="0"/>
      <w:marBottom w:val="0"/>
      <w:divBdr>
        <w:top w:val="none" w:sz="0" w:space="0" w:color="auto"/>
        <w:left w:val="none" w:sz="0" w:space="0" w:color="auto"/>
        <w:bottom w:val="none" w:sz="0" w:space="0" w:color="auto"/>
        <w:right w:val="none" w:sz="0" w:space="0" w:color="auto"/>
      </w:divBdr>
    </w:div>
    <w:div w:id="1013072678">
      <w:bodyDiv w:val="1"/>
      <w:marLeft w:val="0"/>
      <w:marRight w:val="0"/>
      <w:marTop w:val="0"/>
      <w:marBottom w:val="0"/>
      <w:divBdr>
        <w:top w:val="none" w:sz="0" w:space="0" w:color="auto"/>
        <w:left w:val="none" w:sz="0" w:space="0" w:color="auto"/>
        <w:bottom w:val="none" w:sz="0" w:space="0" w:color="auto"/>
        <w:right w:val="none" w:sz="0" w:space="0" w:color="auto"/>
      </w:divBdr>
    </w:div>
    <w:div w:id="1075709822">
      <w:bodyDiv w:val="1"/>
      <w:marLeft w:val="0"/>
      <w:marRight w:val="0"/>
      <w:marTop w:val="0"/>
      <w:marBottom w:val="0"/>
      <w:divBdr>
        <w:top w:val="none" w:sz="0" w:space="0" w:color="auto"/>
        <w:left w:val="none" w:sz="0" w:space="0" w:color="auto"/>
        <w:bottom w:val="none" w:sz="0" w:space="0" w:color="auto"/>
        <w:right w:val="none" w:sz="0" w:space="0" w:color="auto"/>
      </w:divBdr>
    </w:div>
    <w:div w:id="1129083452">
      <w:bodyDiv w:val="1"/>
      <w:marLeft w:val="0"/>
      <w:marRight w:val="0"/>
      <w:marTop w:val="0"/>
      <w:marBottom w:val="0"/>
      <w:divBdr>
        <w:top w:val="none" w:sz="0" w:space="0" w:color="auto"/>
        <w:left w:val="none" w:sz="0" w:space="0" w:color="auto"/>
        <w:bottom w:val="none" w:sz="0" w:space="0" w:color="auto"/>
        <w:right w:val="none" w:sz="0" w:space="0" w:color="auto"/>
      </w:divBdr>
    </w:div>
    <w:div w:id="1176842416">
      <w:bodyDiv w:val="1"/>
      <w:marLeft w:val="0"/>
      <w:marRight w:val="0"/>
      <w:marTop w:val="0"/>
      <w:marBottom w:val="0"/>
      <w:divBdr>
        <w:top w:val="none" w:sz="0" w:space="0" w:color="auto"/>
        <w:left w:val="none" w:sz="0" w:space="0" w:color="auto"/>
        <w:bottom w:val="none" w:sz="0" w:space="0" w:color="auto"/>
        <w:right w:val="none" w:sz="0" w:space="0" w:color="auto"/>
      </w:divBdr>
    </w:div>
    <w:div w:id="1397510095">
      <w:bodyDiv w:val="1"/>
      <w:marLeft w:val="0"/>
      <w:marRight w:val="0"/>
      <w:marTop w:val="0"/>
      <w:marBottom w:val="0"/>
      <w:divBdr>
        <w:top w:val="none" w:sz="0" w:space="0" w:color="auto"/>
        <w:left w:val="none" w:sz="0" w:space="0" w:color="auto"/>
        <w:bottom w:val="none" w:sz="0" w:space="0" w:color="auto"/>
        <w:right w:val="none" w:sz="0" w:space="0" w:color="auto"/>
      </w:divBdr>
    </w:div>
    <w:div w:id="1425956258">
      <w:bodyDiv w:val="1"/>
      <w:marLeft w:val="0"/>
      <w:marRight w:val="0"/>
      <w:marTop w:val="0"/>
      <w:marBottom w:val="0"/>
      <w:divBdr>
        <w:top w:val="none" w:sz="0" w:space="0" w:color="auto"/>
        <w:left w:val="none" w:sz="0" w:space="0" w:color="auto"/>
        <w:bottom w:val="none" w:sz="0" w:space="0" w:color="auto"/>
        <w:right w:val="none" w:sz="0" w:space="0" w:color="auto"/>
      </w:divBdr>
    </w:div>
    <w:div w:id="1426264884">
      <w:bodyDiv w:val="1"/>
      <w:marLeft w:val="0"/>
      <w:marRight w:val="0"/>
      <w:marTop w:val="0"/>
      <w:marBottom w:val="0"/>
      <w:divBdr>
        <w:top w:val="none" w:sz="0" w:space="0" w:color="auto"/>
        <w:left w:val="none" w:sz="0" w:space="0" w:color="auto"/>
        <w:bottom w:val="none" w:sz="0" w:space="0" w:color="auto"/>
        <w:right w:val="none" w:sz="0" w:space="0" w:color="auto"/>
      </w:divBdr>
    </w:div>
    <w:div w:id="1644043565">
      <w:bodyDiv w:val="1"/>
      <w:marLeft w:val="0"/>
      <w:marRight w:val="0"/>
      <w:marTop w:val="0"/>
      <w:marBottom w:val="0"/>
      <w:divBdr>
        <w:top w:val="none" w:sz="0" w:space="0" w:color="auto"/>
        <w:left w:val="none" w:sz="0" w:space="0" w:color="auto"/>
        <w:bottom w:val="none" w:sz="0" w:space="0" w:color="auto"/>
        <w:right w:val="none" w:sz="0" w:space="0" w:color="auto"/>
      </w:divBdr>
    </w:div>
    <w:div w:id="1687829760">
      <w:bodyDiv w:val="1"/>
      <w:marLeft w:val="0"/>
      <w:marRight w:val="0"/>
      <w:marTop w:val="0"/>
      <w:marBottom w:val="0"/>
      <w:divBdr>
        <w:top w:val="none" w:sz="0" w:space="0" w:color="auto"/>
        <w:left w:val="none" w:sz="0" w:space="0" w:color="auto"/>
        <w:bottom w:val="none" w:sz="0" w:space="0" w:color="auto"/>
        <w:right w:val="none" w:sz="0" w:space="0" w:color="auto"/>
      </w:divBdr>
    </w:div>
    <w:div w:id="1698508216">
      <w:bodyDiv w:val="1"/>
      <w:marLeft w:val="0"/>
      <w:marRight w:val="0"/>
      <w:marTop w:val="0"/>
      <w:marBottom w:val="0"/>
      <w:divBdr>
        <w:top w:val="none" w:sz="0" w:space="0" w:color="auto"/>
        <w:left w:val="none" w:sz="0" w:space="0" w:color="auto"/>
        <w:bottom w:val="none" w:sz="0" w:space="0" w:color="auto"/>
        <w:right w:val="none" w:sz="0" w:space="0" w:color="auto"/>
      </w:divBdr>
    </w:div>
    <w:div w:id="1713263744">
      <w:bodyDiv w:val="1"/>
      <w:marLeft w:val="0"/>
      <w:marRight w:val="0"/>
      <w:marTop w:val="0"/>
      <w:marBottom w:val="0"/>
      <w:divBdr>
        <w:top w:val="none" w:sz="0" w:space="0" w:color="auto"/>
        <w:left w:val="none" w:sz="0" w:space="0" w:color="auto"/>
        <w:bottom w:val="none" w:sz="0" w:space="0" w:color="auto"/>
        <w:right w:val="none" w:sz="0" w:space="0" w:color="auto"/>
      </w:divBdr>
    </w:div>
    <w:div w:id="1720476284">
      <w:bodyDiv w:val="1"/>
      <w:marLeft w:val="0"/>
      <w:marRight w:val="0"/>
      <w:marTop w:val="0"/>
      <w:marBottom w:val="0"/>
      <w:divBdr>
        <w:top w:val="none" w:sz="0" w:space="0" w:color="auto"/>
        <w:left w:val="none" w:sz="0" w:space="0" w:color="auto"/>
        <w:bottom w:val="none" w:sz="0" w:space="0" w:color="auto"/>
        <w:right w:val="none" w:sz="0" w:space="0" w:color="auto"/>
      </w:divBdr>
    </w:div>
    <w:div w:id="1815100730">
      <w:bodyDiv w:val="1"/>
      <w:marLeft w:val="0"/>
      <w:marRight w:val="0"/>
      <w:marTop w:val="0"/>
      <w:marBottom w:val="0"/>
      <w:divBdr>
        <w:top w:val="none" w:sz="0" w:space="0" w:color="auto"/>
        <w:left w:val="none" w:sz="0" w:space="0" w:color="auto"/>
        <w:bottom w:val="none" w:sz="0" w:space="0" w:color="auto"/>
        <w:right w:val="none" w:sz="0" w:space="0" w:color="auto"/>
      </w:divBdr>
    </w:div>
    <w:div w:id="1899127183">
      <w:bodyDiv w:val="1"/>
      <w:marLeft w:val="0"/>
      <w:marRight w:val="0"/>
      <w:marTop w:val="0"/>
      <w:marBottom w:val="0"/>
      <w:divBdr>
        <w:top w:val="none" w:sz="0" w:space="0" w:color="auto"/>
        <w:left w:val="none" w:sz="0" w:space="0" w:color="auto"/>
        <w:bottom w:val="none" w:sz="0" w:space="0" w:color="auto"/>
        <w:right w:val="none" w:sz="0" w:space="0" w:color="auto"/>
      </w:divBdr>
    </w:div>
    <w:div w:id="1970160994">
      <w:bodyDiv w:val="1"/>
      <w:marLeft w:val="0"/>
      <w:marRight w:val="0"/>
      <w:marTop w:val="0"/>
      <w:marBottom w:val="0"/>
      <w:divBdr>
        <w:top w:val="none" w:sz="0" w:space="0" w:color="auto"/>
        <w:left w:val="none" w:sz="0" w:space="0" w:color="auto"/>
        <w:bottom w:val="none" w:sz="0" w:space="0" w:color="auto"/>
        <w:right w:val="none" w:sz="0" w:space="0" w:color="auto"/>
      </w:divBdr>
    </w:div>
    <w:div w:id="2088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chellgold.com/projects/fondaway-canyon/"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getchellgold.com/" TargetMode="External"/><Relationship Id="rId2" Type="http://schemas.openxmlformats.org/officeDocument/2006/relationships/numbering" Target="numbering.xml"/><Relationship Id="rId16" Type="http://schemas.openxmlformats.org/officeDocument/2006/relationships/hyperlink" Target="mailto:info@getchellgold.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getchellgold.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dac.ca/convention/attend/registration"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10C3-4C08-4976-B0C4-E64EE4CA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sieb</dc:creator>
  <cp:lastModifiedBy>justin meiklem</cp:lastModifiedBy>
  <cp:revision>2</cp:revision>
  <cp:lastPrinted>2022-06-14T18:46:00Z</cp:lastPrinted>
  <dcterms:created xsi:type="dcterms:W3CDTF">2023-03-01T04:25:00Z</dcterms:created>
  <dcterms:modified xsi:type="dcterms:W3CDTF">2023-03-01T04:25:00Z</dcterms:modified>
</cp:coreProperties>
</file>