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B3A04" w14:textId="77777777" w:rsidR="009A0347" w:rsidRDefault="00D264A8" w:rsidP="00E31A3D">
      <w:pPr>
        <w:spacing w:before="90"/>
        <w:ind w:left="202" w:right="202"/>
        <w:jc w:val="center"/>
        <w:rPr>
          <w:b/>
          <w:sz w:val="24"/>
          <w:u w:val="thick"/>
        </w:rPr>
      </w:pPr>
    </w:p>
    <w:p w14:paraId="558D8B36" w14:textId="77777777" w:rsidR="009A0347" w:rsidRDefault="00D264A8" w:rsidP="00E31A3D">
      <w:pPr>
        <w:spacing w:before="90"/>
        <w:ind w:left="202" w:right="202"/>
        <w:jc w:val="center"/>
        <w:rPr>
          <w:b/>
          <w:sz w:val="24"/>
          <w:u w:val="thick"/>
        </w:rPr>
      </w:pPr>
    </w:p>
    <w:p w14:paraId="322275B4" w14:textId="77777777" w:rsidR="009A0347" w:rsidRDefault="00D264A8" w:rsidP="00E31A3D">
      <w:pPr>
        <w:spacing w:before="90"/>
        <w:ind w:left="202" w:right="202"/>
        <w:jc w:val="center"/>
        <w:rPr>
          <w:b/>
          <w:sz w:val="24"/>
          <w:u w:val="thick"/>
        </w:rPr>
      </w:pPr>
    </w:p>
    <w:p w14:paraId="6F0A411F" w14:textId="77777777" w:rsidR="009A0347" w:rsidRDefault="00D264A8" w:rsidP="00E31A3D">
      <w:pPr>
        <w:spacing w:before="90"/>
        <w:ind w:left="202" w:right="202"/>
        <w:jc w:val="center"/>
        <w:rPr>
          <w:b/>
          <w:sz w:val="24"/>
          <w:u w:val="thick"/>
        </w:rPr>
      </w:pPr>
    </w:p>
    <w:p w14:paraId="4C01C427" w14:textId="357BF2EA" w:rsidR="0067509B" w:rsidRDefault="00C1238A" w:rsidP="00D1026D">
      <w:pPr>
        <w:spacing w:before="90"/>
        <w:ind w:left="202" w:right="202"/>
        <w:jc w:val="center"/>
        <w:rPr>
          <w:b/>
          <w:sz w:val="24"/>
          <w:u w:val="thick"/>
        </w:rPr>
      </w:pPr>
      <w:r>
        <w:rPr>
          <w:b/>
          <w:sz w:val="24"/>
          <w:u w:val="thick"/>
        </w:rPr>
        <w:t xml:space="preserve">GREENSTAR BIOSCIENCES </w:t>
      </w:r>
      <w:r w:rsidR="00D1026D">
        <w:rPr>
          <w:b/>
          <w:sz w:val="24"/>
          <w:u w:val="thick"/>
        </w:rPr>
        <w:t>PROVIDES CORPORATE UPDATE O</w:t>
      </w:r>
      <w:r w:rsidR="00A2779D">
        <w:rPr>
          <w:b/>
          <w:sz w:val="24"/>
          <w:u w:val="thick"/>
        </w:rPr>
        <w:t>N</w:t>
      </w:r>
      <w:r w:rsidR="00D1026D">
        <w:rPr>
          <w:b/>
          <w:sz w:val="24"/>
          <w:u w:val="thick"/>
        </w:rPr>
        <w:t xml:space="preserve"> OPERATIONS</w:t>
      </w:r>
    </w:p>
    <w:p w14:paraId="4BCE6484" w14:textId="77777777" w:rsidR="00D1026D" w:rsidRDefault="00D1026D" w:rsidP="00D1026D">
      <w:pPr>
        <w:spacing w:before="90"/>
        <w:ind w:left="202" w:right="202"/>
        <w:jc w:val="center"/>
        <w:rPr>
          <w:b/>
          <w:sz w:val="15"/>
        </w:rPr>
      </w:pPr>
    </w:p>
    <w:p w14:paraId="7ACEF4FD" w14:textId="273C71CC" w:rsidR="00333E5D" w:rsidRDefault="00AC600D" w:rsidP="00B5362E">
      <w:pPr>
        <w:pStyle w:val="BodyText"/>
        <w:spacing w:line="259" w:lineRule="auto"/>
        <w:ind w:left="101" w:right="115"/>
        <w:jc w:val="both"/>
      </w:pPr>
      <w:r>
        <w:t>September 3</w:t>
      </w:r>
      <w:r w:rsidR="00C1238A">
        <w:t xml:space="preserve">, 2019, Vancouver, B.C. – </w:t>
      </w:r>
      <w:proofErr w:type="spellStart"/>
      <w:r w:rsidR="00C1238A">
        <w:t>GreenStar</w:t>
      </w:r>
      <w:proofErr w:type="spellEnd"/>
      <w:r w:rsidR="00C1238A">
        <w:t xml:space="preserve"> Biosciences Corp. (“</w:t>
      </w:r>
      <w:proofErr w:type="spellStart"/>
      <w:r w:rsidR="00C1238A">
        <w:rPr>
          <w:b/>
        </w:rPr>
        <w:t>GreenStar</w:t>
      </w:r>
      <w:proofErr w:type="spellEnd"/>
      <w:r w:rsidR="00C1238A">
        <w:t>” or the “</w:t>
      </w:r>
      <w:r w:rsidR="00C1238A">
        <w:rPr>
          <w:b/>
        </w:rPr>
        <w:t>Company</w:t>
      </w:r>
      <w:r w:rsidR="00C1238A">
        <w:t xml:space="preserve">”) (CSE:GSTR), a growth-oriented technology and services company that provides real estate, financial, management and other support to licensed cannabis businesses in the United States, is </w:t>
      </w:r>
      <w:r w:rsidR="00333E5D">
        <w:t xml:space="preserve">pleased to </w:t>
      </w:r>
      <w:r w:rsidR="00D1026D">
        <w:t>provide the following update to inform shareholders about its current operations.</w:t>
      </w:r>
    </w:p>
    <w:p w14:paraId="215DD6CB" w14:textId="77777777" w:rsidR="00D1026D" w:rsidRDefault="00D1026D" w:rsidP="00A602AD">
      <w:pPr>
        <w:pStyle w:val="BodyText"/>
        <w:spacing w:line="259" w:lineRule="auto"/>
        <w:ind w:left="101" w:right="115"/>
        <w:jc w:val="both"/>
      </w:pPr>
    </w:p>
    <w:p w14:paraId="06746952" w14:textId="0173F796" w:rsidR="00D1026D" w:rsidRDefault="00A602AD" w:rsidP="00A602AD">
      <w:pPr>
        <w:pStyle w:val="BodyText"/>
        <w:spacing w:line="259" w:lineRule="auto"/>
        <w:ind w:left="101" w:right="115"/>
        <w:jc w:val="both"/>
      </w:pPr>
      <w:proofErr w:type="spellStart"/>
      <w:r w:rsidRPr="00A602AD">
        <w:t>GreenStar’s</w:t>
      </w:r>
      <w:proofErr w:type="spellEnd"/>
      <w:r w:rsidRPr="00A602AD">
        <w:t xml:space="preserve"> current primary business involves the leasing, branding and intellectual property of Cowlitz County Cannabis Cultivation Inc. (“</w:t>
      </w:r>
      <w:r w:rsidRPr="00A602AD">
        <w:rPr>
          <w:b/>
        </w:rPr>
        <w:t>Cowlitz</w:t>
      </w:r>
      <w:r w:rsidRPr="00A602AD">
        <w:t xml:space="preserve">”), a licensed cannabis </w:t>
      </w:r>
      <w:r>
        <w:t xml:space="preserve">producer and </w:t>
      </w:r>
      <w:r w:rsidRPr="00A602AD">
        <w:t>processor located in Washington State.</w:t>
      </w:r>
      <w:r>
        <w:t xml:space="preserve"> </w:t>
      </w:r>
      <w:r w:rsidR="00D1026D" w:rsidRPr="00A602AD">
        <w:t>Cowlitz</w:t>
      </w:r>
      <w:r w:rsidR="00D1026D">
        <w:t xml:space="preserve"> continues to </w:t>
      </w:r>
      <w:r>
        <w:t xml:space="preserve">generate </w:t>
      </w:r>
      <w:r w:rsidR="00D1026D">
        <w:t xml:space="preserve">strong </w:t>
      </w:r>
      <w:r>
        <w:t xml:space="preserve">sales results with revenues of approximately </w:t>
      </w:r>
      <w:r w:rsidR="00B62314">
        <w:t>US</w:t>
      </w:r>
      <w:r>
        <w:t>$</w:t>
      </w:r>
      <w:r w:rsidR="00B62314">
        <w:t>10.</w:t>
      </w:r>
      <w:r w:rsidR="00A2779D">
        <w:t>27</w:t>
      </w:r>
      <w:r w:rsidR="00B62314">
        <w:t xml:space="preserve"> million</w:t>
      </w:r>
      <w:r>
        <w:t xml:space="preserve"> for the </w:t>
      </w:r>
      <w:r w:rsidR="00B62314">
        <w:t xml:space="preserve">six </w:t>
      </w:r>
      <w:r>
        <w:t>month</w:t>
      </w:r>
      <w:r w:rsidR="00B62314">
        <w:t xml:space="preserve"> period</w:t>
      </w:r>
      <w:r>
        <w:t xml:space="preserve"> ended </w:t>
      </w:r>
      <w:r w:rsidR="00B62314">
        <w:t>June 30, 2019</w:t>
      </w:r>
      <w:r w:rsidR="00A2779D">
        <w:t xml:space="preserve"> as reported to the Washington State Liquor and Cannabis Board (“</w:t>
      </w:r>
      <w:r w:rsidR="00A2779D" w:rsidRPr="00A2779D">
        <w:rPr>
          <w:b/>
        </w:rPr>
        <w:t>WSLCB</w:t>
      </w:r>
      <w:r w:rsidR="00A2779D">
        <w:t>”)</w:t>
      </w:r>
      <w:r w:rsidR="00B62314">
        <w:t>.</w:t>
      </w:r>
      <w:r>
        <w:t xml:space="preserve"> </w:t>
      </w:r>
      <w:r w:rsidR="00A2779D">
        <w:t xml:space="preserve"> </w:t>
      </w:r>
      <w:r w:rsidR="00B62314">
        <w:t xml:space="preserve">Cowlitz </w:t>
      </w:r>
      <w:r w:rsidR="001C4C95">
        <w:t xml:space="preserve">previously reported to the Company </w:t>
      </w:r>
      <w:r w:rsidR="00330FDE">
        <w:t xml:space="preserve">that it </w:t>
      </w:r>
      <w:r w:rsidRPr="00A602AD">
        <w:t xml:space="preserve">exceeded </w:t>
      </w:r>
      <w:r w:rsidR="00B62314">
        <w:t>US</w:t>
      </w:r>
      <w:r w:rsidRPr="00A602AD">
        <w:t>$14</w:t>
      </w:r>
      <w:r w:rsidR="00A2779D">
        <w:t xml:space="preserve"> million</w:t>
      </w:r>
      <w:r w:rsidRPr="00A602AD">
        <w:t xml:space="preserve"> in revenue for the 2018 calendar year and is on pace to exceed that </w:t>
      </w:r>
      <w:r w:rsidR="00B62314">
        <w:t>figure</w:t>
      </w:r>
      <w:r w:rsidRPr="00A602AD">
        <w:t xml:space="preserve"> </w:t>
      </w:r>
      <w:r w:rsidR="00B62314">
        <w:t xml:space="preserve">in 2019 as the company continues to have a loyal and growing consumer base.  </w:t>
      </w:r>
      <w:r w:rsidRPr="00A602AD">
        <w:t xml:space="preserve">   </w:t>
      </w:r>
    </w:p>
    <w:p w14:paraId="0222E63D" w14:textId="77777777" w:rsidR="00B62314" w:rsidRDefault="00B62314" w:rsidP="00A602AD">
      <w:pPr>
        <w:pStyle w:val="BodyText"/>
        <w:spacing w:line="259" w:lineRule="auto"/>
        <w:ind w:left="101" w:right="115"/>
        <w:jc w:val="both"/>
      </w:pPr>
    </w:p>
    <w:p w14:paraId="0FE765DD" w14:textId="61B20E84" w:rsidR="00B62314" w:rsidRDefault="00B62314" w:rsidP="00A602AD">
      <w:pPr>
        <w:pStyle w:val="BodyText"/>
        <w:spacing w:line="259" w:lineRule="auto"/>
        <w:ind w:left="101" w:right="115"/>
        <w:jc w:val="both"/>
      </w:pPr>
      <w:r>
        <w:t xml:space="preserve">In Washington State, total cannabis sales continue to show year over year increases.  </w:t>
      </w:r>
      <w:r w:rsidR="004644C7">
        <w:t xml:space="preserve">The </w:t>
      </w:r>
      <w:r w:rsidR="00A2779D">
        <w:t xml:space="preserve">WSLCB </w:t>
      </w:r>
      <w:r w:rsidR="004644C7">
        <w:t>re</w:t>
      </w:r>
      <w:r w:rsidR="00A2779D">
        <w:t xml:space="preserve">ports cannabis sales (retailer, producer and processor sales) of </w:t>
      </w:r>
      <w:r w:rsidR="004644C7">
        <w:t xml:space="preserve">US$786 million for fiscal year 2016 increasing to US$1.37 billion for fiscal year 2017.  2018 </w:t>
      </w:r>
      <w:r w:rsidR="00A2779D">
        <w:t>sale</w:t>
      </w:r>
      <w:r w:rsidR="004644C7">
        <w:t>s of US$972 million reflect only retail</w:t>
      </w:r>
      <w:r w:rsidR="00A2779D">
        <w:t>er</w:t>
      </w:r>
      <w:r w:rsidR="004644C7">
        <w:t xml:space="preserve"> sales which increased from </w:t>
      </w:r>
      <w:r w:rsidR="004644C7" w:rsidRPr="004644C7">
        <w:t>US$851 million</w:t>
      </w:r>
      <w:r w:rsidR="004644C7">
        <w:t xml:space="preserve"> for</w:t>
      </w:r>
      <w:r w:rsidR="004644C7" w:rsidRPr="004644C7">
        <w:t xml:space="preserve"> </w:t>
      </w:r>
      <w:r w:rsidR="004644C7">
        <w:t>2017.</w:t>
      </w:r>
    </w:p>
    <w:p w14:paraId="428C63D0" w14:textId="77777777" w:rsidR="00A2779D" w:rsidRDefault="00A2779D" w:rsidP="00A602AD">
      <w:pPr>
        <w:pStyle w:val="BodyText"/>
        <w:spacing w:line="259" w:lineRule="auto"/>
        <w:ind w:left="101" w:right="115"/>
        <w:jc w:val="both"/>
      </w:pPr>
    </w:p>
    <w:p w14:paraId="592D8C6C" w14:textId="69E29D50" w:rsidR="00A2779D" w:rsidRDefault="00A2779D" w:rsidP="00A602AD">
      <w:pPr>
        <w:pStyle w:val="BodyText"/>
        <w:spacing w:line="259" w:lineRule="auto"/>
        <w:ind w:left="101" w:right="115"/>
        <w:jc w:val="both"/>
      </w:pPr>
      <w:r>
        <w:t xml:space="preserve">“We are extremely pleased with the strong sales figures of Cowlitz for the first six months of 2019.  </w:t>
      </w:r>
      <w:r w:rsidR="00411F85">
        <w:t>Their year over year sales growth</w:t>
      </w:r>
      <w:r w:rsidR="00783204">
        <w:t xml:space="preserve"> demonstrates strong operational </w:t>
      </w:r>
      <w:r w:rsidR="00F0787F">
        <w:t>ability</w:t>
      </w:r>
      <w:r w:rsidR="00783204">
        <w:t xml:space="preserve"> in the highly competitive Washington State market.  </w:t>
      </w:r>
      <w:r w:rsidR="00760DDA">
        <w:t xml:space="preserve">Furthermore, </w:t>
      </w:r>
      <w:proofErr w:type="spellStart"/>
      <w:r w:rsidR="00783204">
        <w:t>GreenStar</w:t>
      </w:r>
      <w:proofErr w:type="spellEnd"/>
      <w:r w:rsidR="00783204">
        <w:t xml:space="preserve"> </w:t>
      </w:r>
      <w:r w:rsidR="002C4EDD">
        <w:t>will continue to run a parallel path</w:t>
      </w:r>
      <w:r w:rsidR="00783204">
        <w:t xml:space="preserve"> forward on </w:t>
      </w:r>
      <w:r w:rsidR="00760DDA">
        <w:t>the</w:t>
      </w:r>
      <w:r w:rsidR="00783204">
        <w:t xml:space="preserve"> multi-state model, </w:t>
      </w:r>
      <w:r w:rsidR="009074B3">
        <w:t>with Cowlitz as a strong base</w:t>
      </w:r>
      <w:r w:rsidR="00AC600D">
        <w:t>.</w:t>
      </w:r>
      <w:r w:rsidR="00411F85">
        <w:t>”</w:t>
      </w:r>
    </w:p>
    <w:p w14:paraId="70999288" w14:textId="77777777" w:rsidR="005C0A38" w:rsidRDefault="005C0A38" w:rsidP="00A602AD">
      <w:pPr>
        <w:pStyle w:val="BodyText"/>
        <w:spacing w:line="259" w:lineRule="auto"/>
        <w:ind w:left="101" w:right="115"/>
        <w:jc w:val="both"/>
      </w:pPr>
    </w:p>
    <w:p w14:paraId="182BBAAD" w14:textId="3C6248FF" w:rsidR="00333E5D" w:rsidRDefault="00A602AD" w:rsidP="00333E5D">
      <w:pPr>
        <w:pStyle w:val="BodyText"/>
        <w:spacing w:line="259" w:lineRule="auto"/>
        <w:ind w:left="101" w:right="115"/>
        <w:jc w:val="both"/>
      </w:pPr>
      <w:r w:rsidRPr="00A602AD">
        <w:t xml:space="preserve">Cowlitz is a leading producer, marketer and vendor in the Washington State recreational cannabis market.  Known for sourcing high-quality cannabis sold at affordable prices to a broad and established consumer base, </w:t>
      </w:r>
      <w:r w:rsidR="00315E74">
        <w:t>the</w:t>
      </w:r>
      <w:r w:rsidRPr="00A602AD">
        <w:t xml:space="preserve"> portfolio of branded products is available at approximately </w:t>
      </w:r>
      <w:r>
        <w:t>2</w:t>
      </w:r>
      <w:r w:rsidRPr="00A602AD">
        <w:t xml:space="preserve">0% of cannabis retailers throughout Washington State.  Cowlitz is </w:t>
      </w:r>
      <w:r w:rsidR="006C68DE">
        <w:t>one of the</w:t>
      </w:r>
      <w:r w:rsidRPr="00A602AD">
        <w:t xml:space="preserve"> top processor</w:t>
      </w:r>
      <w:r w:rsidR="006C68DE">
        <w:t>s</w:t>
      </w:r>
      <w:r w:rsidRPr="00A602AD">
        <w:t xml:space="preserve"> of cannabis in Washington and is </w:t>
      </w:r>
      <w:r>
        <w:t xml:space="preserve">one of </w:t>
      </w:r>
      <w:r w:rsidRPr="00A602AD">
        <w:t>the largest independent buyer</w:t>
      </w:r>
      <w:r>
        <w:t>s</w:t>
      </w:r>
      <w:r w:rsidRPr="00A602AD">
        <w:t xml:space="preserve"> of dried flower, producing over 200,000 pre-rolls monthly.  Currently, Cowlitz produces flower, dabs, pre-rolls, a full spectrum of cannabinoid powder, and infused joints under brand categories: “Dab Dudes” – affordably priced vape cartridges, butane hash oil</w:t>
      </w:r>
      <w:r>
        <w:t xml:space="preserve"> (“BHO”</w:t>
      </w:r>
      <w:r w:rsidRPr="00A602AD">
        <w:t xml:space="preserve">) waxes and crystalline, “Hi Guys” – the ‘working man’s weed’, including flower, joints and BHO, and “Cowlitz Gold” – premium flower, joints, BHO and vape cartridges.  Cowlitz branded products are currently available in over 150 of the dispensaries in Washington State.     </w:t>
      </w:r>
    </w:p>
    <w:p w14:paraId="55A10C44" w14:textId="77777777" w:rsidR="00A602AD" w:rsidRDefault="00A602AD" w:rsidP="00333E5D">
      <w:pPr>
        <w:pStyle w:val="BodyText"/>
        <w:spacing w:line="259" w:lineRule="auto"/>
        <w:ind w:left="101" w:right="115"/>
        <w:jc w:val="both"/>
      </w:pPr>
    </w:p>
    <w:p w14:paraId="1E607934" w14:textId="5A4F693B" w:rsidR="00A602AD" w:rsidRDefault="001C4C95" w:rsidP="00333E5D">
      <w:pPr>
        <w:pStyle w:val="BodyText"/>
        <w:spacing w:line="259" w:lineRule="auto"/>
        <w:ind w:left="101" w:right="115"/>
        <w:jc w:val="both"/>
      </w:pPr>
      <w:r>
        <w:t xml:space="preserve">2019 </w:t>
      </w:r>
      <w:r w:rsidR="00411F85" w:rsidRPr="00411F85">
        <w:t xml:space="preserve">Cowlitz sales information </w:t>
      </w:r>
      <w:r w:rsidR="00E120A8">
        <w:t xml:space="preserve">noted above </w:t>
      </w:r>
      <w:r w:rsidR="00411F85" w:rsidRPr="00411F85">
        <w:t xml:space="preserve">is based on sales Cowlitz had reported through the </w:t>
      </w:r>
      <w:r>
        <w:t>Washington S</w:t>
      </w:r>
      <w:r w:rsidR="00411F85" w:rsidRPr="00411F85">
        <w:t xml:space="preserve">tate mandated seed-to-sale cannabis traceability system.  While Washington State law and regulations require that such information be accurate, this information is unaudited and is not under </w:t>
      </w:r>
      <w:proofErr w:type="spellStart"/>
      <w:r w:rsidR="00411F85" w:rsidRPr="00411F85">
        <w:t>GreenStar’s</w:t>
      </w:r>
      <w:proofErr w:type="spellEnd"/>
      <w:r w:rsidR="00411F85" w:rsidRPr="00411F85">
        <w:t xml:space="preserve"> control</w:t>
      </w:r>
      <w:r w:rsidR="0053645F">
        <w:t>.</w:t>
      </w:r>
      <w:r>
        <w:t xml:space="preserve"> Cowlitz is not a subsidiary of </w:t>
      </w:r>
      <w:proofErr w:type="spellStart"/>
      <w:r>
        <w:t>GreenStar</w:t>
      </w:r>
      <w:proofErr w:type="spellEnd"/>
      <w:r>
        <w:t xml:space="preserve">.  </w:t>
      </w:r>
    </w:p>
    <w:p w14:paraId="3467037C" w14:textId="77777777" w:rsidR="00330FDE" w:rsidRDefault="00330FDE" w:rsidP="00333E5D">
      <w:pPr>
        <w:pStyle w:val="BodyText"/>
        <w:spacing w:line="259" w:lineRule="auto"/>
        <w:ind w:left="101" w:right="115"/>
        <w:jc w:val="both"/>
      </w:pPr>
    </w:p>
    <w:p w14:paraId="6EFD8941" w14:textId="2C6C6250" w:rsidR="00330FDE" w:rsidRDefault="00330FDE" w:rsidP="00333E5D">
      <w:pPr>
        <w:pStyle w:val="BodyText"/>
        <w:spacing w:line="259" w:lineRule="auto"/>
        <w:ind w:left="101" w:right="115"/>
        <w:jc w:val="both"/>
      </w:pPr>
      <w:r w:rsidRPr="00330FDE">
        <w:t xml:space="preserve">In addition, the Company announces it has granted stock options to acquire a total of </w:t>
      </w:r>
      <w:r w:rsidR="00A11D20">
        <w:t>1,2</w:t>
      </w:r>
      <w:r w:rsidR="00910217">
        <w:t>75</w:t>
      </w:r>
      <w:bookmarkStart w:id="0" w:name="_GoBack"/>
      <w:bookmarkEnd w:id="0"/>
      <w:r w:rsidRPr="00330FDE">
        <w:t>,000 common shares of the Company to certain officers</w:t>
      </w:r>
      <w:r>
        <w:t>,</w:t>
      </w:r>
      <w:r w:rsidRPr="00330FDE">
        <w:t xml:space="preserve"> directors</w:t>
      </w:r>
      <w:r>
        <w:t xml:space="preserve"> and consultants</w:t>
      </w:r>
      <w:r w:rsidRPr="00330FDE">
        <w:t xml:space="preserve"> of the Company.  The options are </w:t>
      </w:r>
      <w:r w:rsidRPr="00330FDE">
        <w:lastRenderedPageBreak/>
        <w:t>exercisable at a price of $0.</w:t>
      </w:r>
      <w:r w:rsidRPr="001C4C95">
        <w:t>11</w:t>
      </w:r>
      <w:r w:rsidR="001C4C95">
        <w:t>5</w:t>
      </w:r>
      <w:r w:rsidRPr="00330FDE">
        <w:t xml:space="preserve"> per share and expire five years from the date of grant.  The options are subject to vesting provisions where 50% of the options vest immediately and 50% vest on the first anniversary of the grant date.</w:t>
      </w:r>
    </w:p>
    <w:p w14:paraId="65A8D966" w14:textId="77777777" w:rsidR="00411F85" w:rsidRDefault="00411F85" w:rsidP="00333E5D">
      <w:pPr>
        <w:pStyle w:val="BodyText"/>
        <w:spacing w:line="259" w:lineRule="auto"/>
        <w:ind w:left="101" w:right="115"/>
        <w:jc w:val="both"/>
      </w:pPr>
    </w:p>
    <w:p w14:paraId="60A54CB2" w14:textId="77777777" w:rsidR="00DA122C" w:rsidRPr="00DA122C" w:rsidRDefault="00C1238A" w:rsidP="005C0A38">
      <w:pPr>
        <w:pStyle w:val="BodyText"/>
        <w:spacing w:line="259" w:lineRule="auto"/>
        <w:ind w:left="101" w:right="115"/>
        <w:jc w:val="both"/>
        <w:rPr>
          <w:b/>
        </w:rPr>
      </w:pPr>
      <w:r w:rsidRPr="00DA122C">
        <w:rPr>
          <w:b/>
        </w:rPr>
        <w:t xml:space="preserve">About </w:t>
      </w:r>
      <w:proofErr w:type="spellStart"/>
      <w:r w:rsidRPr="00DA122C">
        <w:rPr>
          <w:b/>
        </w:rPr>
        <w:t>GreenStar</w:t>
      </w:r>
      <w:proofErr w:type="spellEnd"/>
    </w:p>
    <w:p w14:paraId="407C3E4D" w14:textId="77777777" w:rsidR="00DA122C" w:rsidRDefault="00C1238A" w:rsidP="00AD78D1">
      <w:pPr>
        <w:pStyle w:val="BodyText"/>
        <w:spacing w:before="157" w:line="259" w:lineRule="auto"/>
        <w:ind w:left="101" w:right="112"/>
        <w:jc w:val="both"/>
      </w:pPr>
      <w:proofErr w:type="spellStart"/>
      <w:r>
        <w:t>GreenStar</w:t>
      </w:r>
      <w:proofErr w:type="spellEnd"/>
      <w:r>
        <w:t xml:space="preserve"> is a growth-oriented technology and services company that provides real estate, financial, management, IP and branding support to licensed cannabis businesses. </w:t>
      </w:r>
      <w:proofErr w:type="spellStart"/>
      <w:r>
        <w:t>GreenStar</w:t>
      </w:r>
      <w:proofErr w:type="spellEnd"/>
      <w:r>
        <w:t xml:space="preserve"> also has exclusive licensing arrangements for proprietary technologies that support product development and operational efficiencies for its operations.  Based in Vancouver, BC, </w:t>
      </w:r>
      <w:proofErr w:type="spellStart"/>
      <w:r>
        <w:t>GreenStar</w:t>
      </w:r>
      <w:proofErr w:type="spellEnd"/>
      <w:r>
        <w:t xml:space="preserve"> intends to facilitate growth through acquisitions and development of additional assets, products and technologies in legal cannabis markets by leveraging its capital markets, branding and operational expertise.  </w:t>
      </w:r>
      <w:proofErr w:type="spellStart"/>
      <w:r>
        <w:t>GreenStar</w:t>
      </w:r>
      <w:proofErr w:type="spellEnd"/>
      <w:r>
        <w:t xml:space="preserve"> is committed to increasing shareholder value through aggressive expansion initiatives.</w:t>
      </w:r>
    </w:p>
    <w:p w14:paraId="796EF08D" w14:textId="77777777" w:rsidR="00DA122C" w:rsidRDefault="00C1238A" w:rsidP="00AD78D1">
      <w:pPr>
        <w:pStyle w:val="BodyText"/>
        <w:spacing w:before="157" w:line="259" w:lineRule="auto"/>
        <w:ind w:left="101" w:right="112"/>
        <w:jc w:val="both"/>
      </w:pPr>
      <w:proofErr w:type="spellStart"/>
      <w:r>
        <w:t>GreenStar's</w:t>
      </w:r>
      <w:proofErr w:type="spellEnd"/>
      <w:r>
        <w:t xml:space="preserve"> assets include the property leases and intellectual property of Cowlitz County Cannabis Cultivation Inc. (“</w:t>
      </w:r>
      <w:r w:rsidRPr="00013D80">
        <w:rPr>
          <w:b/>
        </w:rPr>
        <w:t>Cowlitz</w:t>
      </w:r>
      <w:r>
        <w:t>”), a Tier 2 licensed cannabis producer and processor located in Washington State. Cowlitz is a leading processor, marketer and vendor in the Washington State cannabis market.  Known for sourcing high-quality cannabis sold at affordable prices, its products are sold to a broad and established consumer base. Cowlitz’s portfolio of branded products is available at approximately 20% of cannabis retailers throughout Washington State.</w:t>
      </w:r>
    </w:p>
    <w:p w14:paraId="300F5699" w14:textId="77777777" w:rsidR="00132CC7" w:rsidRDefault="00D264A8" w:rsidP="00E72475">
      <w:pPr>
        <w:spacing w:line="259" w:lineRule="auto"/>
        <w:rPr>
          <w:b/>
          <w:bCs/>
        </w:rPr>
      </w:pPr>
    </w:p>
    <w:p w14:paraId="5779EB58" w14:textId="77777777" w:rsidR="00DA122C" w:rsidRDefault="00C1238A" w:rsidP="00DA122C">
      <w:pPr>
        <w:ind w:left="142"/>
        <w:rPr>
          <w:b/>
          <w:bCs/>
        </w:rPr>
      </w:pPr>
      <w:r w:rsidRPr="00DA122C">
        <w:rPr>
          <w:b/>
          <w:bCs/>
        </w:rPr>
        <w:t xml:space="preserve">For further information please contact: </w:t>
      </w:r>
    </w:p>
    <w:p w14:paraId="7B467EE9" w14:textId="77777777" w:rsidR="00DA122C" w:rsidRPr="00DA122C" w:rsidRDefault="00D264A8" w:rsidP="00DA122C">
      <w:pPr>
        <w:ind w:left="142"/>
        <w:rPr>
          <w:b/>
          <w:bCs/>
        </w:rPr>
      </w:pPr>
    </w:p>
    <w:p w14:paraId="5A7F98B8" w14:textId="77777777" w:rsidR="00DA122C" w:rsidRPr="00DA122C" w:rsidRDefault="00C1238A" w:rsidP="00DA122C">
      <w:pPr>
        <w:ind w:left="142"/>
        <w:rPr>
          <w:b/>
          <w:bCs/>
        </w:rPr>
      </w:pPr>
      <w:proofErr w:type="spellStart"/>
      <w:r w:rsidRPr="00DA122C">
        <w:rPr>
          <w:b/>
          <w:bCs/>
        </w:rPr>
        <w:t>GreenStar</w:t>
      </w:r>
      <w:proofErr w:type="spellEnd"/>
      <w:r w:rsidRPr="00DA122C">
        <w:rPr>
          <w:b/>
          <w:bCs/>
        </w:rPr>
        <w:t xml:space="preserve"> Biosciences Corp.</w:t>
      </w:r>
    </w:p>
    <w:p w14:paraId="6C12B038" w14:textId="77777777" w:rsidR="00DA122C" w:rsidRDefault="00C1238A" w:rsidP="00DA122C">
      <w:pPr>
        <w:ind w:left="142"/>
        <w:rPr>
          <w:bCs/>
        </w:rPr>
      </w:pPr>
      <w:r w:rsidRPr="00DA122C">
        <w:rPr>
          <w:bCs/>
        </w:rPr>
        <w:t>Rahim Rajwani, CEO</w:t>
      </w:r>
    </w:p>
    <w:p w14:paraId="23FF4B55" w14:textId="77777777" w:rsidR="00DA122C" w:rsidRPr="00DA122C" w:rsidRDefault="00C1238A" w:rsidP="00DA122C">
      <w:pPr>
        <w:ind w:left="142"/>
        <w:rPr>
          <w:bCs/>
        </w:rPr>
      </w:pPr>
      <w:r>
        <w:rPr>
          <w:bCs/>
        </w:rPr>
        <w:t>info@greenstarbiosciences.com</w:t>
      </w:r>
    </w:p>
    <w:p w14:paraId="13F9C071" w14:textId="77777777" w:rsidR="00DA122C" w:rsidRPr="00DA122C" w:rsidRDefault="00C1238A" w:rsidP="00DA122C">
      <w:pPr>
        <w:ind w:left="142"/>
        <w:rPr>
          <w:bCs/>
        </w:rPr>
      </w:pPr>
      <w:r w:rsidRPr="00DA122C">
        <w:rPr>
          <w:bCs/>
        </w:rPr>
        <w:t xml:space="preserve">Tel: (604) </w:t>
      </w:r>
      <w:r>
        <w:rPr>
          <w:bCs/>
        </w:rPr>
        <w:t>834-9499</w:t>
      </w:r>
    </w:p>
    <w:p w14:paraId="6F586A3E" w14:textId="77777777" w:rsidR="00132CC7" w:rsidRDefault="00D264A8" w:rsidP="00132CC7">
      <w:pPr>
        <w:pStyle w:val="BodyText"/>
        <w:spacing w:line="259" w:lineRule="auto"/>
        <w:ind w:left="100" w:right="112"/>
        <w:jc w:val="both"/>
        <w:rPr>
          <w:i/>
        </w:rPr>
      </w:pPr>
    </w:p>
    <w:p w14:paraId="2DF0B965" w14:textId="77777777" w:rsidR="00132CC7" w:rsidRDefault="00C1238A" w:rsidP="00C370A4">
      <w:pPr>
        <w:pStyle w:val="BodyText"/>
        <w:spacing w:line="259" w:lineRule="auto"/>
        <w:ind w:left="100" w:right="112"/>
        <w:jc w:val="center"/>
        <w:rPr>
          <w:i/>
        </w:rPr>
      </w:pPr>
      <w:r w:rsidRPr="0080692E">
        <w:rPr>
          <w:i/>
        </w:rPr>
        <w:t>THE CSE HAS NOT REVIEWED AND DOES NOT ACCEPT RESPONSIBILITY FOR THE ACCURACY OR ADEQUACY OF THIS RELEASE</w:t>
      </w:r>
      <w:r w:rsidRPr="00705234">
        <w:rPr>
          <w:i/>
        </w:rPr>
        <w:t>.</w:t>
      </w:r>
    </w:p>
    <w:p w14:paraId="07052EB0" w14:textId="77777777" w:rsidR="00132CC7" w:rsidRPr="00B248F0" w:rsidRDefault="00D264A8" w:rsidP="00132CC7">
      <w:pPr>
        <w:pStyle w:val="BodyText"/>
        <w:spacing w:line="259" w:lineRule="auto"/>
        <w:ind w:left="100" w:right="112"/>
        <w:jc w:val="both"/>
        <w:rPr>
          <w:i/>
        </w:rPr>
      </w:pPr>
    </w:p>
    <w:p w14:paraId="6CDCC4FD" w14:textId="77777777" w:rsidR="00132CC7" w:rsidRPr="00C370A4" w:rsidRDefault="00C1238A" w:rsidP="00132CC7">
      <w:pPr>
        <w:pStyle w:val="BodyText"/>
        <w:spacing w:line="259" w:lineRule="auto"/>
        <w:ind w:left="100" w:right="112"/>
        <w:jc w:val="both"/>
        <w:rPr>
          <w:b/>
          <w:i/>
          <w:sz w:val="18"/>
          <w:szCs w:val="18"/>
        </w:rPr>
      </w:pPr>
      <w:r>
        <w:rPr>
          <w:b/>
          <w:i/>
          <w:sz w:val="18"/>
          <w:szCs w:val="18"/>
        </w:rPr>
        <w:t xml:space="preserve">Disclaimer for </w:t>
      </w:r>
      <w:r w:rsidRPr="00C370A4">
        <w:rPr>
          <w:b/>
          <w:i/>
          <w:sz w:val="18"/>
          <w:szCs w:val="18"/>
        </w:rPr>
        <w:t xml:space="preserve">Forward Looking Statements </w:t>
      </w:r>
    </w:p>
    <w:p w14:paraId="6C7E20CF" w14:textId="77777777" w:rsidR="00C370A4" w:rsidRPr="00C370A4" w:rsidRDefault="00D264A8" w:rsidP="00132CC7">
      <w:pPr>
        <w:pStyle w:val="BodyText"/>
        <w:spacing w:line="259" w:lineRule="auto"/>
        <w:ind w:left="100" w:right="112"/>
        <w:jc w:val="both"/>
        <w:rPr>
          <w:i/>
          <w:sz w:val="18"/>
          <w:szCs w:val="18"/>
        </w:rPr>
      </w:pPr>
    </w:p>
    <w:p w14:paraId="269BDB40" w14:textId="5E187991" w:rsidR="00D1026D" w:rsidRPr="00D1026D" w:rsidRDefault="00D1026D" w:rsidP="00D1026D">
      <w:pPr>
        <w:spacing w:line="259" w:lineRule="auto"/>
        <w:ind w:left="100" w:right="112"/>
        <w:jc w:val="both"/>
        <w:rPr>
          <w:i/>
          <w:sz w:val="18"/>
          <w:szCs w:val="18"/>
        </w:rPr>
      </w:pPr>
      <w:r w:rsidRPr="00D1026D">
        <w:rPr>
          <w:i/>
          <w:sz w:val="18"/>
          <w:szCs w:val="18"/>
        </w:rPr>
        <w:t xml:space="preserve">This news release contains forward-looking statements relating to the future operations of the Company and other statements that are not historical facts. Forward-looking statements are often identified by terms such as “will”, “may”, “should”, “anticipate”, “expects” and similar expressions. All statements other than statements of historical fact, included in this release, including </w:t>
      </w:r>
      <w:r>
        <w:rPr>
          <w:i/>
          <w:sz w:val="18"/>
          <w:szCs w:val="18"/>
        </w:rPr>
        <w:t xml:space="preserve">but not limited to </w:t>
      </w:r>
      <w:r w:rsidRPr="00D1026D">
        <w:rPr>
          <w:i/>
          <w:sz w:val="18"/>
          <w:szCs w:val="18"/>
        </w:rPr>
        <w:t>statements regarding the future plans and objectives of the Company</w:t>
      </w:r>
      <w:r>
        <w:rPr>
          <w:i/>
          <w:sz w:val="18"/>
          <w:szCs w:val="18"/>
        </w:rPr>
        <w:t xml:space="preserve"> and future sales of Cowlitz</w:t>
      </w:r>
      <w:r w:rsidRPr="00D1026D">
        <w:rPr>
          <w:i/>
          <w:sz w:val="18"/>
          <w:szCs w:val="18"/>
        </w:rPr>
        <w:t xml:space="preserve"> </w:t>
      </w:r>
      <w:r w:rsidR="001C4C95">
        <w:rPr>
          <w:i/>
          <w:sz w:val="18"/>
          <w:szCs w:val="18"/>
        </w:rPr>
        <w:t xml:space="preserve">and future growth of </w:t>
      </w:r>
      <w:r w:rsidR="006C68DE">
        <w:rPr>
          <w:i/>
          <w:sz w:val="18"/>
          <w:szCs w:val="18"/>
        </w:rPr>
        <w:t>Cowlitz’s</w:t>
      </w:r>
      <w:r w:rsidR="001C4C95">
        <w:rPr>
          <w:i/>
          <w:sz w:val="18"/>
          <w:szCs w:val="18"/>
        </w:rPr>
        <w:t xml:space="preserve"> customer base </w:t>
      </w:r>
      <w:r w:rsidRPr="00D1026D">
        <w:rPr>
          <w:i/>
          <w:sz w:val="18"/>
          <w:szCs w:val="18"/>
        </w:rPr>
        <w:t>are forward 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are risks detailed from time to time in the filings made by the Company with securities regulations. Readers are cautioned that assumptions used in the preparation of the forward-looking statements may prove to be incorrect. Events or circumstances may cause actual results to differ materially from those predicted, as a result of numerous known and unknown risks, uncertainties, and other factors, many of which are beyond the control of the Company, including changes to the regulatory environment; and that the current Board and management may not be able to attain the Company's corporate goals and objectives. As a result, the Company cannot guarantee that any forward-looking statement will materialize and the reader is cautioned not to place undue reliance on any forward-looking information. Forward-looking statements contained in this news release are expressly qualified by this cautionary statement. The forward-looking statements contained in this news release are made only as of the date of this news release and the Company does not intend to update any of the included forward-looking statements except as expressly required by applicable Canadian securities laws.</w:t>
      </w:r>
    </w:p>
    <w:p w14:paraId="4436FB85" w14:textId="77777777" w:rsidR="00D1026D" w:rsidRDefault="00D1026D" w:rsidP="00C370A4">
      <w:pPr>
        <w:pStyle w:val="BodyText"/>
        <w:spacing w:line="259" w:lineRule="auto"/>
        <w:ind w:left="100" w:right="112"/>
        <w:jc w:val="both"/>
        <w:rPr>
          <w:i/>
          <w:sz w:val="18"/>
          <w:szCs w:val="18"/>
        </w:rPr>
      </w:pPr>
    </w:p>
    <w:p w14:paraId="0C5BEBEB" w14:textId="77777777" w:rsidR="00D1026D" w:rsidRDefault="00D1026D" w:rsidP="00C370A4">
      <w:pPr>
        <w:pStyle w:val="BodyText"/>
        <w:spacing w:line="259" w:lineRule="auto"/>
        <w:ind w:left="100" w:right="112"/>
        <w:jc w:val="both"/>
        <w:rPr>
          <w:i/>
          <w:sz w:val="18"/>
          <w:szCs w:val="18"/>
        </w:rPr>
      </w:pPr>
    </w:p>
    <w:sectPr w:rsidR="00D1026D" w:rsidSect="009A0347">
      <w:headerReference w:type="default" r:id="rId7"/>
      <w:footerReference w:type="default" r:id="rId8"/>
      <w:headerReference w:type="first" r:id="rId9"/>
      <w:pgSz w:w="12240" w:h="15840"/>
      <w:pgMar w:top="1340" w:right="1320" w:bottom="900" w:left="1340" w:header="719" w:footer="708"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B4282" w16cid:durableId="210FB51A"/>
  <w16cid:commentId w16cid:paraId="39D875DB" w16cid:durableId="210FB5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1732E" w14:textId="77777777" w:rsidR="00D264A8" w:rsidRDefault="00D264A8">
      <w:r>
        <w:separator/>
      </w:r>
    </w:p>
  </w:endnote>
  <w:endnote w:type="continuationSeparator" w:id="0">
    <w:p w14:paraId="389EF401" w14:textId="77777777" w:rsidR="00D264A8" w:rsidRDefault="00D264A8">
      <w:r>
        <w:continuationSeparator/>
      </w:r>
    </w:p>
  </w:endnote>
  <w:endnote w:type="continuationNotice" w:id="1">
    <w:p w14:paraId="377A33AB" w14:textId="77777777" w:rsidR="00D264A8" w:rsidRDefault="00D26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F48B" w14:textId="77777777" w:rsidR="00AA1EAF" w:rsidRDefault="00AA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DAA6A" w14:textId="77777777" w:rsidR="00D264A8" w:rsidRDefault="00D264A8">
      <w:r>
        <w:separator/>
      </w:r>
    </w:p>
  </w:footnote>
  <w:footnote w:type="continuationSeparator" w:id="0">
    <w:p w14:paraId="4E813063" w14:textId="77777777" w:rsidR="00D264A8" w:rsidRDefault="00D264A8">
      <w:r>
        <w:continuationSeparator/>
      </w:r>
    </w:p>
  </w:footnote>
  <w:footnote w:type="continuationNotice" w:id="1">
    <w:p w14:paraId="6651D9A4" w14:textId="77777777" w:rsidR="00D264A8" w:rsidRDefault="00D264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32C8" w14:textId="77777777" w:rsidR="0067509B" w:rsidRDefault="00D264A8">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9E442" w14:textId="77777777" w:rsidR="009A0347" w:rsidRDefault="00C1238A">
    <w:pPr>
      <w:pStyle w:val="Header"/>
    </w:pPr>
    <w:r>
      <w:rPr>
        <w:noProof/>
        <w:sz w:val="20"/>
        <w:lang w:bidi="ar-SA"/>
      </w:rPr>
      <w:drawing>
        <wp:anchor distT="0" distB="0" distL="114300" distR="114300" simplePos="0" relativeHeight="251658240" behindDoc="1" locked="0" layoutInCell="1" allowOverlap="0" wp14:anchorId="7C57A3CE" wp14:editId="49341D75">
          <wp:simplePos x="0" y="0"/>
          <wp:positionH relativeFrom="margin">
            <wp:align>center</wp:align>
          </wp:positionH>
          <wp:positionV relativeFrom="page">
            <wp:posOffset>247650</wp:posOffset>
          </wp:positionV>
          <wp:extent cx="1742486" cy="1238250"/>
          <wp:effectExtent l="0" t="0" r="0" b="0"/>
          <wp:wrapTight wrapText="bothSides">
            <wp:wrapPolygon edited="0">
              <wp:start x="0" y="0"/>
              <wp:lineTo x="0" y="21268"/>
              <wp:lineTo x="21254" y="21268"/>
              <wp:lineTo x="21254"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486" cy="1238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333"/>
    <w:multiLevelType w:val="hybridMultilevel"/>
    <w:tmpl w:val="A192CD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CC11A00"/>
    <w:multiLevelType w:val="multilevel"/>
    <w:tmpl w:val="583C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81098"/>
    <w:multiLevelType w:val="multilevel"/>
    <w:tmpl w:val="995E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A08BC"/>
    <w:multiLevelType w:val="hybridMultilevel"/>
    <w:tmpl w:val="52588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0B14B78"/>
    <w:multiLevelType w:val="hybridMultilevel"/>
    <w:tmpl w:val="DD20C664"/>
    <w:lvl w:ilvl="0" w:tplc="04090001">
      <w:start w:val="1"/>
      <w:numFmt w:val="bullet"/>
      <w:lvlText w:val=""/>
      <w:lvlJc w:val="left"/>
      <w:pPr>
        <w:ind w:left="1796" w:hanging="360"/>
      </w:pPr>
      <w:rPr>
        <w:rFonts w:ascii="Symbol" w:hAnsi="Symbol"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5" w15:restartNumberingAfterBreak="0">
    <w:nsid w:val="64E02B3C"/>
    <w:multiLevelType w:val="hybridMultilevel"/>
    <w:tmpl w:val="F656E308"/>
    <w:lvl w:ilvl="0" w:tplc="69289F52">
      <w:start w:val="1"/>
      <w:numFmt w:val="decimal"/>
      <w:lvlText w:val="%1)"/>
      <w:lvlJc w:val="left"/>
      <w:pPr>
        <w:ind w:left="1076" w:hanging="360"/>
      </w:pPr>
      <w:rPr>
        <w:rFonts w:ascii="Times New Roman" w:eastAsia="Times New Roman" w:hAnsi="Times New Roman" w:cs="Times New Roman"/>
        <w:b/>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6" w15:restartNumberingAfterBreak="0">
    <w:nsid w:val="7E7F1634"/>
    <w:multiLevelType w:val="hybridMultilevel"/>
    <w:tmpl w:val="E124CE6C"/>
    <w:lvl w:ilvl="0" w:tplc="684C88FE">
      <w:start w:val="1"/>
      <w:numFmt w:val="bullet"/>
      <w:lvlText w:val=""/>
      <w:lvlJc w:val="left"/>
      <w:pPr>
        <w:ind w:left="1436" w:firstLine="4"/>
      </w:pPr>
      <w:rPr>
        <w:rFonts w:ascii="Symbol" w:hAnsi="Symbol"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33"/>
    <w:rsid w:val="00017D07"/>
    <w:rsid w:val="0004218C"/>
    <w:rsid w:val="000A68DD"/>
    <w:rsid w:val="000B434C"/>
    <w:rsid w:val="000B5A62"/>
    <w:rsid w:val="000C4FA2"/>
    <w:rsid w:val="000D4210"/>
    <w:rsid w:val="000E607A"/>
    <w:rsid w:val="0010214E"/>
    <w:rsid w:val="00121F3F"/>
    <w:rsid w:val="00124609"/>
    <w:rsid w:val="00167F43"/>
    <w:rsid w:val="00173E8C"/>
    <w:rsid w:val="00193AC1"/>
    <w:rsid w:val="001C4C95"/>
    <w:rsid w:val="001D4904"/>
    <w:rsid w:val="001E0664"/>
    <w:rsid w:val="001F4DDD"/>
    <w:rsid w:val="002060C8"/>
    <w:rsid w:val="00214190"/>
    <w:rsid w:val="002239A8"/>
    <w:rsid w:val="00266E57"/>
    <w:rsid w:val="00292A5E"/>
    <w:rsid w:val="00296157"/>
    <w:rsid w:val="002C3A84"/>
    <w:rsid w:val="002C4EDD"/>
    <w:rsid w:val="002F68ED"/>
    <w:rsid w:val="00307DFC"/>
    <w:rsid w:val="00315E74"/>
    <w:rsid w:val="00330FDE"/>
    <w:rsid w:val="00333E5D"/>
    <w:rsid w:val="00373A27"/>
    <w:rsid w:val="00393F37"/>
    <w:rsid w:val="003B513F"/>
    <w:rsid w:val="003E3280"/>
    <w:rsid w:val="00411F85"/>
    <w:rsid w:val="004315D8"/>
    <w:rsid w:val="00431A34"/>
    <w:rsid w:val="00433055"/>
    <w:rsid w:val="00435976"/>
    <w:rsid w:val="0043633E"/>
    <w:rsid w:val="004429D7"/>
    <w:rsid w:val="004644C7"/>
    <w:rsid w:val="004935FD"/>
    <w:rsid w:val="004A3253"/>
    <w:rsid w:val="004B472F"/>
    <w:rsid w:val="0053306B"/>
    <w:rsid w:val="0053645F"/>
    <w:rsid w:val="005504A6"/>
    <w:rsid w:val="0055175D"/>
    <w:rsid w:val="0056681D"/>
    <w:rsid w:val="005A20FF"/>
    <w:rsid w:val="005C0A38"/>
    <w:rsid w:val="005C41C0"/>
    <w:rsid w:val="005F5203"/>
    <w:rsid w:val="00612BD6"/>
    <w:rsid w:val="00623936"/>
    <w:rsid w:val="006638D1"/>
    <w:rsid w:val="006C68DE"/>
    <w:rsid w:val="006E29A2"/>
    <w:rsid w:val="006F2887"/>
    <w:rsid w:val="0073794D"/>
    <w:rsid w:val="00760DDA"/>
    <w:rsid w:val="00773C60"/>
    <w:rsid w:val="00783204"/>
    <w:rsid w:val="007D3CF8"/>
    <w:rsid w:val="007D6B9A"/>
    <w:rsid w:val="007E4FB3"/>
    <w:rsid w:val="00844A31"/>
    <w:rsid w:val="00847196"/>
    <w:rsid w:val="008838DA"/>
    <w:rsid w:val="008A468C"/>
    <w:rsid w:val="008B26EC"/>
    <w:rsid w:val="008B40DD"/>
    <w:rsid w:val="008D67EB"/>
    <w:rsid w:val="008E4D17"/>
    <w:rsid w:val="00902F9E"/>
    <w:rsid w:val="00903A7F"/>
    <w:rsid w:val="00904167"/>
    <w:rsid w:val="009074B3"/>
    <w:rsid w:val="00910217"/>
    <w:rsid w:val="00925D62"/>
    <w:rsid w:val="00935973"/>
    <w:rsid w:val="00953626"/>
    <w:rsid w:val="009644DB"/>
    <w:rsid w:val="00966902"/>
    <w:rsid w:val="00975C12"/>
    <w:rsid w:val="0099510F"/>
    <w:rsid w:val="00995D50"/>
    <w:rsid w:val="009C1A2C"/>
    <w:rsid w:val="009D4A94"/>
    <w:rsid w:val="00A11D20"/>
    <w:rsid w:val="00A162A7"/>
    <w:rsid w:val="00A22649"/>
    <w:rsid w:val="00A2779D"/>
    <w:rsid w:val="00A37DE2"/>
    <w:rsid w:val="00A602AD"/>
    <w:rsid w:val="00A74EC0"/>
    <w:rsid w:val="00AA1EAF"/>
    <w:rsid w:val="00AC600D"/>
    <w:rsid w:val="00AD78D1"/>
    <w:rsid w:val="00AE27B1"/>
    <w:rsid w:val="00B000E5"/>
    <w:rsid w:val="00B0105E"/>
    <w:rsid w:val="00B05E78"/>
    <w:rsid w:val="00B124BB"/>
    <w:rsid w:val="00B15A8D"/>
    <w:rsid w:val="00B271D2"/>
    <w:rsid w:val="00B52D02"/>
    <w:rsid w:val="00B5362E"/>
    <w:rsid w:val="00B6198B"/>
    <w:rsid w:val="00B62314"/>
    <w:rsid w:val="00B75F37"/>
    <w:rsid w:val="00BC1F24"/>
    <w:rsid w:val="00BC6255"/>
    <w:rsid w:val="00BC7DB4"/>
    <w:rsid w:val="00BD53D7"/>
    <w:rsid w:val="00BF0159"/>
    <w:rsid w:val="00BF4B5A"/>
    <w:rsid w:val="00C005F9"/>
    <w:rsid w:val="00C01574"/>
    <w:rsid w:val="00C04BFD"/>
    <w:rsid w:val="00C1238A"/>
    <w:rsid w:val="00C17AB4"/>
    <w:rsid w:val="00C630B6"/>
    <w:rsid w:val="00C96833"/>
    <w:rsid w:val="00D1026D"/>
    <w:rsid w:val="00D264A8"/>
    <w:rsid w:val="00D45F71"/>
    <w:rsid w:val="00D70CBA"/>
    <w:rsid w:val="00D932B4"/>
    <w:rsid w:val="00D9539F"/>
    <w:rsid w:val="00DF528D"/>
    <w:rsid w:val="00E120A8"/>
    <w:rsid w:val="00E175E6"/>
    <w:rsid w:val="00E36DD0"/>
    <w:rsid w:val="00ED1960"/>
    <w:rsid w:val="00ED2B91"/>
    <w:rsid w:val="00EE3092"/>
    <w:rsid w:val="00EE3E77"/>
    <w:rsid w:val="00EE7C16"/>
    <w:rsid w:val="00F0787F"/>
    <w:rsid w:val="00F343A6"/>
    <w:rsid w:val="00F425EE"/>
    <w:rsid w:val="00F576EF"/>
    <w:rsid w:val="00F732A6"/>
    <w:rsid w:val="00F753E8"/>
    <w:rsid w:val="00F77755"/>
    <w:rsid w:val="00FB4DDC"/>
    <w:rsid w:val="00FC235F"/>
    <w:rsid w:val="00FF1ED1"/>
    <w:rsid w:val="00FF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20AA"/>
  <w15:docId w15:val="{03820B7E-0288-48A6-B8EC-75F9A641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C84"/>
    <w:pPr>
      <w:tabs>
        <w:tab w:val="center" w:pos="4680"/>
        <w:tab w:val="right" w:pos="9360"/>
      </w:tabs>
    </w:pPr>
  </w:style>
  <w:style w:type="character" w:customStyle="1" w:styleId="HeaderChar">
    <w:name w:val="Header Char"/>
    <w:basedOn w:val="DefaultParagraphFont"/>
    <w:link w:val="Header"/>
    <w:uiPriority w:val="99"/>
    <w:rsid w:val="00132C84"/>
    <w:rPr>
      <w:rFonts w:ascii="Times New Roman" w:eastAsia="Times New Roman" w:hAnsi="Times New Roman" w:cs="Times New Roman"/>
      <w:lang w:bidi="en-US"/>
    </w:rPr>
  </w:style>
  <w:style w:type="paragraph" w:styleId="Footer">
    <w:name w:val="footer"/>
    <w:basedOn w:val="Normal"/>
    <w:link w:val="FooterChar"/>
    <w:uiPriority w:val="99"/>
    <w:unhideWhenUsed/>
    <w:rsid w:val="00132C84"/>
    <w:pPr>
      <w:tabs>
        <w:tab w:val="center" w:pos="4680"/>
        <w:tab w:val="right" w:pos="9360"/>
      </w:tabs>
    </w:pPr>
  </w:style>
  <w:style w:type="character" w:customStyle="1" w:styleId="FooterChar">
    <w:name w:val="Footer Char"/>
    <w:basedOn w:val="DefaultParagraphFont"/>
    <w:link w:val="Footer"/>
    <w:uiPriority w:val="99"/>
    <w:rsid w:val="00132C84"/>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705234"/>
    <w:rPr>
      <w:sz w:val="16"/>
      <w:szCs w:val="16"/>
    </w:rPr>
  </w:style>
  <w:style w:type="paragraph" w:styleId="CommentText">
    <w:name w:val="annotation text"/>
    <w:basedOn w:val="Normal"/>
    <w:link w:val="CommentTextChar"/>
    <w:uiPriority w:val="99"/>
    <w:semiHidden/>
    <w:unhideWhenUsed/>
    <w:rsid w:val="00705234"/>
    <w:rPr>
      <w:sz w:val="20"/>
      <w:szCs w:val="20"/>
    </w:rPr>
  </w:style>
  <w:style w:type="character" w:customStyle="1" w:styleId="CommentTextChar">
    <w:name w:val="Comment Text Char"/>
    <w:basedOn w:val="DefaultParagraphFont"/>
    <w:link w:val="CommentText"/>
    <w:uiPriority w:val="99"/>
    <w:semiHidden/>
    <w:rsid w:val="0070523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05234"/>
    <w:rPr>
      <w:b/>
      <w:bCs/>
    </w:rPr>
  </w:style>
  <w:style w:type="character" w:customStyle="1" w:styleId="CommentSubjectChar">
    <w:name w:val="Comment Subject Char"/>
    <w:basedOn w:val="CommentTextChar"/>
    <w:link w:val="CommentSubject"/>
    <w:uiPriority w:val="99"/>
    <w:semiHidden/>
    <w:rsid w:val="00705234"/>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705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34"/>
    <w:rPr>
      <w:rFonts w:ascii="Segoe UI" w:eastAsia="Times New Roman" w:hAnsi="Segoe UI" w:cs="Segoe UI"/>
      <w:sz w:val="18"/>
      <w:szCs w:val="18"/>
      <w:lang w:bidi="en-US"/>
    </w:rPr>
  </w:style>
  <w:style w:type="paragraph" w:styleId="NormalWeb">
    <w:name w:val="Normal (Web)"/>
    <w:basedOn w:val="Normal"/>
    <w:uiPriority w:val="99"/>
    <w:semiHidden/>
    <w:unhideWhenUsed/>
    <w:rsid w:val="008E2491"/>
    <w:rPr>
      <w:sz w:val="24"/>
      <w:szCs w:val="24"/>
    </w:rPr>
  </w:style>
  <w:style w:type="character" w:styleId="Hyperlink">
    <w:name w:val="Hyperlink"/>
    <w:basedOn w:val="DefaultParagraphFont"/>
    <w:uiPriority w:val="99"/>
    <w:unhideWhenUsed/>
    <w:rsid w:val="005C0A38"/>
    <w:rPr>
      <w:color w:val="0000FF" w:themeColor="hyperlink"/>
      <w:u w:val="single"/>
    </w:rPr>
  </w:style>
  <w:style w:type="table" w:styleId="TableGrid">
    <w:name w:val="Table Grid"/>
    <w:basedOn w:val="TableNormal"/>
    <w:uiPriority w:val="39"/>
    <w:rsid w:val="00D9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96217">
      <w:bodyDiv w:val="1"/>
      <w:marLeft w:val="0"/>
      <w:marRight w:val="0"/>
      <w:marTop w:val="0"/>
      <w:marBottom w:val="0"/>
      <w:divBdr>
        <w:top w:val="none" w:sz="0" w:space="0" w:color="auto"/>
        <w:left w:val="none" w:sz="0" w:space="0" w:color="auto"/>
        <w:bottom w:val="none" w:sz="0" w:space="0" w:color="auto"/>
        <w:right w:val="none" w:sz="0" w:space="0" w:color="auto"/>
      </w:divBdr>
      <w:divsChild>
        <w:div w:id="523401248">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 Zanic</cp:lastModifiedBy>
  <cp:revision>7</cp:revision>
  <cp:lastPrinted>2019-08-30T21:36:00Z</cp:lastPrinted>
  <dcterms:created xsi:type="dcterms:W3CDTF">2019-08-29T20:56:00Z</dcterms:created>
  <dcterms:modified xsi:type="dcterms:W3CDTF">2019-08-30T21:48:00Z</dcterms:modified>
</cp:coreProperties>
</file>