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BCB6" w14:textId="77777777" w:rsidR="008225EE" w:rsidRDefault="008225EE">
      <w:pPr>
        <w:ind w:left="90"/>
        <w:jc w:val="center"/>
        <w:rPr>
          <w:rFonts w:ascii="Calibri" w:hAnsi="Calibri" w:cs="Calibri"/>
          <w:b/>
          <w:sz w:val="22"/>
          <w:szCs w:val="22"/>
        </w:rPr>
      </w:pPr>
      <w:r>
        <w:rPr>
          <w:rFonts w:ascii="Calibri" w:hAnsi="Calibri" w:cs="Calibri"/>
          <w:b/>
          <w:sz w:val="22"/>
          <w:szCs w:val="22"/>
        </w:rPr>
        <w:t>GEMINA LABORATORIES LTD.</w:t>
      </w:r>
    </w:p>
    <w:p w14:paraId="68F44524" w14:textId="77777777" w:rsidR="008225EE" w:rsidRDefault="008225EE">
      <w:pPr>
        <w:ind w:left="90"/>
        <w:jc w:val="center"/>
        <w:rPr>
          <w:rFonts w:ascii="Calibri" w:hAnsi="Calibri" w:cs="Calibri"/>
          <w:b/>
          <w:sz w:val="22"/>
          <w:szCs w:val="22"/>
        </w:rPr>
      </w:pPr>
    </w:p>
    <w:p w14:paraId="7E0D6AAA" w14:textId="77777777" w:rsidR="008225EE" w:rsidRDefault="008225EE">
      <w:pPr>
        <w:ind w:left="90"/>
        <w:jc w:val="center"/>
        <w:rPr>
          <w:rFonts w:ascii="Calibri" w:hAnsi="Calibri" w:cs="Calibri"/>
          <w:b/>
          <w:sz w:val="22"/>
          <w:szCs w:val="22"/>
        </w:rPr>
      </w:pPr>
      <w:r>
        <w:rPr>
          <w:rFonts w:ascii="Calibri" w:hAnsi="Calibri" w:cs="Calibri"/>
          <w:b/>
          <w:sz w:val="22"/>
          <w:szCs w:val="22"/>
        </w:rPr>
        <w:t>News Release</w:t>
      </w:r>
    </w:p>
    <w:p w14:paraId="63C1EDDF" w14:textId="77777777" w:rsidR="008225EE" w:rsidRDefault="008225EE">
      <w:pPr>
        <w:ind w:left="90"/>
        <w:jc w:val="center"/>
        <w:rPr>
          <w:rFonts w:ascii="Calibri" w:hAnsi="Calibri" w:cs="Calibri"/>
          <w:b/>
          <w:sz w:val="22"/>
          <w:szCs w:val="22"/>
        </w:rPr>
      </w:pPr>
    </w:p>
    <w:p w14:paraId="21CF766E" w14:textId="77777777" w:rsidR="008225EE" w:rsidRDefault="008225EE">
      <w:pPr>
        <w:ind w:left="90"/>
        <w:jc w:val="center"/>
        <w:rPr>
          <w:rFonts w:ascii="Calibri" w:hAnsi="Calibri" w:cs="Calibri"/>
          <w:b/>
          <w:sz w:val="22"/>
          <w:szCs w:val="22"/>
        </w:rPr>
      </w:pPr>
      <w:r>
        <w:rPr>
          <w:rFonts w:ascii="Calibri" w:hAnsi="Calibri" w:cs="Calibri"/>
          <w:b/>
          <w:sz w:val="22"/>
          <w:szCs w:val="22"/>
        </w:rPr>
        <w:t>June 2</w:t>
      </w:r>
      <w:r w:rsidR="00DB2A41">
        <w:rPr>
          <w:rFonts w:ascii="Calibri" w:hAnsi="Calibri" w:cs="Calibri"/>
          <w:b/>
          <w:sz w:val="22"/>
          <w:szCs w:val="22"/>
        </w:rPr>
        <w:t>4</w:t>
      </w:r>
      <w:r>
        <w:rPr>
          <w:rFonts w:ascii="Calibri" w:hAnsi="Calibri" w:cs="Calibri"/>
          <w:b/>
          <w:sz w:val="22"/>
          <w:szCs w:val="22"/>
        </w:rPr>
        <w:t>, 2022</w:t>
      </w:r>
    </w:p>
    <w:p w14:paraId="2EFF1B73" w14:textId="77777777" w:rsidR="008225EE" w:rsidRDefault="008225EE">
      <w:pPr>
        <w:ind w:left="90"/>
        <w:jc w:val="center"/>
        <w:rPr>
          <w:rFonts w:ascii="Calibri" w:hAnsi="Calibri" w:cs="Calibri"/>
          <w:b/>
          <w:sz w:val="22"/>
          <w:szCs w:val="22"/>
        </w:rPr>
      </w:pPr>
    </w:p>
    <w:p w14:paraId="0BCCDB2E" w14:textId="77777777" w:rsidR="008225EE" w:rsidRDefault="008225EE">
      <w:pPr>
        <w:ind w:left="90"/>
        <w:jc w:val="center"/>
        <w:rPr>
          <w:rFonts w:ascii="Calibri" w:hAnsi="Calibri" w:cs="Calibri"/>
          <w:b/>
          <w:sz w:val="22"/>
          <w:szCs w:val="22"/>
        </w:rPr>
      </w:pPr>
      <w:r>
        <w:rPr>
          <w:rFonts w:ascii="Calibri" w:hAnsi="Calibri" w:cs="Calibri"/>
          <w:b/>
          <w:sz w:val="22"/>
          <w:szCs w:val="22"/>
        </w:rPr>
        <w:t xml:space="preserve">GEMINA ANNOUNCES </w:t>
      </w:r>
      <w:r w:rsidRPr="005A2FAB">
        <w:rPr>
          <w:rFonts w:ascii="Calibri" w:hAnsi="Calibri" w:cs="Calibri"/>
          <w:b/>
          <w:sz w:val="22"/>
          <w:szCs w:val="22"/>
        </w:rPr>
        <w:t>FILING OF PROSPECTUS SUPPLEMENT</w:t>
      </w:r>
    </w:p>
    <w:p w14:paraId="4D01235D" w14:textId="77777777" w:rsidR="008225EE" w:rsidRDefault="008225EE">
      <w:pPr>
        <w:ind w:left="90"/>
        <w:jc w:val="center"/>
        <w:rPr>
          <w:rFonts w:ascii="Calibri" w:hAnsi="Calibri" w:cs="Calibri"/>
          <w:b/>
          <w:sz w:val="22"/>
          <w:szCs w:val="22"/>
        </w:rPr>
      </w:pPr>
    </w:p>
    <w:p w14:paraId="3FB694B5" w14:textId="77777777" w:rsidR="008225EE" w:rsidRPr="005A2FAB" w:rsidRDefault="008225EE">
      <w:pPr>
        <w:pStyle w:val="Default"/>
        <w:jc w:val="both"/>
        <w:rPr>
          <w:rFonts w:eastAsia="Times New Roman"/>
          <w:sz w:val="22"/>
          <w:szCs w:val="22"/>
          <w:lang w:val="en-US"/>
        </w:rPr>
      </w:pPr>
      <w:r w:rsidRPr="005A2FAB">
        <w:rPr>
          <w:b/>
          <w:spacing w:val="-5"/>
          <w:sz w:val="22"/>
          <w:szCs w:val="22"/>
        </w:rPr>
        <w:t>Vancouver, British Columbia</w:t>
      </w:r>
      <w:r w:rsidRPr="005A2FAB">
        <w:rPr>
          <w:spacing w:val="-5"/>
          <w:sz w:val="22"/>
          <w:szCs w:val="22"/>
        </w:rPr>
        <w:t xml:space="preserve"> – June 2</w:t>
      </w:r>
      <w:r w:rsidR="00DB2A41">
        <w:rPr>
          <w:spacing w:val="-5"/>
          <w:sz w:val="22"/>
          <w:szCs w:val="22"/>
        </w:rPr>
        <w:t>4</w:t>
      </w:r>
      <w:r w:rsidRPr="005A2FAB">
        <w:rPr>
          <w:spacing w:val="-5"/>
          <w:sz w:val="22"/>
          <w:szCs w:val="22"/>
        </w:rPr>
        <w:t xml:space="preserve">, 2022 – </w:t>
      </w:r>
      <w:r w:rsidRPr="005A2FAB">
        <w:rPr>
          <w:sz w:val="22"/>
          <w:szCs w:val="22"/>
        </w:rPr>
        <w:t>Gemina Laboratories Ltd. (the “</w:t>
      </w:r>
      <w:r w:rsidRPr="005A2FAB">
        <w:rPr>
          <w:b/>
          <w:sz w:val="22"/>
          <w:szCs w:val="22"/>
        </w:rPr>
        <w:t>Company</w:t>
      </w:r>
      <w:r w:rsidRPr="005A2FAB">
        <w:rPr>
          <w:sz w:val="22"/>
          <w:szCs w:val="22"/>
        </w:rPr>
        <w:t>” or “</w:t>
      </w:r>
      <w:r w:rsidRPr="005A2FAB">
        <w:rPr>
          <w:b/>
          <w:sz w:val="22"/>
          <w:szCs w:val="22"/>
        </w:rPr>
        <w:t>Gemina</w:t>
      </w:r>
      <w:r w:rsidRPr="005A2FAB">
        <w:rPr>
          <w:sz w:val="22"/>
          <w:szCs w:val="22"/>
        </w:rPr>
        <w:t xml:space="preserve">”) (CSE: GLAB) (FRA: 8I7) is pleased to </w:t>
      </w:r>
      <w:r w:rsidRPr="005A2FAB">
        <w:rPr>
          <w:sz w:val="22"/>
          <w:szCs w:val="22"/>
          <w:lang w:val="en-US"/>
        </w:rPr>
        <w:t xml:space="preserve">announce that the Company has </w:t>
      </w:r>
      <w:r w:rsidRPr="005A2FAB">
        <w:rPr>
          <w:sz w:val="22"/>
          <w:szCs w:val="22"/>
        </w:rPr>
        <w:t>entered into an agency agreement dated June 23, 2022 (the "</w:t>
      </w:r>
      <w:r w:rsidRPr="005A2FAB">
        <w:rPr>
          <w:b/>
          <w:bCs/>
          <w:sz w:val="22"/>
          <w:szCs w:val="22"/>
        </w:rPr>
        <w:t>Agency Agreement</w:t>
      </w:r>
      <w:r w:rsidRPr="005A2FAB">
        <w:rPr>
          <w:sz w:val="22"/>
          <w:szCs w:val="22"/>
        </w:rPr>
        <w:t xml:space="preserve">") with </w:t>
      </w:r>
      <w:r w:rsidRPr="005A2FAB">
        <w:rPr>
          <w:bCs/>
          <w:sz w:val="22"/>
          <w:szCs w:val="22"/>
        </w:rPr>
        <w:t>Leede Jones Gable Inc.</w:t>
      </w:r>
      <w:r w:rsidRPr="005A2FAB" w:rsidDel="006D38CB">
        <w:rPr>
          <w:sz w:val="22"/>
          <w:szCs w:val="22"/>
        </w:rPr>
        <w:t xml:space="preserve"> </w:t>
      </w:r>
      <w:r w:rsidRPr="005A2FAB">
        <w:rPr>
          <w:sz w:val="22"/>
          <w:szCs w:val="22"/>
        </w:rPr>
        <w:t>(the "</w:t>
      </w:r>
      <w:r w:rsidRPr="005A2FAB">
        <w:rPr>
          <w:b/>
          <w:bCs/>
          <w:sz w:val="22"/>
          <w:szCs w:val="22"/>
        </w:rPr>
        <w:t>Agent</w:t>
      </w:r>
      <w:r w:rsidRPr="005A2FAB">
        <w:rPr>
          <w:sz w:val="22"/>
          <w:szCs w:val="22"/>
        </w:rPr>
        <w:t>"). Pursuant to the Agency Agreement, the Company proposes to complete a "commercially reasonable best efforts" offering</w:t>
      </w:r>
      <w:r>
        <w:rPr>
          <w:sz w:val="22"/>
          <w:szCs w:val="22"/>
        </w:rPr>
        <w:t xml:space="preserve"> by way of prospectus supplement to the Company’s base shelf prospectus dated January 10, 2022 (the “</w:t>
      </w:r>
      <w:r w:rsidRPr="005A2FAB">
        <w:rPr>
          <w:b/>
          <w:bCs/>
          <w:sz w:val="22"/>
          <w:szCs w:val="22"/>
        </w:rPr>
        <w:t>Offering</w:t>
      </w:r>
      <w:r>
        <w:rPr>
          <w:sz w:val="22"/>
          <w:szCs w:val="22"/>
        </w:rPr>
        <w:t>”).</w:t>
      </w:r>
      <w:r w:rsidRPr="005A2FAB">
        <w:rPr>
          <w:sz w:val="22"/>
          <w:szCs w:val="22"/>
        </w:rPr>
        <w:t xml:space="preserve"> </w:t>
      </w:r>
      <w:r>
        <w:rPr>
          <w:sz w:val="22"/>
          <w:szCs w:val="22"/>
        </w:rPr>
        <w:t xml:space="preserve">The Offering is comprised </w:t>
      </w:r>
      <w:r w:rsidRPr="005A2FAB">
        <w:rPr>
          <w:sz w:val="22"/>
          <w:szCs w:val="22"/>
        </w:rPr>
        <w:t>of</w:t>
      </w:r>
      <w:r>
        <w:rPr>
          <w:sz w:val="22"/>
          <w:szCs w:val="22"/>
        </w:rPr>
        <w:t xml:space="preserve"> up to</w:t>
      </w:r>
      <w:r w:rsidRPr="005A2FAB">
        <w:rPr>
          <w:sz w:val="22"/>
          <w:szCs w:val="22"/>
        </w:rPr>
        <w:t xml:space="preserve"> 8,334,000 units of the Company</w:t>
      </w:r>
      <w:r w:rsidRPr="005A2FAB">
        <w:rPr>
          <w:sz w:val="22"/>
          <w:szCs w:val="22"/>
          <w:lang w:val="en-US"/>
        </w:rPr>
        <w:t xml:space="preserve"> (“</w:t>
      </w:r>
      <w:r w:rsidRPr="005A2FAB">
        <w:rPr>
          <w:b/>
          <w:bCs/>
          <w:sz w:val="22"/>
          <w:szCs w:val="22"/>
          <w:lang w:val="en-US"/>
        </w:rPr>
        <w:t>Units</w:t>
      </w:r>
      <w:r w:rsidRPr="005A2FAB">
        <w:rPr>
          <w:sz w:val="22"/>
          <w:szCs w:val="22"/>
          <w:lang w:val="en-US"/>
        </w:rPr>
        <w:t>”) at a price of $0.60 per Unit (the “</w:t>
      </w:r>
      <w:r w:rsidRPr="005A2FAB">
        <w:rPr>
          <w:b/>
          <w:bCs/>
          <w:sz w:val="22"/>
          <w:szCs w:val="22"/>
          <w:lang w:val="en-US"/>
        </w:rPr>
        <w:t>Unit Price</w:t>
      </w:r>
      <w:r w:rsidRPr="005A2FAB">
        <w:rPr>
          <w:sz w:val="22"/>
          <w:szCs w:val="22"/>
          <w:lang w:val="en-US"/>
        </w:rPr>
        <w:t xml:space="preserve">”) for aggregate gross proceeds of </w:t>
      </w:r>
      <w:r>
        <w:rPr>
          <w:sz w:val="22"/>
          <w:szCs w:val="22"/>
          <w:lang w:val="en-US"/>
        </w:rPr>
        <w:t>up to $5,000,400 (the “</w:t>
      </w:r>
      <w:r w:rsidRPr="006C713F">
        <w:rPr>
          <w:b/>
          <w:bCs/>
          <w:sz w:val="22"/>
          <w:szCs w:val="22"/>
          <w:lang w:val="en-US"/>
        </w:rPr>
        <w:t>Financing</w:t>
      </w:r>
      <w:r>
        <w:rPr>
          <w:sz w:val="22"/>
          <w:szCs w:val="22"/>
          <w:lang w:val="en-US"/>
        </w:rPr>
        <w:t xml:space="preserve"> </w:t>
      </w:r>
      <w:r w:rsidRPr="006C713F">
        <w:rPr>
          <w:b/>
          <w:bCs/>
          <w:sz w:val="22"/>
          <w:szCs w:val="22"/>
          <w:lang w:val="en-US"/>
        </w:rPr>
        <w:t>Proceeds</w:t>
      </w:r>
      <w:r>
        <w:rPr>
          <w:sz w:val="22"/>
          <w:szCs w:val="22"/>
          <w:lang w:val="en-US"/>
        </w:rPr>
        <w:t>”). The Company has agreed to grant the Agent an option to increase the size of the Offering by up to 15% (the “</w:t>
      </w:r>
      <w:r w:rsidRPr="000E33DD">
        <w:rPr>
          <w:b/>
          <w:bCs/>
          <w:sz w:val="22"/>
          <w:szCs w:val="22"/>
          <w:lang w:val="en-US"/>
        </w:rPr>
        <w:t>Over-Allotment Option</w:t>
      </w:r>
      <w:r>
        <w:rPr>
          <w:sz w:val="22"/>
          <w:szCs w:val="22"/>
          <w:lang w:val="en-US"/>
        </w:rPr>
        <w:t>”), exercisable in whole or in part at any time for a period of 30 days after the closing date of the Offering (the “</w:t>
      </w:r>
      <w:r w:rsidRPr="006C713F">
        <w:rPr>
          <w:b/>
          <w:bCs/>
          <w:sz w:val="22"/>
          <w:szCs w:val="22"/>
          <w:lang w:val="en-US"/>
        </w:rPr>
        <w:t>Closing</w:t>
      </w:r>
      <w:r>
        <w:rPr>
          <w:sz w:val="22"/>
          <w:szCs w:val="22"/>
          <w:lang w:val="en-US"/>
        </w:rPr>
        <w:t xml:space="preserve"> </w:t>
      </w:r>
      <w:r w:rsidRPr="006C713F">
        <w:rPr>
          <w:b/>
          <w:bCs/>
          <w:sz w:val="22"/>
          <w:szCs w:val="22"/>
          <w:lang w:val="en-US"/>
        </w:rPr>
        <w:t>Date</w:t>
      </w:r>
      <w:r>
        <w:rPr>
          <w:sz w:val="22"/>
          <w:szCs w:val="22"/>
          <w:lang w:val="en-US"/>
        </w:rPr>
        <w:t>”).</w:t>
      </w:r>
    </w:p>
    <w:p w14:paraId="5A73A923" w14:textId="77777777" w:rsidR="008225EE" w:rsidRDefault="008225EE">
      <w:pPr>
        <w:tabs>
          <w:tab w:val="center" w:pos="4680"/>
          <w:tab w:val="left" w:pos="8370"/>
          <w:tab w:val="right" w:pos="9360"/>
        </w:tabs>
        <w:spacing w:before="240"/>
        <w:jc w:val="both"/>
        <w:rPr>
          <w:rFonts w:ascii="Calibri" w:hAnsi="Calibri" w:cs="Calibri"/>
          <w:sz w:val="22"/>
          <w:szCs w:val="22"/>
        </w:rPr>
      </w:pPr>
      <w:r>
        <w:rPr>
          <w:rFonts w:ascii="Calibri" w:hAnsi="Calibri" w:cs="Calibri"/>
          <w:sz w:val="22"/>
          <w:szCs w:val="22"/>
        </w:rPr>
        <w:t xml:space="preserve">Each Unit </w:t>
      </w:r>
      <w:r>
        <w:rPr>
          <w:rFonts w:ascii="Calibri" w:hAnsi="Calibri" w:cs="Calibri"/>
          <w:sz w:val="22"/>
          <w:szCs w:val="22"/>
          <w:lang w:val="en-US"/>
        </w:rPr>
        <w:t>will consist of one common share in the capital of Gemina (a “</w:t>
      </w:r>
      <w:r>
        <w:rPr>
          <w:rFonts w:ascii="Calibri" w:hAnsi="Calibri" w:cs="Calibri"/>
          <w:b/>
          <w:bCs/>
          <w:sz w:val="22"/>
          <w:szCs w:val="22"/>
          <w:lang w:val="en-US"/>
        </w:rPr>
        <w:t>Share</w:t>
      </w:r>
      <w:r>
        <w:rPr>
          <w:rFonts w:ascii="Calibri" w:hAnsi="Calibri" w:cs="Calibri"/>
          <w:sz w:val="22"/>
          <w:szCs w:val="22"/>
          <w:lang w:val="en-US"/>
        </w:rPr>
        <w:t xml:space="preserve">”) and </w:t>
      </w:r>
      <w:r w:rsidRPr="006C713F">
        <w:rPr>
          <w:rFonts w:ascii="Calibri" w:hAnsi="Calibri" w:cs="Calibri"/>
          <w:sz w:val="22"/>
          <w:szCs w:val="22"/>
          <w:lang w:val="en-US"/>
        </w:rPr>
        <w:t>one</w:t>
      </w:r>
      <w:r>
        <w:rPr>
          <w:rFonts w:ascii="Calibri" w:hAnsi="Calibri" w:cs="Calibri"/>
          <w:sz w:val="22"/>
          <w:szCs w:val="22"/>
          <w:lang w:val="en-US"/>
        </w:rPr>
        <w:t xml:space="preserve"> Share purchase warrant (a “</w:t>
      </w:r>
      <w:r>
        <w:rPr>
          <w:rFonts w:ascii="Calibri" w:hAnsi="Calibri" w:cs="Calibri"/>
          <w:b/>
          <w:sz w:val="22"/>
          <w:szCs w:val="22"/>
          <w:lang w:val="en-US"/>
        </w:rPr>
        <w:t>Warrant</w:t>
      </w:r>
      <w:r>
        <w:rPr>
          <w:rFonts w:ascii="Calibri" w:hAnsi="Calibri" w:cs="Calibri"/>
          <w:sz w:val="22"/>
          <w:szCs w:val="22"/>
          <w:lang w:val="en-US"/>
        </w:rPr>
        <w:t>”). Each Warrant will entitle the holder thereof to purchase one Share at a price equal to $</w:t>
      </w:r>
      <w:r>
        <w:rPr>
          <w:rFonts w:ascii="Calibri" w:hAnsi="Calibri" w:cs="Calibri"/>
          <w:sz w:val="22"/>
          <w:szCs w:val="22"/>
        </w:rPr>
        <w:t>0.80</w:t>
      </w:r>
      <w:r>
        <w:rPr>
          <w:rFonts w:ascii="Calibri" w:hAnsi="Calibri" w:cs="Calibri"/>
          <w:sz w:val="22"/>
          <w:szCs w:val="22"/>
          <w:lang w:val="en-US"/>
        </w:rPr>
        <w:t xml:space="preserve"> for a period of 60 months following the Closing Date, subject to acceleration in certain circumstances. The Company anticipates that the Warrants will be governed by a warrant indenture to be entered into between the Company and Computershare Trust Company of Canada, as warrant agent, on or before the Closing Date.</w:t>
      </w:r>
    </w:p>
    <w:p w14:paraId="222C8533" w14:textId="77777777" w:rsidR="008225EE" w:rsidRDefault="008225EE">
      <w:pPr>
        <w:tabs>
          <w:tab w:val="center" w:pos="4680"/>
          <w:tab w:val="left" w:pos="8370"/>
          <w:tab w:val="right" w:pos="9360"/>
        </w:tabs>
        <w:spacing w:before="240"/>
        <w:jc w:val="both"/>
        <w:rPr>
          <w:rFonts w:ascii="Calibri" w:hAnsi="Calibri" w:cs="Calibri"/>
          <w:sz w:val="22"/>
          <w:szCs w:val="22"/>
          <w:lang w:val="en-US"/>
        </w:rPr>
      </w:pPr>
      <w:r>
        <w:rPr>
          <w:rFonts w:ascii="Calibri" w:hAnsi="Calibri" w:cs="Calibri"/>
          <w:sz w:val="22"/>
          <w:szCs w:val="22"/>
          <w:lang w:val="en-US"/>
        </w:rPr>
        <w:t>In consideration for the Agent’s services with respect to the Offering, Gemina will (i) pay the Agent a cash fee of 7% of the aggregate gross proceeds of the Offering (including the Over-Allotment Option), payable on the Closing Date (and the closing of the Over-Allotment Option, if applicable), and (ii) issue warrants (the “</w:t>
      </w:r>
      <w:bookmarkStart w:id="0" w:name="_DV_M17"/>
      <w:bookmarkStart w:id="1" w:name="_Hlk58587028"/>
      <w:bookmarkEnd w:id="0"/>
      <w:r>
        <w:rPr>
          <w:rFonts w:ascii="Calibri" w:hAnsi="Calibri" w:cs="Calibri"/>
          <w:b/>
          <w:sz w:val="22"/>
          <w:szCs w:val="22"/>
          <w:lang w:val="en-US"/>
        </w:rPr>
        <w:t>Agent Compensation Warrants</w:t>
      </w:r>
      <w:bookmarkStart w:id="2" w:name="_DV_M18"/>
      <w:bookmarkEnd w:id="2"/>
      <w:r>
        <w:rPr>
          <w:rFonts w:ascii="Calibri" w:hAnsi="Calibri" w:cs="Calibri"/>
          <w:sz w:val="22"/>
          <w:szCs w:val="22"/>
          <w:lang w:val="en-US"/>
        </w:rPr>
        <w:t xml:space="preserve">”) to purchase that number of </w:t>
      </w:r>
      <w:bookmarkStart w:id="3" w:name="_DV_M19"/>
      <w:bookmarkEnd w:id="1"/>
      <w:bookmarkEnd w:id="3"/>
      <w:r>
        <w:rPr>
          <w:rFonts w:ascii="Calibri" w:hAnsi="Calibri" w:cs="Calibri"/>
          <w:sz w:val="22"/>
          <w:szCs w:val="22"/>
          <w:lang w:val="en-US"/>
        </w:rPr>
        <w:t>Shares of the Company equal to 7% of the aggregate number of Units sold pursuant to  the Offering, including the Over-Allotment Option. Each Agent Compensation Warrant will be exercisable to acquire one Share at the Unit Price for a period of 60 months following the Closing Date.</w:t>
      </w:r>
    </w:p>
    <w:p w14:paraId="20FEB512" w14:textId="77777777" w:rsidR="008225EE" w:rsidRDefault="008225EE">
      <w:pPr>
        <w:tabs>
          <w:tab w:val="center" w:pos="4680"/>
          <w:tab w:val="left" w:pos="8370"/>
          <w:tab w:val="right" w:pos="9360"/>
        </w:tabs>
        <w:spacing w:before="240"/>
        <w:jc w:val="both"/>
        <w:rPr>
          <w:rFonts w:ascii="Calibri" w:hAnsi="Calibri" w:cs="Calibri"/>
          <w:sz w:val="22"/>
          <w:szCs w:val="22"/>
          <w:lang w:val="en-US"/>
        </w:rPr>
      </w:pPr>
      <w:r>
        <w:rPr>
          <w:rFonts w:ascii="Calibri" w:hAnsi="Calibri" w:cs="Calibri"/>
          <w:sz w:val="22"/>
          <w:szCs w:val="22"/>
          <w:lang w:val="en-US"/>
        </w:rPr>
        <w:t xml:space="preserve">It is anticipated that the Financing Proceeds will be used by the Company to </w:t>
      </w:r>
      <w:r w:rsidRPr="00E07174">
        <w:rPr>
          <w:rFonts w:ascii="Calibri" w:hAnsi="Calibri" w:cs="Calibri"/>
          <w:sz w:val="22"/>
          <w:szCs w:val="22"/>
          <w:lang w:val="en-US"/>
        </w:rPr>
        <w:t>finance product development and potential strategic acquisitions, and for research and development, working capital and general corporate purposes</w:t>
      </w:r>
      <w:r>
        <w:rPr>
          <w:rFonts w:ascii="Calibri" w:hAnsi="Calibri" w:cs="Calibri"/>
          <w:sz w:val="22"/>
          <w:szCs w:val="22"/>
          <w:lang w:val="en-US"/>
        </w:rPr>
        <w:t xml:space="preserve">. The fees payable to the Agent and the Financing are subject to CSE approval. </w:t>
      </w:r>
    </w:p>
    <w:p w14:paraId="66752836" w14:textId="77777777" w:rsidR="008225EE" w:rsidRDefault="008225EE">
      <w:pPr>
        <w:tabs>
          <w:tab w:val="center" w:pos="4680"/>
          <w:tab w:val="left" w:pos="8370"/>
          <w:tab w:val="right" w:pos="9360"/>
        </w:tabs>
        <w:spacing w:before="240"/>
        <w:jc w:val="both"/>
        <w:rPr>
          <w:rFonts w:ascii="Calibri" w:hAnsi="Calibri" w:cs="Calibri"/>
          <w:sz w:val="22"/>
          <w:szCs w:val="22"/>
          <w:lang w:val="en-US"/>
        </w:rPr>
      </w:pPr>
      <w:r w:rsidRPr="003730F1">
        <w:rPr>
          <w:rFonts w:ascii="Calibri" w:hAnsi="Calibri" w:cs="Calibri"/>
          <w:sz w:val="22"/>
          <w:szCs w:val="22"/>
          <w:lang w:val="en-US"/>
        </w:rPr>
        <w:t>Concurrently with the Offering, the Company is conducting a non-brokered offering of up to a maximum of</w:t>
      </w:r>
      <w:r>
        <w:rPr>
          <w:rFonts w:ascii="Calibri" w:hAnsi="Calibri" w:cs="Calibri"/>
          <w:sz w:val="22"/>
          <w:szCs w:val="22"/>
          <w:lang w:val="en-US"/>
        </w:rPr>
        <w:t xml:space="preserve"> 1,666,667</w:t>
      </w:r>
      <w:r w:rsidRPr="003730F1">
        <w:rPr>
          <w:rFonts w:ascii="Calibri" w:hAnsi="Calibri" w:cs="Calibri"/>
          <w:sz w:val="22"/>
          <w:szCs w:val="22"/>
          <w:lang w:val="en-US"/>
        </w:rPr>
        <w:t xml:space="preserve"> Units at the </w:t>
      </w:r>
      <w:r>
        <w:rPr>
          <w:rFonts w:ascii="Calibri" w:hAnsi="Calibri" w:cs="Calibri"/>
          <w:sz w:val="22"/>
          <w:szCs w:val="22"/>
          <w:lang w:val="en-US"/>
        </w:rPr>
        <w:t>Unit</w:t>
      </w:r>
      <w:r w:rsidRPr="003730F1">
        <w:rPr>
          <w:rFonts w:ascii="Calibri" w:hAnsi="Calibri" w:cs="Calibri"/>
          <w:sz w:val="22"/>
          <w:szCs w:val="22"/>
          <w:lang w:val="en-US"/>
        </w:rPr>
        <w:t xml:space="preserve"> Price (the “</w:t>
      </w:r>
      <w:r w:rsidRPr="003730F1">
        <w:rPr>
          <w:rFonts w:ascii="Calibri" w:hAnsi="Calibri" w:cs="Calibri"/>
          <w:b/>
          <w:bCs/>
          <w:sz w:val="22"/>
          <w:szCs w:val="22"/>
          <w:lang w:val="en-US"/>
        </w:rPr>
        <w:t>Non-Brokered Private Placement</w:t>
      </w:r>
      <w:r w:rsidRPr="003730F1">
        <w:rPr>
          <w:rFonts w:ascii="Calibri" w:hAnsi="Calibri" w:cs="Calibri"/>
          <w:sz w:val="22"/>
          <w:szCs w:val="22"/>
          <w:lang w:val="en-US"/>
        </w:rPr>
        <w:t xml:space="preserve">”), which Non-Brokered Private Placement is expected to close on or around the Closing Date. The Units issued pursuant to the Non-Brokered Private Placement </w:t>
      </w:r>
      <w:r>
        <w:rPr>
          <w:rFonts w:ascii="Calibri" w:hAnsi="Calibri" w:cs="Calibri"/>
          <w:sz w:val="22"/>
          <w:szCs w:val="22"/>
          <w:lang w:val="en-US"/>
        </w:rPr>
        <w:t>will</w:t>
      </w:r>
      <w:r w:rsidRPr="003730F1">
        <w:rPr>
          <w:rFonts w:ascii="Calibri" w:hAnsi="Calibri" w:cs="Calibri"/>
          <w:sz w:val="22"/>
          <w:szCs w:val="22"/>
          <w:lang w:val="en-US"/>
        </w:rPr>
        <w:t xml:space="preserve"> not b</w:t>
      </w:r>
      <w:r>
        <w:rPr>
          <w:rFonts w:ascii="Calibri" w:hAnsi="Calibri" w:cs="Calibri"/>
          <w:sz w:val="22"/>
          <w:szCs w:val="22"/>
          <w:lang w:val="en-US"/>
        </w:rPr>
        <w:t>e</w:t>
      </w:r>
      <w:r w:rsidRPr="003730F1">
        <w:rPr>
          <w:rFonts w:ascii="Calibri" w:hAnsi="Calibri" w:cs="Calibri"/>
          <w:sz w:val="22"/>
          <w:szCs w:val="22"/>
          <w:lang w:val="en-US"/>
        </w:rPr>
        <w:t xml:space="preserve"> qualified for distribution </w:t>
      </w:r>
      <w:r>
        <w:rPr>
          <w:rFonts w:ascii="Calibri" w:hAnsi="Calibri" w:cs="Calibri"/>
          <w:sz w:val="22"/>
          <w:szCs w:val="22"/>
          <w:lang w:val="en-US"/>
        </w:rPr>
        <w:t>by the</w:t>
      </w:r>
      <w:r w:rsidRPr="003730F1">
        <w:rPr>
          <w:rFonts w:ascii="Calibri" w:hAnsi="Calibri" w:cs="Calibri"/>
          <w:sz w:val="22"/>
          <w:szCs w:val="22"/>
          <w:lang w:val="en-US"/>
        </w:rPr>
        <w:t xml:space="preserve"> Prospectus Supplement</w:t>
      </w:r>
      <w:r>
        <w:rPr>
          <w:rFonts w:ascii="Calibri" w:hAnsi="Calibri" w:cs="Calibri"/>
          <w:sz w:val="22"/>
          <w:szCs w:val="22"/>
          <w:lang w:val="en-US"/>
        </w:rPr>
        <w:t xml:space="preserve"> and will be subject to a four month hold period. It is anticipated that proceeds from the Non-Brokered Private Placement will be used by the Company for working capital and general corporate purposes.</w:t>
      </w:r>
    </w:p>
    <w:p w14:paraId="3794940E" w14:textId="77777777" w:rsidR="008225EE" w:rsidRDefault="008225EE">
      <w:pPr>
        <w:pStyle w:val="TextLeft"/>
        <w:spacing w:before="240" w:after="0" w:line="240" w:lineRule="auto"/>
        <w:rPr>
          <w:rFonts w:ascii="Calibri" w:hAnsi="Calibri" w:cs="Calibri"/>
          <w:sz w:val="22"/>
          <w:szCs w:val="22"/>
        </w:rPr>
      </w:pPr>
      <w:r>
        <w:rPr>
          <w:rFonts w:ascii="Calibri" w:hAnsi="Calibri" w:cs="Calibri"/>
          <w:sz w:val="22"/>
          <w:szCs w:val="22"/>
        </w:rPr>
        <w:t xml:space="preserve">On Behalf of the Board of Directors </w:t>
      </w:r>
    </w:p>
    <w:p w14:paraId="5A00C144" w14:textId="77777777" w:rsidR="008225EE" w:rsidRDefault="008225EE">
      <w:pPr>
        <w:pStyle w:val="TextLeft"/>
        <w:spacing w:before="240" w:after="0" w:line="240" w:lineRule="auto"/>
        <w:rPr>
          <w:rFonts w:ascii="Calibri" w:hAnsi="Calibri" w:cs="Calibri"/>
          <w:sz w:val="22"/>
          <w:szCs w:val="22"/>
        </w:rPr>
      </w:pPr>
      <w:r>
        <w:rPr>
          <w:rFonts w:ascii="Calibri" w:hAnsi="Calibri" w:cs="Calibri"/>
          <w:sz w:val="22"/>
          <w:szCs w:val="22"/>
        </w:rPr>
        <w:t xml:space="preserve">John Davies </w:t>
      </w:r>
    </w:p>
    <w:p w14:paraId="6A0321EC" w14:textId="77777777" w:rsidR="008225EE" w:rsidRDefault="008225EE">
      <w:pPr>
        <w:pStyle w:val="TextLeft"/>
        <w:spacing w:after="0" w:line="240" w:lineRule="auto"/>
        <w:rPr>
          <w:rFonts w:ascii="Calibri" w:hAnsi="Calibri" w:cs="Calibri"/>
          <w:sz w:val="22"/>
          <w:szCs w:val="22"/>
        </w:rPr>
      </w:pPr>
      <w:r>
        <w:rPr>
          <w:rFonts w:ascii="Calibri" w:hAnsi="Calibri" w:cs="Calibri"/>
          <w:sz w:val="22"/>
          <w:szCs w:val="22"/>
        </w:rPr>
        <w:t xml:space="preserve">CEO </w:t>
      </w:r>
    </w:p>
    <w:p w14:paraId="15393ADF" w14:textId="77777777" w:rsidR="008225EE" w:rsidRDefault="008225EE">
      <w:pPr>
        <w:pStyle w:val="TextLeft"/>
        <w:spacing w:after="0" w:line="240" w:lineRule="auto"/>
        <w:rPr>
          <w:rFonts w:ascii="Calibri" w:hAnsi="Calibri" w:cs="Calibri"/>
          <w:sz w:val="22"/>
          <w:szCs w:val="22"/>
        </w:rPr>
      </w:pPr>
      <w:r>
        <w:rPr>
          <w:rFonts w:ascii="Calibri" w:hAnsi="Calibri" w:cs="Calibri"/>
          <w:sz w:val="22"/>
          <w:szCs w:val="22"/>
        </w:rPr>
        <w:t>Gemina Laboratories Ltd.</w:t>
      </w:r>
    </w:p>
    <w:p w14:paraId="4F943236" w14:textId="77777777" w:rsidR="008225EE" w:rsidRDefault="008225EE">
      <w:pPr>
        <w:pStyle w:val="Subtitle"/>
        <w:keepNext w:val="0"/>
        <w:spacing w:before="240" w:after="0" w:line="240" w:lineRule="auto"/>
        <w:rPr>
          <w:rFonts w:ascii="Calibri" w:hAnsi="Calibri" w:cs="Calibri"/>
          <w:sz w:val="22"/>
          <w:szCs w:val="22"/>
          <w:u w:val="none"/>
        </w:rPr>
      </w:pPr>
      <w:r>
        <w:rPr>
          <w:rFonts w:ascii="Calibri" w:hAnsi="Calibri" w:cs="Calibri"/>
          <w:sz w:val="22"/>
          <w:szCs w:val="22"/>
          <w:u w:val="none"/>
        </w:rPr>
        <w:t xml:space="preserve">About Gemina Laboratories Ltd.  </w:t>
      </w:r>
    </w:p>
    <w:p w14:paraId="03571A1D" w14:textId="77777777" w:rsidR="008225EE" w:rsidRDefault="008225EE">
      <w:pPr>
        <w:pStyle w:val="TextLeft"/>
        <w:spacing w:before="240" w:after="0" w:line="240" w:lineRule="auto"/>
        <w:jc w:val="both"/>
        <w:rPr>
          <w:rFonts w:ascii="Calibri" w:hAnsi="Calibri" w:cs="Calibri"/>
          <w:sz w:val="22"/>
          <w:szCs w:val="22"/>
        </w:rPr>
      </w:pPr>
      <w:r>
        <w:rPr>
          <w:rFonts w:ascii="Calibri" w:hAnsi="Calibri" w:cs="Calibri"/>
          <w:sz w:val="22"/>
          <w:szCs w:val="22"/>
        </w:rPr>
        <w:lastRenderedPageBreak/>
        <w:t xml:space="preserve">Gemina Labs is a biosensor and diagnostic company with a transformative, patented, proprietary chemistry that powers </w:t>
      </w:r>
      <w:proofErr w:type="gramStart"/>
      <w:r>
        <w:rPr>
          <w:rFonts w:ascii="Calibri" w:hAnsi="Calibri" w:cs="Calibri"/>
          <w:sz w:val="22"/>
          <w:szCs w:val="22"/>
        </w:rPr>
        <w:t>next-generation</w:t>
      </w:r>
      <w:proofErr w:type="gramEnd"/>
      <w:r>
        <w:rPr>
          <w:rFonts w:ascii="Calibri" w:hAnsi="Calibri" w:cs="Calibri"/>
          <w:sz w:val="22"/>
          <w:szCs w:val="22"/>
        </w:rPr>
        <w:t xml:space="preserve"> testing platforms for a wide range of pathogens that affect human health and wellness. Our technology drives testing platforms that are fast, </w:t>
      </w:r>
      <w:proofErr w:type="gramStart"/>
      <w:r>
        <w:rPr>
          <w:rFonts w:ascii="Calibri" w:hAnsi="Calibri" w:cs="Calibri"/>
          <w:sz w:val="22"/>
          <w:szCs w:val="22"/>
        </w:rPr>
        <w:t>affordable</w:t>
      </w:r>
      <w:proofErr w:type="gramEnd"/>
      <w:r>
        <w:rPr>
          <w:rFonts w:ascii="Calibri" w:hAnsi="Calibri" w:cs="Calibri"/>
          <w:sz w:val="22"/>
          <w:szCs w:val="22"/>
        </w:rPr>
        <w:t xml:space="preserve"> and accurate, and easily self-administered. Our development pipeline includes platforms for the rapid testing of COVID-19, </w:t>
      </w:r>
      <w:proofErr w:type="gramStart"/>
      <w:r>
        <w:rPr>
          <w:rFonts w:ascii="Calibri" w:hAnsi="Calibri" w:cs="Calibri"/>
          <w:sz w:val="22"/>
          <w:szCs w:val="22"/>
        </w:rPr>
        <w:t>influenza</w:t>
      </w:r>
      <w:proofErr w:type="gramEnd"/>
      <w:r>
        <w:rPr>
          <w:rFonts w:ascii="Calibri" w:hAnsi="Calibri" w:cs="Calibri"/>
          <w:sz w:val="22"/>
          <w:szCs w:val="22"/>
        </w:rPr>
        <w:t xml:space="preserve"> and other viruses. Additional information on the Company can be found at www.geminalabs.com.  </w:t>
      </w:r>
    </w:p>
    <w:p w14:paraId="3F916B81" w14:textId="77777777" w:rsidR="008225EE" w:rsidRDefault="008225EE">
      <w:pPr>
        <w:autoSpaceDE w:val="0"/>
        <w:autoSpaceDN w:val="0"/>
        <w:adjustRightInd w:val="0"/>
        <w:spacing w:before="240"/>
        <w:jc w:val="both"/>
        <w:rPr>
          <w:rFonts w:ascii="Calibri" w:hAnsi="Calibri" w:cs="Calibri"/>
          <w:b/>
          <w:i/>
          <w:iCs/>
          <w:sz w:val="22"/>
          <w:szCs w:val="22"/>
        </w:rPr>
      </w:pPr>
      <w:r>
        <w:rPr>
          <w:rFonts w:ascii="Calibri" w:hAnsi="Calibri" w:cs="Calibri"/>
          <w:b/>
          <w:i/>
          <w:iCs/>
          <w:sz w:val="22"/>
          <w:szCs w:val="22"/>
        </w:rPr>
        <w:t xml:space="preserve">Neither the Canadian Securities Exchange nor its Market Regulator (as that term is defined in the policies of the Canadian Securities Exchange) accepts responsibility for the adequacy or accuracy of this Release.  </w:t>
      </w:r>
    </w:p>
    <w:p w14:paraId="48D60AB4" w14:textId="77777777" w:rsidR="008225EE" w:rsidRDefault="008225EE">
      <w:pPr>
        <w:pStyle w:val="SubtitleItalic"/>
        <w:spacing w:before="240" w:after="0" w:line="240" w:lineRule="auto"/>
        <w:rPr>
          <w:rFonts w:ascii="Calibri" w:hAnsi="Calibri" w:cs="Calibri"/>
          <w:i w:val="0"/>
          <w:sz w:val="22"/>
          <w:szCs w:val="22"/>
        </w:rPr>
      </w:pPr>
      <w:r>
        <w:rPr>
          <w:rFonts w:ascii="Calibri" w:hAnsi="Calibri" w:cs="Calibri"/>
          <w:i w:val="0"/>
          <w:sz w:val="22"/>
          <w:szCs w:val="22"/>
        </w:rPr>
        <w:t>Cautionary Statements Regarding Forward-Looking Information:</w:t>
      </w:r>
    </w:p>
    <w:p w14:paraId="5665893C" w14:textId="77777777" w:rsidR="008225EE" w:rsidRDefault="008225EE">
      <w:pPr>
        <w:pStyle w:val="Default"/>
        <w:spacing w:before="240"/>
        <w:jc w:val="both"/>
        <w:rPr>
          <w:i/>
          <w:iCs/>
          <w:sz w:val="22"/>
          <w:szCs w:val="22"/>
        </w:rPr>
      </w:pPr>
      <w:r>
        <w:rPr>
          <w:i/>
          <w:iCs/>
          <w:sz w:val="22"/>
          <w:szCs w:val="22"/>
        </w:rPr>
        <w:t>This news release contains forward-looking information within the meaning of Canadian securities laws. Such information includes, without limitation, information regarding the terms of the Offering</w:t>
      </w:r>
      <w:r w:rsidRPr="003730F1">
        <w:rPr>
          <w:i/>
          <w:iCs/>
          <w:sz w:val="22"/>
          <w:szCs w:val="22"/>
        </w:rPr>
        <w:t xml:space="preserve"> </w:t>
      </w:r>
      <w:r>
        <w:rPr>
          <w:i/>
          <w:iCs/>
          <w:sz w:val="22"/>
          <w:szCs w:val="22"/>
        </w:rPr>
        <w:t xml:space="preserve">and the Non-Brokered Private Placement and the intended use of proceeds from the Offering and the Non-Brokered Private Placement. Although Gemina believes that such information is reasonable, it can give no assurance that such expectations will prove to be correct. </w:t>
      </w:r>
    </w:p>
    <w:p w14:paraId="104EA794" w14:textId="77777777" w:rsidR="008225EE" w:rsidRDefault="008225EE">
      <w:pPr>
        <w:pStyle w:val="Default"/>
        <w:spacing w:before="240"/>
        <w:jc w:val="both"/>
        <w:rPr>
          <w:i/>
          <w:iCs/>
          <w:sz w:val="22"/>
          <w:szCs w:val="22"/>
        </w:rPr>
      </w:pPr>
      <w:r>
        <w:rPr>
          <w:i/>
          <w:iCs/>
          <w:sz w:val="22"/>
          <w:szCs w:val="22"/>
        </w:rPr>
        <w:t>Forward looking information is typically identified by words such as: “believe”, “expect”, “anticipate”, “intend”, “estimate”, “postulate” and similar expressions, or are those, which, by their nature, refer to future events. The Company cautions investors that any forward-looking information provided by the Company is not a guarantee of future results or performance and that such forward-looking information is based upon a number of estimates and assumptions of management in light of management’s experience and perception of trends, current conditions and expected developments, as well as other factors that management believes to be relevant and reasonable in the circumstances, as of the date of this news release including, without limitation, that the Offering and the Non-Brokered Private Placement will close and will do so on the proposed terms; that the Company will be able to utilize the Financing Proceeds and the proceeds from the Non-Brokered Private Placement in the manner intended; that general business and economic conditions will not change in a material adverse manner; that applicable regulatory approvals will be received; and assumptions regarding political and regulatory stability and stability in financial and capital markets.</w:t>
      </w:r>
    </w:p>
    <w:p w14:paraId="347F9802" w14:textId="77777777" w:rsidR="008225EE" w:rsidRDefault="008225EE">
      <w:pPr>
        <w:pStyle w:val="Default"/>
        <w:spacing w:before="240"/>
        <w:jc w:val="both"/>
        <w:rPr>
          <w:i/>
          <w:iCs/>
          <w:sz w:val="22"/>
          <w:szCs w:val="22"/>
        </w:rPr>
      </w:pPr>
      <w:r>
        <w:rPr>
          <w:i/>
          <w:iCs/>
          <w:sz w:val="22"/>
          <w:szCs w:val="22"/>
        </w:rPr>
        <w:t xml:space="preserve">Forward-looking statements involve known and unknown risks, uncertainties and other factors which may cause the actual results, </w:t>
      </w:r>
      <w:proofErr w:type="gramStart"/>
      <w:r>
        <w:rPr>
          <w:i/>
          <w:iCs/>
          <w:sz w:val="22"/>
          <w:szCs w:val="22"/>
        </w:rPr>
        <w:t>performance</w:t>
      </w:r>
      <w:proofErr w:type="gramEnd"/>
      <w:r>
        <w:rPr>
          <w:i/>
          <w:iCs/>
          <w:sz w:val="22"/>
          <w:szCs w:val="22"/>
        </w:rPr>
        <w:t xml:space="preserve"> or achievements of the Company to differ materially from any future results, performance or achievements expressed or implied by the forward-looking statements. Such risks and other factors include, among others: the risk that the Company may not complete the Offering or the Non-Brokered Private Placement; the risk that the Offering or the Non-Brokered Private Placement may not be completed on the anticipated terms; the risk that required regulatory approvals for the Offering and the Non-Brokered Private Placement are not obtained; the state of the financial markets for the Company’s securities; recent market volatility and potentially negative capital raising conditions resulting from the continued COVID-19 pandemic and risks relating to the extent and duration of such pandemic and its impact on global markets; the conflict in Eastern Europe; the Company’s ability to raise the necessary capital or to be fully able to implement its business strategies; and other risks and factors that the Company is unaware of at this time </w:t>
      </w:r>
    </w:p>
    <w:p w14:paraId="1DF743E5" w14:textId="77777777" w:rsidR="008225EE" w:rsidRDefault="008225EE">
      <w:pPr>
        <w:pStyle w:val="Default"/>
        <w:spacing w:before="240"/>
        <w:jc w:val="both"/>
        <w:rPr>
          <w:i/>
          <w:iCs/>
          <w:sz w:val="22"/>
          <w:szCs w:val="22"/>
        </w:rPr>
      </w:pPr>
      <w:r>
        <w:rPr>
          <w:i/>
          <w:iCs/>
          <w:sz w:val="22"/>
          <w:szCs w:val="22"/>
        </w:rPr>
        <w:t xml:space="preserve">The forward-looking statements contained in this news release are made as of the date of this news release. The Company disclaims any intention or obligation to update or revise any forward-looking statements, whether </w:t>
      </w:r>
      <w:proofErr w:type="gramStart"/>
      <w:r>
        <w:rPr>
          <w:i/>
          <w:iCs/>
          <w:sz w:val="22"/>
          <w:szCs w:val="22"/>
        </w:rPr>
        <w:t>as a result of</w:t>
      </w:r>
      <w:proofErr w:type="gramEnd"/>
      <w:r>
        <w:rPr>
          <w:i/>
          <w:iCs/>
          <w:sz w:val="22"/>
          <w:szCs w:val="22"/>
        </w:rPr>
        <w:t xml:space="preserve"> new information, future events or otherwise, except as required by law.</w:t>
      </w:r>
    </w:p>
    <w:p w14:paraId="31F46064" w14:textId="77777777" w:rsidR="008225EE" w:rsidRDefault="008225EE">
      <w:pPr>
        <w:pStyle w:val="Default"/>
        <w:spacing w:before="240"/>
        <w:jc w:val="both"/>
        <w:rPr>
          <w:b/>
          <w:bCs/>
          <w:iCs/>
          <w:sz w:val="22"/>
          <w:szCs w:val="22"/>
        </w:rPr>
      </w:pPr>
      <w:r>
        <w:rPr>
          <w:b/>
          <w:bCs/>
          <w:iCs/>
          <w:sz w:val="22"/>
          <w:szCs w:val="22"/>
        </w:rPr>
        <w:t>The securities referred to in this news release have not been, nor will they be, registered under the United States Securities Act of 1933, as amended, and may not be offered or sold within the United States or to, or for the account or benefit of, U.S. persons absent U.S. registration or an applicable exemption from the U.S. registration requirements.</w:t>
      </w:r>
    </w:p>
    <w:p w14:paraId="072298A6" w14:textId="77777777" w:rsidR="008225EE" w:rsidRDefault="008225EE">
      <w:pPr>
        <w:pStyle w:val="Default"/>
        <w:spacing w:before="240"/>
        <w:jc w:val="both"/>
        <w:rPr>
          <w:b/>
          <w:bCs/>
          <w:iCs/>
          <w:sz w:val="22"/>
          <w:szCs w:val="22"/>
        </w:rPr>
      </w:pPr>
      <w:r>
        <w:rPr>
          <w:b/>
          <w:bCs/>
          <w:iCs/>
          <w:sz w:val="22"/>
          <w:szCs w:val="22"/>
        </w:rPr>
        <w:lastRenderedPageBreak/>
        <w:t xml:space="preserve">This news release does not constitute an offer for sale of securities, nor a solicitation for offers to buy any securities.  </w:t>
      </w:r>
    </w:p>
    <w:p w14:paraId="5546D43F" w14:textId="77777777" w:rsidR="008225EE" w:rsidRDefault="008225EE">
      <w:pPr>
        <w:pStyle w:val="Default"/>
        <w:spacing w:before="240"/>
        <w:jc w:val="both"/>
        <w:rPr>
          <w:iCs/>
          <w:sz w:val="22"/>
          <w:szCs w:val="22"/>
        </w:rPr>
      </w:pPr>
      <w:r>
        <w:rPr>
          <w:iCs/>
          <w:sz w:val="22"/>
          <w:szCs w:val="22"/>
        </w:rPr>
        <w:t xml:space="preserve">For more information regrading the Company, please contact: </w:t>
      </w:r>
    </w:p>
    <w:p w14:paraId="19495AB8" w14:textId="77777777" w:rsidR="008225EE" w:rsidRDefault="008225EE">
      <w:pPr>
        <w:pStyle w:val="Default"/>
        <w:spacing w:before="240"/>
        <w:rPr>
          <w:iCs/>
          <w:sz w:val="22"/>
          <w:szCs w:val="22"/>
        </w:rPr>
      </w:pPr>
      <w:r>
        <w:rPr>
          <w:iCs/>
          <w:sz w:val="22"/>
          <w:szCs w:val="22"/>
        </w:rPr>
        <w:t xml:space="preserve">James Tansey </w:t>
      </w:r>
      <w:r>
        <w:rPr>
          <w:iCs/>
          <w:sz w:val="22"/>
          <w:szCs w:val="22"/>
        </w:rPr>
        <w:br/>
        <w:t xml:space="preserve">Telephone: 604-562-4546 </w:t>
      </w:r>
      <w:r>
        <w:rPr>
          <w:iCs/>
          <w:sz w:val="22"/>
          <w:szCs w:val="22"/>
        </w:rPr>
        <w:br/>
        <w:t xml:space="preserve">Email: </w:t>
      </w:r>
      <w:hyperlink r:id="rId11" w:history="1">
        <w:r>
          <w:rPr>
            <w:rStyle w:val="Hyperlink"/>
            <w:iCs/>
            <w:sz w:val="22"/>
            <w:szCs w:val="22"/>
          </w:rPr>
          <w:t>investor@geminalabs.com</w:t>
        </w:r>
      </w:hyperlink>
      <w:r>
        <w:rPr>
          <w:iCs/>
          <w:sz w:val="22"/>
          <w:szCs w:val="22"/>
        </w:rPr>
        <w:t xml:space="preserve"> </w:t>
      </w:r>
    </w:p>
    <w:sectPr w:rsidR="008225EE">
      <w:headerReference w:type="even" r:id="rId12"/>
      <w:headerReference w:type="default" r:id="rId13"/>
      <w:footerReference w:type="even" r:id="rId14"/>
      <w:footerReference w:type="default" r:id="rId15"/>
      <w:headerReference w:type="first" r:id="rId16"/>
      <w:footerReference w:type="first" r:id="rId17"/>
      <w:pgSz w:w="12240" w:h="15840" w:code="1"/>
      <w:pgMar w:top="992" w:right="1077" w:bottom="990" w:left="1077" w:header="720"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18D8" w14:textId="77777777" w:rsidR="007F56AC" w:rsidRDefault="007F56AC">
      <w:r>
        <w:separator/>
      </w:r>
    </w:p>
  </w:endnote>
  <w:endnote w:type="continuationSeparator" w:id="0">
    <w:p w14:paraId="1EAABFBB" w14:textId="77777777" w:rsidR="007F56AC" w:rsidRDefault="007F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5D9" w14:textId="77777777" w:rsidR="008225EE" w:rsidRDefault="00822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0089" w14:textId="77777777" w:rsidR="008225EE" w:rsidRDefault="008225EE">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4929" w14:textId="77777777" w:rsidR="008225EE" w:rsidRDefault="008225E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090B" w14:textId="77777777" w:rsidR="007F56AC" w:rsidRDefault="007F56AC">
      <w:pPr>
        <w:rPr>
          <w:noProof/>
        </w:rPr>
      </w:pPr>
      <w:r>
        <w:rPr>
          <w:noProof/>
        </w:rPr>
        <w:separator/>
      </w:r>
    </w:p>
  </w:footnote>
  <w:footnote w:type="continuationSeparator" w:id="0">
    <w:p w14:paraId="0BEBF42F" w14:textId="77777777" w:rsidR="007F56AC" w:rsidRDefault="007F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0190" w14:textId="77777777" w:rsidR="008225EE" w:rsidRDefault="00822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34FF" w14:textId="77777777" w:rsidR="008225EE" w:rsidRDefault="008225EE">
    <w:pPr>
      <w:pStyle w:val="Header"/>
      <w:jc w:val="center"/>
    </w:pPr>
    <w:r>
      <w:t xml:space="preserve">- </w:t>
    </w:r>
    <w:r>
      <w:fldChar w:fldCharType="begin"/>
    </w:r>
    <w:r>
      <w:instrText xml:space="preserve"> PAGE   \* MERGEFORMAT </w:instrText>
    </w:r>
    <w:r>
      <w:fldChar w:fldCharType="separate"/>
    </w:r>
    <w:r>
      <w:rPr>
        <w:noProof/>
      </w:rPr>
      <w:t>5</w:t>
    </w:r>
    <w:r>
      <w:rPr>
        <w:noProof/>
      </w:rPr>
      <w:fldChar w:fldCharType="end"/>
    </w:r>
    <w:r>
      <w:rPr>
        <w:noProof/>
      </w:rPr>
      <w:t xml:space="preserve"> -</w:t>
    </w:r>
  </w:p>
  <w:p w14:paraId="0FD3F7C7" w14:textId="77777777" w:rsidR="008225EE" w:rsidRDefault="008225E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0EF4" w14:textId="77777777" w:rsidR="008225EE" w:rsidRDefault="008225EE">
    <w:pPr>
      <w:pStyle w:val="Header"/>
      <w:jc w:val="center"/>
    </w:pPr>
  </w:p>
  <w:p w14:paraId="3C769A08" w14:textId="77777777" w:rsidR="008225EE" w:rsidRDefault="00822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A7C9C4E"/>
    <w:lvl w:ilvl="0">
      <w:start w:val="1"/>
      <w:numFmt w:val="decimal"/>
      <w:pStyle w:val="ListNumber3"/>
      <w:lvlText w:val="%1."/>
      <w:lvlJc w:val="left"/>
      <w:pPr>
        <w:tabs>
          <w:tab w:val="num" w:pos="1080"/>
        </w:tabs>
        <w:ind w:left="1080" w:hanging="360"/>
      </w:pPr>
    </w:lvl>
  </w:abstractNum>
  <w:abstractNum w:abstractNumId="1" w15:restartNumberingAfterBreak="0">
    <w:nsid w:val="FFFFFF89"/>
    <w:multiLevelType w:val="singleLevel"/>
    <w:tmpl w:val="9B1850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FB49F7"/>
    <w:multiLevelType w:val="hybridMultilevel"/>
    <w:tmpl w:val="BF82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A49E0"/>
    <w:multiLevelType w:val="hybridMultilevel"/>
    <w:tmpl w:val="D4CE8908"/>
    <w:lvl w:ilvl="0" w:tplc="8AD6C14A">
      <w:start w:val="1"/>
      <w:numFmt w:val="lowerLetter"/>
      <w:lvlText w:val="(%1)"/>
      <w:lvlJc w:val="left"/>
      <w:pPr>
        <w:ind w:left="780" w:hanging="4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6B0614"/>
    <w:multiLevelType w:val="hybridMultilevel"/>
    <w:tmpl w:val="D6DEA0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F02DDC"/>
    <w:multiLevelType w:val="hybridMultilevel"/>
    <w:tmpl w:val="3D84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70762"/>
    <w:multiLevelType w:val="multilevel"/>
    <w:tmpl w:val="11A080EA"/>
    <w:lvl w:ilvl="0">
      <w:start w:val="1"/>
      <w:numFmt w:val="decimal"/>
      <w:pStyle w:val="SchLML1"/>
      <w:lvlText w:val="%1."/>
      <w:lvlJc w:val="left"/>
      <w:pPr>
        <w:tabs>
          <w:tab w:val="num" w:pos="720"/>
        </w:tabs>
        <w:ind w:left="720" w:hanging="720"/>
      </w:pPr>
      <w:rPr>
        <w:rFonts w:hint="default"/>
      </w:rPr>
    </w:lvl>
    <w:lvl w:ilvl="1">
      <w:start w:val="1"/>
      <w:numFmt w:val="lowerLetter"/>
      <w:pStyle w:val="SchLML2"/>
      <w:lvlText w:val="(%2)"/>
      <w:lvlJc w:val="left"/>
      <w:pPr>
        <w:tabs>
          <w:tab w:val="num" w:pos="1440"/>
        </w:tabs>
        <w:ind w:left="1440" w:hanging="720"/>
      </w:pPr>
      <w:rPr>
        <w:rFonts w:hint="default"/>
      </w:rPr>
    </w:lvl>
    <w:lvl w:ilvl="2">
      <w:start w:val="1"/>
      <w:numFmt w:val="lowerRoman"/>
      <w:pStyle w:val="SchLML3"/>
      <w:lvlText w:val="(%3)"/>
      <w:lvlJc w:val="left"/>
      <w:pPr>
        <w:tabs>
          <w:tab w:val="num" w:pos="2160"/>
        </w:tabs>
        <w:ind w:left="2160" w:hanging="720"/>
      </w:pPr>
      <w:rPr>
        <w:rFonts w:hint="default"/>
      </w:rPr>
    </w:lvl>
    <w:lvl w:ilvl="3">
      <w:start w:val="1"/>
      <w:numFmt w:val="decimal"/>
      <w:pStyle w:val="SchLML4"/>
      <w:lvlText w:val="%4)"/>
      <w:lvlJc w:val="left"/>
      <w:pPr>
        <w:tabs>
          <w:tab w:val="num" w:pos="2880"/>
        </w:tabs>
        <w:ind w:left="2880" w:hanging="720"/>
      </w:pPr>
      <w:rPr>
        <w:rFonts w:hint="default"/>
      </w:rPr>
    </w:lvl>
    <w:lvl w:ilvl="4">
      <w:start w:val="1"/>
      <w:numFmt w:val="lowerLetter"/>
      <w:pStyle w:val="SchLML5"/>
      <w:lvlText w:val="%5)"/>
      <w:lvlJc w:val="left"/>
      <w:pPr>
        <w:tabs>
          <w:tab w:val="num" w:pos="3600"/>
        </w:tabs>
        <w:ind w:left="3600" w:hanging="720"/>
      </w:pPr>
      <w:rPr>
        <w:rFonts w:hint="default"/>
      </w:rPr>
    </w:lvl>
    <w:lvl w:ilvl="5">
      <w:start w:val="1"/>
      <w:numFmt w:val="lowerRoman"/>
      <w:pStyle w:val="SchLML6"/>
      <w:lvlText w:val="%6)"/>
      <w:lvlJc w:val="left"/>
      <w:pPr>
        <w:tabs>
          <w:tab w:val="num" w:pos="4320"/>
        </w:tabs>
        <w:ind w:left="4320" w:hanging="720"/>
      </w:pPr>
      <w:rPr>
        <w:rFonts w:hint="default"/>
      </w:rPr>
    </w:lvl>
    <w:lvl w:ilvl="6">
      <w:start w:val="1"/>
      <w:numFmt w:val="decimal"/>
      <w:pStyle w:val="SchLML7"/>
      <w:lvlText w:val="%7."/>
      <w:lvlJc w:val="left"/>
      <w:pPr>
        <w:tabs>
          <w:tab w:val="num" w:pos="5040"/>
        </w:tabs>
        <w:ind w:left="5040" w:hanging="720"/>
      </w:pPr>
      <w:rPr>
        <w:rFonts w:hint="default"/>
      </w:rPr>
    </w:lvl>
    <w:lvl w:ilvl="7">
      <w:start w:val="1"/>
      <w:numFmt w:val="lowerLetter"/>
      <w:pStyle w:val="SchLML8"/>
      <w:lvlText w:val="%8."/>
      <w:lvlJc w:val="left"/>
      <w:pPr>
        <w:tabs>
          <w:tab w:val="num" w:pos="5760"/>
        </w:tabs>
        <w:ind w:left="5760" w:hanging="720"/>
      </w:pPr>
      <w:rPr>
        <w:rFonts w:hint="default"/>
      </w:rPr>
    </w:lvl>
    <w:lvl w:ilvl="8">
      <w:start w:val="1"/>
      <w:numFmt w:val="lowerRoman"/>
      <w:pStyle w:val="SchLML9"/>
      <w:lvlText w:val="%9."/>
      <w:lvlJc w:val="left"/>
      <w:pPr>
        <w:tabs>
          <w:tab w:val="num" w:pos="6480"/>
        </w:tabs>
        <w:ind w:left="6480" w:hanging="720"/>
      </w:pPr>
      <w:rPr>
        <w:rFonts w:hint="default"/>
      </w:rPr>
    </w:lvl>
  </w:abstractNum>
  <w:abstractNum w:abstractNumId="7" w15:restartNumberingAfterBreak="0">
    <w:nsid w:val="43F4289F"/>
    <w:multiLevelType w:val="hybridMultilevel"/>
    <w:tmpl w:val="3254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223F7"/>
    <w:multiLevelType w:val="multilevel"/>
    <w:tmpl w:val="203603C6"/>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sz w:val="24"/>
      </w:rPr>
    </w:lvl>
    <w:lvl w:ilvl="1">
      <w:start w:val="1"/>
      <w:numFmt w:val="bullet"/>
      <w:pStyle w:val="Bullet2"/>
      <w:lvlText w:val=""/>
      <w:lvlJc w:val="left"/>
      <w:pPr>
        <w:tabs>
          <w:tab w:val="num" w:pos="1440"/>
        </w:tabs>
        <w:ind w:left="1440" w:hanging="720"/>
      </w:pPr>
      <w:rPr>
        <w:rFonts w:ascii="Symbol" w:hAnsi="Symbol" w:hint="default"/>
        <w:b w:val="0"/>
        <w:i w:val="0"/>
        <w:sz w:val="24"/>
      </w:rPr>
    </w:lvl>
    <w:lvl w:ilvl="2">
      <w:start w:val="1"/>
      <w:numFmt w:val="bullet"/>
      <w:pStyle w:val="Bullet3"/>
      <w:lvlText w:val=""/>
      <w:lvlJc w:val="left"/>
      <w:pPr>
        <w:tabs>
          <w:tab w:val="num" w:pos="2160"/>
        </w:tabs>
        <w:ind w:left="2160" w:hanging="720"/>
      </w:pPr>
      <w:rPr>
        <w:rFonts w:ascii="Symbol" w:hAnsi="Symbol" w:hint="default"/>
        <w:b w:val="0"/>
        <w:i w:val="0"/>
        <w:sz w:val="24"/>
      </w:rPr>
    </w:lvl>
    <w:lvl w:ilvl="3">
      <w:start w:val="1"/>
      <w:numFmt w:val="bullet"/>
      <w:pStyle w:val="Bullet4"/>
      <w:lvlText w:val=""/>
      <w:lvlJc w:val="left"/>
      <w:pPr>
        <w:tabs>
          <w:tab w:val="num" w:pos="2880"/>
        </w:tabs>
        <w:ind w:left="2880" w:hanging="720"/>
      </w:pPr>
      <w:rPr>
        <w:rFonts w:ascii="Symbol" w:hAnsi="Symbol" w:hint="default"/>
        <w:b w:val="0"/>
        <w:i w:val="0"/>
        <w:sz w:val="24"/>
      </w:rPr>
    </w:lvl>
    <w:lvl w:ilvl="4">
      <w:start w:val="1"/>
      <w:numFmt w:val="bullet"/>
      <w:pStyle w:val="Bullet5"/>
      <w:lvlText w:val=""/>
      <w:lvlJc w:val="left"/>
      <w:pPr>
        <w:tabs>
          <w:tab w:val="num" w:pos="3600"/>
        </w:tabs>
        <w:ind w:left="3600" w:hanging="720"/>
      </w:pPr>
      <w:rPr>
        <w:rFonts w:ascii="Symbol" w:hAnsi="Symbol" w:hint="default"/>
        <w:b w:val="0"/>
        <w:i w:val="0"/>
        <w:sz w:val="24"/>
      </w:rPr>
    </w:lvl>
    <w:lvl w:ilvl="5">
      <w:start w:val="1"/>
      <w:numFmt w:val="bullet"/>
      <w:pStyle w:val="Bullet6"/>
      <w:lvlText w:val=""/>
      <w:lvlJc w:val="left"/>
      <w:pPr>
        <w:tabs>
          <w:tab w:val="num" w:pos="4320"/>
        </w:tabs>
        <w:ind w:left="4320" w:hanging="720"/>
      </w:pPr>
      <w:rPr>
        <w:rFonts w:ascii="Symbol" w:hAnsi="Symbol" w:hint="default"/>
        <w:b w:val="0"/>
        <w:i w:val="0"/>
        <w:sz w:val="24"/>
      </w:rPr>
    </w:lvl>
    <w:lvl w:ilvl="6">
      <w:start w:val="1"/>
      <w:numFmt w:val="bullet"/>
      <w:pStyle w:val="Bullet7"/>
      <w:lvlText w:val=""/>
      <w:lvlJc w:val="left"/>
      <w:pPr>
        <w:tabs>
          <w:tab w:val="num" w:pos="5040"/>
        </w:tabs>
        <w:ind w:left="5040" w:hanging="720"/>
      </w:pPr>
      <w:rPr>
        <w:rFonts w:ascii="Symbol" w:hAnsi="Symbol" w:hint="default"/>
        <w:b w:val="0"/>
        <w:i w:val="0"/>
        <w:sz w:val="24"/>
      </w:rPr>
    </w:lvl>
    <w:lvl w:ilvl="7">
      <w:start w:val="1"/>
      <w:numFmt w:val="bullet"/>
      <w:pStyle w:val="Bullet8"/>
      <w:lvlText w:val=""/>
      <w:lvlJc w:val="left"/>
      <w:pPr>
        <w:tabs>
          <w:tab w:val="num" w:pos="5760"/>
        </w:tabs>
        <w:ind w:left="5760" w:hanging="720"/>
      </w:pPr>
      <w:rPr>
        <w:rFonts w:ascii="Symbol" w:hAnsi="Symbol" w:hint="default"/>
        <w:b w:val="0"/>
        <w:i w:val="0"/>
        <w:sz w:val="24"/>
      </w:rPr>
    </w:lvl>
    <w:lvl w:ilvl="8">
      <w:start w:val="1"/>
      <w:numFmt w:val="bullet"/>
      <w:pStyle w:val="Bullet9"/>
      <w:lvlText w:val=""/>
      <w:lvlJc w:val="left"/>
      <w:pPr>
        <w:tabs>
          <w:tab w:val="num" w:pos="6480"/>
        </w:tabs>
        <w:ind w:left="6480" w:hanging="720"/>
      </w:pPr>
      <w:rPr>
        <w:rFonts w:ascii="Symbol" w:hAnsi="Symbol" w:hint="default"/>
        <w:b w:val="0"/>
        <w:i w:val="0"/>
        <w:sz w:val="24"/>
      </w:rPr>
    </w:lvl>
  </w:abstractNum>
  <w:abstractNum w:abstractNumId="9" w15:restartNumberingAfterBreak="0">
    <w:nsid w:val="61A54DC5"/>
    <w:multiLevelType w:val="hybridMultilevel"/>
    <w:tmpl w:val="831E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F547D"/>
    <w:multiLevelType w:val="hybridMultilevel"/>
    <w:tmpl w:val="1898C7DE"/>
    <w:lvl w:ilvl="0" w:tplc="6D5029E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2701C8"/>
    <w:multiLevelType w:val="multilevel"/>
    <w:tmpl w:val="EC9A7BD6"/>
    <w:styleLink w:val="z-listHeading"/>
    <w:lvl w:ilvl="0">
      <w:start w:val="1"/>
      <w:numFmt w:val="decimal"/>
      <w:lvlRestart w:val="0"/>
      <w:pStyle w:val="Heading1"/>
      <w:lvlText w:val="%1."/>
      <w:lvlJc w:val="left"/>
      <w:pPr>
        <w:tabs>
          <w:tab w:val="num" w:pos="720"/>
        </w:tabs>
        <w:ind w:left="720" w:hanging="720"/>
      </w:pPr>
      <w:rPr>
        <w:b/>
        <w:i w:val="0"/>
        <w:u w:val="none"/>
      </w:rPr>
    </w:lvl>
    <w:lvl w:ilvl="1">
      <w:start w:val="1"/>
      <w:numFmt w:val="decimal"/>
      <w:pStyle w:val="Heading2"/>
      <w:isLgl/>
      <w:lvlText w:val="%1.%2"/>
      <w:lvlJc w:val="left"/>
      <w:pPr>
        <w:tabs>
          <w:tab w:val="num" w:pos="1440"/>
        </w:tabs>
        <w:ind w:left="0" w:firstLine="0"/>
      </w:pPr>
      <w:rPr>
        <w:b w:val="0"/>
        <w:i w:val="0"/>
        <w:u w:val="none"/>
      </w:rPr>
    </w:lvl>
    <w:lvl w:ilvl="2">
      <w:start w:val="1"/>
      <w:numFmt w:val="lowerLetter"/>
      <w:pStyle w:val="Heading3"/>
      <w:lvlText w:val="(%3)"/>
      <w:lvlJc w:val="left"/>
      <w:pPr>
        <w:tabs>
          <w:tab w:val="num" w:pos="1440"/>
        </w:tabs>
        <w:ind w:left="1440" w:hanging="720"/>
      </w:pPr>
      <w:rPr>
        <w:b w:val="0"/>
        <w:i w:val="0"/>
        <w:u w:val="none"/>
      </w:rPr>
    </w:lvl>
    <w:lvl w:ilvl="3">
      <w:start w:val="1"/>
      <w:numFmt w:val="lowerRoman"/>
      <w:pStyle w:val="Heading4"/>
      <w:lvlText w:val="(%4)"/>
      <w:lvlJc w:val="left"/>
      <w:pPr>
        <w:tabs>
          <w:tab w:val="num" w:pos="2160"/>
        </w:tabs>
        <w:ind w:left="2160" w:hanging="720"/>
      </w:pPr>
      <w:rPr>
        <w:b w:val="0"/>
        <w:i w:val="0"/>
        <w:u w:val="none"/>
      </w:rPr>
    </w:lvl>
    <w:lvl w:ilvl="4">
      <w:start w:val="1"/>
      <w:numFmt w:val="upperLetter"/>
      <w:pStyle w:val="Heading5"/>
      <w:lvlText w:val="(%5)"/>
      <w:lvlJc w:val="left"/>
      <w:pPr>
        <w:tabs>
          <w:tab w:val="num" w:pos="2880"/>
        </w:tabs>
        <w:ind w:left="2880" w:hanging="720"/>
      </w:pPr>
      <w:rPr>
        <w:b w:val="0"/>
        <w:i w:val="0"/>
        <w:u w:val="none"/>
      </w:rPr>
    </w:lvl>
    <w:lvl w:ilvl="5">
      <w:start w:val="1"/>
      <w:numFmt w:val="decimal"/>
      <w:pStyle w:val="Heading6"/>
      <w:lvlText w:val="(%6)"/>
      <w:lvlJc w:val="left"/>
      <w:pPr>
        <w:tabs>
          <w:tab w:val="num" w:pos="3600"/>
        </w:tabs>
        <w:ind w:left="3600" w:hanging="720"/>
      </w:pPr>
      <w:rPr>
        <w:b w:val="0"/>
        <w:i w:val="0"/>
        <w:u w:val="none"/>
      </w:rPr>
    </w:lvl>
    <w:lvl w:ilvl="6">
      <w:start w:val="1"/>
      <w:numFmt w:val="lowerLetter"/>
      <w:pStyle w:val="Heading7"/>
      <w:lvlText w:val="%7."/>
      <w:lvlJc w:val="left"/>
      <w:pPr>
        <w:tabs>
          <w:tab w:val="num" w:pos="4320"/>
        </w:tabs>
        <w:ind w:left="4320" w:hanging="720"/>
      </w:pPr>
      <w:rPr>
        <w:b w:val="0"/>
        <w:i w:val="0"/>
        <w:u w:val="none"/>
      </w:rPr>
    </w:lvl>
    <w:lvl w:ilvl="7">
      <w:start w:val="1"/>
      <w:numFmt w:val="lowerRoman"/>
      <w:pStyle w:val="Heading8"/>
      <w:lvlText w:val="%8."/>
      <w:lvlJc w:val="left"/>
      <w:pPr>
        <w:tabs>
          <w:tab w:val="num" w:pos="5040"/>
        </w:tabs>
        <w:ind w:left="5040" w:hanging="720"/>
      </w:pPr>
      <w:rPr>
        <w:b w:val="0"/>
        <w:i w:val="0"/>
        <w:u w:val="none"/>
      </w:rPr>
    </w:lvl>
    <w:lvl w:ilvl="8">
      <w:start w:val="1"/>
      <w:numFmt w:val="upperLetter"/>
      <w:pStyle w:val="Heading9"/>
      <w:lvlText w:val="%9."/>
      <w:lvlJc w:val="left"/>
      <w:pPr>
        <w:tabs>
          <w:tab w:val="num" w:pos="5760"/>
        </w:tabs>
        <w:ind w:left="5760" w:hanging="720"/>
      </w:pPr>
      <w:rPr>
        <w:b w:val="0"/>
        <w:i w:val="0"/>
        <w:u w:val="none"/>
      </w:rPr>
    </w:lvl>
  </w:abstractNum>
  <w:abstractNum w:abstractNumId="12" w15:restartNumberingAfterBreak="0">
    <w:nsid w:val="7420521F"/>
    <w:multiLevelType w:val="multilevel"/>
    <w:tmpl w:val="D0F01BFC"/>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upperRoman"/>
      <w:lvlText w:val="(%5)"/>
      <w:lvlJc w:val="left"/>
      <w:pPr>
        <w:tabs>
          <w:tab w:val="num" w:pos="3600"/>
        </w:tabs>
        <w:ind w:left="3600" w:hanging="720"/>
      </w:pPr>
      <w:rPr>
        <w:u w:val="none"/>
      </w:rPr>
    </w:lvl>
    <w:lvl w:ilvl="5">
      <w:start w:val="1"/>
      <w:numFmt w:val="decimal"/>
      <w:lvlText w:val="(%6)"/>
      <w:lvlJc w:val="left"/>
      <w:pPr>
        <w:tabs>
          <w:tab w:val="num" w:pos="4320"/>
        </w:tabs>
        <w:ind w:left="4320" w:hanging="720"/>
      </w:pPr>
      <w:rPr>
        <w:u w:val="none"/>
      </w:rPr>
    </w:lvl>
    <w:lvl w:ilvl="6">
      <w:start w:val="1"/>
      <w:numFmt w:val="upperLetter"/>
      <w:lvlText w:val="(%7)"/>
      <w:lvlJc w:val="left"/>
      <w:pPr>
        <w:tabs>
          <w:tab w:val="num" w:pos="2880"/>
        </w:tabs>
        <w:ind w:left="2880" w:hanging="720"/>
      </w:pPr>
      <w:rPr>
        <w:u w:val="none"/>
      </w:rPr>
    </w:lvl>
    <w:lvl w:ilvl="7">
      <w:start w:val="1"/>
      <w:numFmt w:val="upperRoman"/>
      <w:lvlText w:val="(%8)"/>
      <w:lvlJc w:val="left"/>
      <w:pPr>
        <w:tabs>
          <w:tab w:val="num" w:pos="3600"/>
        </w:tabs>
        <w:ind w:left="3600" w:hanging="720"/>
      </w:pPr>
      <w:rPr>
        <w:u w:val="none"/>
      </w:rPr>
    </w:lvl>
    <w:lvl w:ilvl="8">
      <w:start w:val="1"/>
      <w:numFmt w:val="decimal"/>
      <w:lvlText w:val="(%9)"/>
      <w:lvlJc w:val="left"/>
      <w:pPr>
        <w:tabs>
          <w:tab w:val="num" w:pos="4320"/>
        </w:tabs>
        <w:ind w:left="4320" w:hanging="720"/>
      </w:pPr>
      <w:rPr>
        <w:u w:val="none"/>
      </w:rPr>
    </w:lvl>
  </w:abstractNum>
  <w:abstractNum w:abstractNumId="13" w15:restartNumberingAfterBreak="0">
    <w:nsid w:val="780779E3"/>
    <w:multiLevelType w:val="hybridMultilevel"/>
    <w:tmpl w:val="0FC074EE"/>
    <w:lvl w:ilvl="0" w:tplc="8AD6C14A">
      <w:start w:val="1"/>
      <w:numFmt w:val="low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04204417">
    <w:abstractNumId w:val="4"/>
  </w:num>
  <w:num w:numId="2" w16cid:durableId="635646471">
    <w:abstractNumId w:val="13"/>
  </w:num>
  <w:num w:numId="3" w16cid:durableId="1783307017">
    <w:abstractNumId w:val="3"/>
  </w:num>
  <w:num w:numId="4" w16cid:durableId="1359044942">
    <w:abstractNumId w:val="8"/>
  </w:num>
  <w:num w:numId="5" w16cid:durableId="807817783">
    <w:abstractNumId w:val="11"/>
  </w:num>
  <w:num w:numId="6" w16cid:durableId="1469666249">
    <w:abstractNumId w:val="0"/>
  </w:num>
  <w:num w:numId="7" w16cid:durableId="190537300">
    <w:abstractNumId w:val="2"/>
  </w:num>
  <w:num w:numId="8" w16cid:durableId="186528513">
    <w:abstractNumId w:val="1"/>
  </w:num>
  <w:num w:numId="9" w16cid:durableId="20870738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934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3774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6290005">
    <w:abstractNumId w:val="5"/>
  </w:num>
  <w:num w:numId="13" w16cid:durableId="971254027">
    <w:abstractNumId w:val="7"/>
  </w:num>
  <w:num w:numId="14" w16cid:durableId="1241793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7354267">
    <w:abstractNumId w:val="10"/>
  </w:num>
  <w:num w:numId="16" w16cid:durableId="789932483">
    <w:abstractNumId w:val="6"/>
  </w:num>
  <w:num w:numId="17" w16cid:durableId="426074144">
    <w:abstractNumId w:val="12"/>
  </w:num>
  <w:num w:numId="18" w16cid:durableId="17511906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89"/>
    <w:rsid w:val="001E0BED"/>
    <w:rsid w:val="00314A89"/>
    <w:rsid w:val="007F56AC"/>
    <w:rsid w:val="008225EE"/>
    <w:rsid w:val="00A8197F"/>
    <w:rsid w:val="00DB2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AE2D2"/>
  <w15:chartTrackingRefBased/>
  <w15:docId w15:val="{10BEC03C-4763-49AB-BC54-B0291FCD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49" w:qFormat="1"/>
    <w:lsdException w:name="heading 2" w:semiHidden="1" w:uiPriority="49" w:unhideWhenUsed="1" w:qFormat="1"/>
    <w:lsdException w:name="heading 3" w:semiHidden="1" w:uiPriority="49" w:unhideWhenUsed="1" w:qFormat="1"/>
    <w:lsdException w:name="heading 4" w:semiHidden="1" w:uiPriority="4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annotation text" w:uiPriority="99"/>
    <w:lsdException w:name="head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Heading2"/>
    <w:link w:val="Heading1Char"/>
    <w:uiPriority w:val="49"/>
    <w:pPr>
      <w:keepNext/>
      <w:numPr>
        <w:numId w:val="5"/>
      </w:numPr>
      <w:spacing w:before="240"/>
      <w:outlineLvl w:val="0"/>
    </w:pPr>
    <w:rPr>
      <w:b/>
    </w:rPr>
  </w:style>
  <w:style w:type="paragraph" w:styleId="Heading2">
    <w:name w:val="heading 2"/>
    <w:basedOn w:val="Normal"/>
    <w:link w:val="Heading2Char"/>
    <w:uiPriority w:val="49"/>
    <w:unhideWhenUsed/>
    <w:pPr>
      <w:numPr>
        <w:ilvl w:val="1"/>
        <w:numId w:val="5"/>
      </w:numPr>
      <w:tabs>
        <w:tab w:val="left" w:pos="1440"/>
      </w:tabs>
      <w:spacing w:before="240"/>
      <w:outlineLvl w:val="1"/>
    </w:pPr>
  </w:style>
  <w:style w:type="paragraph" w:styleId="Heading3">
    <w:name w:val="heading 3"/>
    <w:basedOn w:val="Normal"/>
    <w:link w:val="Heading3Char"/>
    <w:uiPriority w:val="49"/>
    <w:pPr>
      <w:numPr>
        <w:ilvl w:val="2"/>
        <w:numId w:val="5"/>
      </w:numPr>
      <w:spacing w:before="240"/>
      <w:outlineLvl w:val="2"/>
    </w:pPr>
  </w:style>
  <w:style w:type="paragraph" w:styleId="Heading4">
    <w:name w:val="heading 4"/>
    <w:basedOn w:val="Normal"/>
    <w:link w:val="Heading4Char"/>
    <w:uiPriority w:val="49"/>
    <w:pPr>
      <w:numPr>
        <w:ilvl w:val="3"/>
        <w:numId w:val="5"/>
      </w:numPr>
      <w:spacing w:before="240"/>
      <w:outlineLvl w:val="3"/>
    </w:pPr>
  </w:style>
  <w:style w:type="paragraph" w:styleId="Heading5">
    <w:name w:val="heading 5"/>
    <w:basedOn w:val="Normal"/>
    <w:link w:val="Heading5Char"/>
    <w:uiPriority w:val="49"/>
    <w:semiHidden/>
    <w:unhideWhenUsed/>
    <w:pPr>
      <w:numPr>
        <w:ilvl w:val="4"/>
        <w:numId w:val="5"/>
      </w:numPr>
      <w:spacing w:before="240"/>
      <w:outlineLvl w:val="4"/>
    </w:pPr>
  </w:style>
  <w:style w:type="paragraph" w:styleId="Heading6">
    <w:name w:val="heading 6"/>
    <w:basedOn w:val="Normal"/>
    <w:link w:val="Heading6Char"/>
    <w:uiPriority w:val="49"/>
    <w:semiHidden/>
    <w:unhideWhenUsed/>
    <w:pPr>
      <w:numPr>
        <w:ilvl w:val="5"/>
        <w:numId w:val="5"/>
      </w:numPr>
      <w:spacing w:before="240"/>
      <w:outlineLvl w:val="5"/>
    </w:pPr>
  </w:style>
  <w:style w:type="paragraph" w:styleId="Heading7">
    <w:name w:val="heading 7"/>
    <w:basedOn w:val="Normal"/>
    <w:link w:val="Heading7Char"/>
    <w:uiPriority w:val="49"/>
    <w:semiHidden/>
    <w:unhideWhenUsed/>
    <w:pPr>
      <w:numPr>
        <w:ilvl w:val="6"/>
        <w:numId w:val="5"/>
      </w:numPr>
      <w:spacing w:before="240"/>
      <w:outlineLvl w:val="6"/>
    </w:pPr>
  </w:style>
  <w:style w:type="paragraph" w:styleId="Heading8">
    <w:name w:val="heading 8"/>
    <w:basedOn w:val="Normal"/>
    <w:link w:val="Heading8Char"/>
    <w:uiPriority w:val="49"/>
    <w:semiHidden/>
    <w:unhideWhenUsed/>
    <w:pPr>
      <w:numPr>
        <w:ilvl w:val="7"/>
        <w:numId w:val="5"/>
      </w:numPr>
      <w:spacing w:before="240"/>
      <w:outlineLvl w:val="7"/>
    </w:pPr>
  </w:style>
  <w:style w:type="paragraph" w:styleId="Heading9">
    <w:name w:val="heading 9"/>
    <w:basedOn w:val="Normal"/>
    <w:link w:val="Heading9Char"/>
    <w:uiPriority w:val="49"/>
    <w:semiHidden/>
    <w:unhideWhenUsed/>
    <w:pPr>
      <w:numPr>
        <w:ilvl w:val="8"/>
        <w:numId w:val="5"/>
      </w:numPr>
      <w:spacing w:before="24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character" w:customStyle="1" w:styleId="bodytext3">
    <w:name w:val="bodytext3"/>
  </w:style>
  <w:style w:type="paragraph" w:styleId="BodyText">
    <w:name w:val="Body Text"/>
    <w:basedOn w:val="Normal"/>
    <w:link w:val="BodyTextChar"/>
    <w:pPr>
      <w:spacing w:after="240"/>
      <w:jc w:val="both"/>
    </w:pPr>
    <w:rPr>
      <w:sz w:val="22"/>
      <w:szCs w:val="20"/>
      <w:lang w:eastAsia="en-US"/>
    </w:rPr>
  </w:style>
  <w:style w:type="character" w:customStyle="1" w:styleId="BodyTextChar">
    <w:name w:val="Body Text Char"/>
    <w:link w:val="BodyText"/>
    <w:rPr>
      <w:sz w:val="22"/>
      <w:lang w:eastAsia="en-US"/>
    </w:r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link w:val="Heading1"/>
    <w:uiPriority w:val="49"/>
    <w:rPr>
      <w:b/>
      <w:sz w:val="24"/>
      <w:szCs w:val="24"/>
    </w:rPr>
  </w:style>
  <w:style w:type="character" w:customStyle="1" w:styleId="Heading2Char">
    <w:name w:val="Heading 2 Char"/>
    <w:link w:val="Heading2"/>
    <w:uiPriority w:val="49"/>
    <w:rPr>
      <w:sz w:val="24"/>
      <w:szCs w:val="24"/>
    </w:rPr>
  </w:style>
  <w:style w:type="character" w:customStyle="1" w:styleId="Heading3Char">
    <w:name w:val="Heading 3 Char"/>
    <w:link w:val="Heading3"/>
    <w:uiPriority w:val="49"/>
    <w:rPr>
      <w:sz w:val="24"/>
      <w:szCs w:val="24"/>
    </w:rPr>
  </w:style>
  <w:style w:type="character" w:customStyle="1" w:styleId="Heading4Char">
    <w:name w:val="Heading 4 Char"/>
    <w:link w:val="Heading4"/>
    <w:uiPriority w:val="49"/>
    <w:rPr>
      <w:sz w:val="24"/>
      <w:szCs w:val="24"/>
    </w:rPr>
  </w:style>
  <w:style w:type="character" w:customStyle="1" w:styleId="Heading5Char">
    <w:name w:val="Heading 5 Char"/>
    <w:link w:val="Heading5"/>
    <w:uiPriority w:val="49"/>
    <w:semiHidden/>
    <w:rPr>
      <w:sz w:val="24"/>
      <w:szCs w:val="24"/>
    </w:rPr>
  </w:style>
  <w:style w:type="character" w:customStyle="1" w:styleId="Heading6Char">
    <w:name w:val="Heading 6 Char"/>
    <w:link w:val="Heading6"/>
    <w:uiPriority w:val="49"/>
    <w:semiHidden/>
    <w:rPr>
      <w:sz w:val="24"/>
      <w:szCs w:val="24"/>
    </w:rPr>
  </w:style>
  <w:style w:type="character" w:customStyle="1" w:styleId="Heading7Char">
    <w:name w:val="Heading 7 Char"/>
    <w:link w:val="Heading7"/>
    <w:uiPriority w:val="49"/>
    <w:semiHidden/>
    <w:rPr>
      <w:sz w:val="24"/>
      <w:szCs w:val="24"/>
    </w:rPr>
  </w:style>
  <w:style w:type="character" w:customStyle="1" w:styleId="Heading8Char">
    <w:name w:val="Heading 8 Char"/>
    <w:link w:val="Heading8"/>
    <w:uiPriority w:val="49"/>
    <w:semiHidden/>
    <w:rPr>
      <w:sz w:val="24"/>
      <w:szCs w:val="24"/>
    </w:rPr>
  </w:style>
  <w:style w:type="character" w:customStyle="1" w:styleId="Heading9Char">
    <w:name w:val="Heading 9 Char"/>
    <w:link w:val="Heading9"/>
    <w:uiPriority w:val="49"/>
    <w:semiHidden/>
    <w:rPr>
      <w:sz w:val="24"/>
      <w:szCs w:val="24"/>
    </w:rPr>
  </w:style>
  <w:style w:type="paragraph" w:customStyle="1" w:styleId="Bullet1">
    <w:name w:val="Bullet 1"/>
    <w:basedOn w:val="Normal"/>
    <w:uiPriority w:val="53"/>
    <w:qFormat/>
    <w:pPr>
      <w:numPr>
        <w:numId w:val="4"/>
      </w:numPr>
      <w:spacing w:before="240"/>
    </w:pPr>
    <w:rPr>
      <w:color w:val="000000"/>
      <w:szCs w:val="22"/>
      <w:lang w:eastAsia="en-US"/>
    </w:rPr>
  </w:style>
  <w:style w:type="paragraph" w:customStyle="1" w:styleId="Bullet2">
    <w:name w:val="Bullet 2"/>
    <w:basedOn w:val="Normal"/>
    <w:uiPriority w:val="53"/>
    <w:qFormat/>
    <w:pPr>
      <w:numPr>
        <w:ilvl w:val="1"/>
        <w:numId w:val="4"/>
      </w:numPr>
      <w:spacing w:before="240"/>
    </w:pPr>
    <w:rPr>
      <w:color w:val="000000"/>
      <w:szCs w:val="22"/>
      <w:lang w:eastAsia="en-US"/>
    </w:rPr>
  </w:style>
  <w:style w:type="paragraph" w:customStyle="1" w:styleId="Bullet3">
    <w:name w:val="Bullet 3"/>
    <w:basedOn w:val="Normal"/>
    <w:uiPriority w:val="99"/>
    <w:pPr>
      <w:numPr>
        <w:ilvl w:val="2"/>
        <w:numId w:val="4"/>
      </w:numPr>
      <w:spacing w:before="240"/>
    </w:pPr>
    <w:rPr>
      <w:color w:val="000000"/>
      <w:szCs w:val="22"/>
      <w:lang w:eastAsia="en-US"/>
    </w:rPr>
  </w:style>
  <w:style w:type="paragraph" w:customStyle="1" w:styleId="Bullet4">
    <w:name w:val="Bullet 4"/>
    <w:basedOn w:val="Normal"/>
    <w:uiPriority w:val="99"/>
    <w:pPr>
      <w:numPr>
        <w:ilvl w:val="3"/>
        <w:numId w:val="4"/>
      </w:numPr>
      <w:spacing w:before="240"/>
    </w:pPr>
    <w:rPr>
      <w:color w:val="000000"/>
      <w:szCs w:val="22"/>
      <w:lang w:eastAsia="en-US"/>
    </w:rPr>
  </w:style>
  <w:style w:type="paragraph" w:customStyle="1" w:styleId="Bullet5">
    <w:name w:val="Bullet 5"/>
    <w:basedOn w:val="Normal"/>
    <w:uiPriority w:val="99"/>
    <w:pPr>
      <w:numPr>
        <w:ilvl w:val="4"/>
        <w:numId w:val="4"/>
      </w:numPr>
      <w:spacing w:before="240"/>
    </w:pPr>
    <w:rPr>
      <w:color w:val="000000"/>
      <w:szCs w:val="22"/>
      <w:lang w:eastAsia="en-US"/>
    </w:rPr>
  </w:style>
  <w:style w:type="paragraph" w:customStyle="1" w:styleId="Bullet6">
    <w:name w:val="Bullet 6"/>
    <w:basedOn w:val="Normal"/>
    <w:uiPriority w:val="99"/>
    <w:pPr>
      <w:numPr>
        <w:ilvl w:val="5"/>
        <w:numId w:val="4"/>
      </w:numPr>
      <w:spacing w:before="240"/>
    </w:pPr>
    <w:rPr>
      <w:color w:val="000000"/>
      <w:szCs w:val="22"/>
      <w:lang w:eastAsia="en-US"/>
    </w:rPr>
  </w:style>
  <w:style w:type="paragraph" w:customStyle="1" w:styleId="Bullet7">
    <w:name w:val="Bullet 7"/>
    <w:basedOn w:val="Normal"/>
    <w:uiPriority w:val="99"/>
    <w:pPr>
      <w:numPr>
        <w:ilvl w:val="6"/>
        <w:numId w:val="4"/>
      </w:numPr>
      <w:spacing w:before="240"/>
    </w:pPr>
    <w:rPr>
      <w:color w:val="000000"/>
      <w:szCs w:val="22"/>
      <w:lang w:eastAsia="en-US"/>
    </w:rPr>
  </w:style>
  <w:style w:type="paragraph" w:customStyle="1" w:styleId="Bullet8">
    <w:name w:val="Bullet 8"/>
    <w:basedOn w:val="Normal"/>
    <w:uiPriority w:val="99"/>
    <w:pPr>
      <w:numPr>
        <w:ilvl w:val="7"/>
        <w:numId w:val="4"/>
      </w:numPr>
      <w:spacing w:before="240"/>
    </w:pPr>
    <w:rPr>
      <w:color w:val="000000"/>
      <w:szCs w:val="22"/>
      <w:lang w:eastAsia="en-US"/>
    </w:rPr>
  </w:style>
  <w:style w:type="paragraph" w:customStyle="1" w:styleId="Bullet9">
    <w:name w:val="Bullet 9"/>
    <w:basedOn w:val="Normal"/>
    <w:uiPriority w:val="99"/>
    <w:pPr>
      <w:numPr>
        <w:ilvl w:val="8"/>
        <w:numId w:val="4"/>
      </w:numPr>
      <w:spacing w:before="240"/>
    </w:pPr>
    <w:rPr>
      <w:color w:val="000000"/>
      <w:szCs w:val="22"/>
      <w:lang w:eastAsia="en-US"/>
    </w:rPr>
  </w:style>
  <w:style w:type="numbering" w:customStyle="1" w:styleId="z-listBullet">
    <w:name w:val="z-list Bullet"/>
    <w:pPr>
      <w:numPr>
        <w:numId w:val="4"/>
      </w:numPr>
    </w:pPr>
  </w:style>
  <w:style w:type="numbering" w:customStyle="1" w:styleId="z-listHeading">
    <w:name w:val="z-list Heading"/>
    <w:basedOn w:val="NoList"/>
    <w:pPr>
      <w:numPr>
        <w:numId w:val="5"/>
      </w:numPr>
    </w:pPr>
  </w:style>
  <w:style w:type="character" w:customStyle="1" w:styleId="HeaderChar">
    <w:name w:val="Header Char"/>
    <w:link w:val="Header"/>
    <w:uiPriority w:val="99"/>
    <w:rPr>
      <w:sz w:val="24"/>
      <w:szCs w:val="24"/>
      <w:lang w:val="en-CA" w:eastAsia="en-CA"/>
    </w:rPr>
  </w:style>
  <w:style w:type="paragraph" w:styleId="CommentText">
    <w:name w:val="annotation text"/>
    <w:basedOn w:val="Normal"/>
    <w:link w:val="CommentTextChar"/>
    <w:uiPriority w:val="99"/>
    <w:unhideWhenUsed/>
    <w:pPr>
      <w:overflowPunct w:val="0"/>
      <w:autoSpaceDE w:val="0"/>
      <w:autoSpaceDN w:val="0"/>
      <w:adjustRightInd w:val="0"/>
    </w:pPr>
    <w:rPr>
      <w:sz w:val="20"/>
      <w:szCs w:val="20"/>
      <w:lang w:val="en-US" w:eastAsia="en-US"/>
    </w:rPr>
  </w:style>
  <w:style w:type="character" w:customStyle="1" w:styleId="CommentTextChar">
    <w:name w:val="Comment Text Char"/>
    <w:link w:val="CommentText"/>
    <w:uiPriority w:val="99"/>
    <w:rPr>
      <w:lang w:val="en-US"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overflowPunct/>
      <w:autoSpaceDE/>
      <w:autoSpaceDN/>
      <w:adjustRightInd/>
    </w:pPr>
    <w:rPr>
      <w:b/>
      <w:bCs/>
      <w:lang w:val="en-CA" w:eastAsia="en-CA"/>
    </w:rPr>
  </w:style>
  <w:style w:type="character" w:customStyle="1" w:styleId="CommentSubjectChar">
    <w:name w:val="Comment Subject Char"/>
    <w:link w:val="CommentSubject"/>
    <w:rPr>
      <w:b/>
      <w:bCs/>
      <w:lang w:val="en-US" w:eastAsia="en-US"/>
    </w:rPr>
  </w:style>
  <w:style w:type="paragraph" w:styleId="Subtitle">
    <w:name w:val="Subtitle"/>
    <w:basedOn w:val="Normal"/>
    <w:next w:val="TextLeft"/>
    <w:link w:val="SubtitleChar"/>
    <w:qFormat/>
    <w:pPr>
      <w:keepNext/>
      <w:numPr>
        <w:ilvl w:val="1"/>
      </w:numPr>
      <w:spacing w:after="240" w:line="276" w:lineRule="auto"/>
      <w:outlineLvl w:val="1"/>
    </w:pPr>
    <w:rPr>
      <w:rFonts w:ascii="Arial" w:eastAsia="SimHei" w:hAnsi="Arial"/>
      <w:b/>
      <w:iCs/>
      <w:sz w:val="20"/>
      <w:u w:val="single"/>
      <w:lang w:eastAsia="x-none"/>
    </w:rPr>
  </w:style>
  <w:style w:type="character" w:customStyle="1" w:styleId="SubtitleChar">
    <w:name w:val="Subtitle Char"/>
    <w:link w:val="Subtitle"/>
    <w:rPr>
      <w:rFonts w:ascii="Arial" w:eastAsia="SimHei" w:hAnsi="Arial"/>
      <w:b/>
      <w:iCs/>
      <w:szCs w:val="24"/>
      <w:u w:val="single"/>
      <w:lang w:val="en-CA" w:eastAsia="x-none"/>
    </w:rPr>
  </w:style>
  <w:style w:type="paragraph" w:customStyle="1" w:styleId="TextJustified">
    <w:name w:val="Text Justified"/>
    <w:basedOn w:val="Normal"/>
    <w:link w:val="TextJustifiedChar"/>
    <w:qFormat/>
    <w:pPr>
      <w:spacing w:after="240" w:line="276" w:lineRule="auto"/>
      <w:jc w:val="both"/>
    </w:pPr>
    <w:rPr>
      <w:rFonts w:ascii="Arial" w:eastAsia="Arial" w:hAnsi="Arial" w:cs="Arial"/>
      <w:sz w:val="20"/>
      <w:szCs w:val="20"/>
      <w:lang w:eastAsia="en-US"/>
    </w:rPr>
  </w:style>
  <w:style w:type="character" w:customStyle="1" w:styleId="TextJustifiedChar">
    <w:name w:val="Text Justified Char"/>
    <w:link w:val="TextJustified"/>
    <w:rPr>
      <w:rFonts w:ascii="Arial" w:eastAsia="Arial" w:hAnsi="Arial" w:cs="Arial"/>
      <w:lang w:val="en-CA"/>
    </w:rPr>
  </w:style>
  <w:style w:type="paragraph" w:customStyle="1" w:styleId="SubtitleItalic">
    <w:name w:val="Subtitle Italic"/>
    <w:basedOn w:val="Normal"/>
    <w:next w:val="TextLeft"/>
    <w:link w:val="SubtitleItalicChar"/>
    <w:qFormat/>
    <w:pPr>
      <w:keepNext/>
      <w:keepLines/>
      <w:spacing w:after="240" w:line="276" w:lineRule="auto"/>
      <w:outlineLvl w:val="1"/>
    </w:pPr>
    <w:rPr>
      <w:rFonts w:ascii="Arial" w:eastAsia="Arial" w:hAnsi="Arial"/>
      <w:b/>
      <w:i/>
      <w:sz w:val="20"/>
      <w:szCs w:val="20"/>
      <w:lang w:eastAsia="x-none"/>
    </w:rPr>
  </w:style>
  <w:style w:type="character" w:customStyle="1" w:styleId="SubtitleItalicChar">
    <w:name w:val="Subtitle Italic Char"/>
    <w:link w:val="SubtitleItalic"/>
    <w:rPr>
      <w:rFonts w:ascii="Arial" w:eastAsia="Arial" w:hAnsi="Arial"/>
      <w:b/>
      <w:i/>
      <w:lang w:val="en-CA" w:eastAsia="x-none"/>
    </w:rPr>
  </w:style>
  <w:style w:type="paragraph" w:customStyle="1" w:styleId="TextLeft">
    <w:name w:val="Text Left"/>
    <w:basedOn w:val="Normal"/>
    <w:qFormat/>
    <w:pPr>
      <w:spacing w:after="240" w:line="276" w:lineRule="auto"/>
    </w:pPr>
    <w:rPr>
      <w:rFonts w:ascii="Arial" w:eastAsia="Arial" w:hAnsi="Arial" w:cs="Arial"/>
      <w:sz w:val="20"/>
      <w:szCs w:val="20"/>
      <w:lang w:eastAsia="en-US"/>
    </w:rPr>
  </w:style>
  <w:style w:type="paragraph" w:customStyle="1" w:styleId="animated">
    <w:name w:val="animated"/>
    <w:basedOn w:val="Normal"/>
    <w:pPr>
      <w:spacing w:before="100" w:beforeAutospacing="1" w:after="100" w:afterAutospacing="1"/>
    </w:pPr>
    <w:rPr>
      <w:lang w:val="en-US" w:eastAsia="en-US"/>
    </w:rPr>
  </w:style>
  <w:style w:type="paragraph" w:styleId="ListNumber3">
    <w:name w:val="List Number 3"/>
    <w:basedOn w:val="Normal"/>
    <w:pPr>
      <w:numPr>
        <w:numId w:val="6"/>
      </w:numPr>
    </w:pPr>
    <w:rPr>
      <w:sz w:val="22"/>
      <w:lang w:eastAsia="en-US"/>
    </w:rPr>
  </w:style>
  <w:style w:type="paragraph" w:styleId="ListBullet">
    <w:name w:val="List Bullet"/>
    <w:basedOn w:val="Normal"/>
    <w:uiPriority w:val="99"/>
    <w:unhideWhenUsed/>
    <w:pPr>
      <w:numPr>
        <w:numId w:val="8"/>
      </w:numPr>
      <w:spacing w:before="240"/>
      <w:contextualSpacing/>
      <w:jc w:val="both"/>
    </w:pPr>
    <w:rPr>
      <w:rFonts w:ascii="Calibri" w:hAnsi="Calibri" w:cs="Calibri"/>
      <w:sz w:val="23"/>
      <w:szCs w:val="20"/>
      <w:lang w:eastAsia="en-US"/>
    </w:rPr>
  </w:style>
  <w:style w:type="paragraph" w:styleId="ListParagraph">
    <w:name w:val="List Paragraph"/>
    <w:basedOn w:val="Normal"/>
    <w:uiPriority w:val="34"/>
    <w:unhideWhenUsed/>
    <w:qFormat/>
    <w:pPr>
      <w:spacing w:after="240"/>
      <w:ind w:left="720"/>
      <w:contextualSpacing/>
      <w:jc w:val="both"/>
    </w:pPr>
    <w:rPr>
      <w:rFonts w:ascii="Calibri" w:hAnsi="Calibri"/>
      <w:sz w:val="23"/>
      <w:szCs w:val="20"/>
      <w:lang w:eastAsia="en-US"/>
    </w:rPr>
  </w:style>
  <w:style w:type="paragraph" w:styleId="Revision">
    <w:name w:val="Revision"/>
    <w:hidden/>
    <w:uiPriority w:val="99"/>
    <w:semiHidden/>
    <w:rPr>
      <w:sz w:val="24"/>
      <w:szCs w:val="24"/>
    </w:rPr>
  </w:style>
  <w:style w:type="paragraph" w:customStyle="1" w:styleId="SchLML1">
    <w:name w:val="Sch LML1"/>
    <w:aliases w:val="sl1"/>
    <w:basedOn w:val="Normal"/>
    <w:pPr>
      <w:numPr>
        <w:numId w:val="16"/>
      </w:numPr>
      <w:spacing w:after="240"/>
      <w:jc w:val="both"/>
    </w:pPr>
    <w:rPr>
      <w:sz w:val="22"/>
      <w:lang w:val="en-US" w:eastAsia="en-US"/>
    </w:rPr>
  </w:style>
  <w:style w:type="paragraph" w:customStyle="1" w:styleId="SchLML2">
    <w:name w:val="Sch LML2"/>
    <w:aliases w:val="sl2"/>
    <w:basedOn w:val="Normal"/>
    <w:pPr>
      <w:numPr>
        <w:ilvl w:val="1"/>
        <w:numId w:val="16"/>
      </w:numPr>
      <w:spacing w:after="240"/>
      <w:jc w:val="both"/>
    </w:pPr>
    <w:rPr>
      <w:sz w:val="22"/>
      <w:lang w:val="en-US" w:eastAsia="en-US"/>
    </w:rPr>
  </w:style>
  <w:style w:type="paragraph" w:customStyle="1" w:styleId="SchLML3">
    <w:name w:val="Sch LML3"/>
    <w:aliases w:val="sl3"/>
    <w:basedOn w:val="Normal"/>
    <w:pPr>
      <w:numPr>
        <w:ilvl w:val="2"/>
        <w:numId w:val="16"/>
      </w:numPr>
      <w:spacing w:after="240"/>
      <w:jc w:val="both"/>
    </w:pPr>
    <w:rPr>
      <w:sz w:val="22"/>
      <w:lang w:val="en-US" w:eastAsia="en-US"/>
    </w:rPr>
  </w:style>
  <w:style w:type="paragraph" w:customStyle="1" w:styleId="SchLML4">
    <w:name w:val="Sch LML4"/>
    <w:aliases w:val="sl4"/>
    <w:basedOn w:val="Normal"/>
    <w:semiHidden/>
    <w:pPr>
      <w:numPr>
        <w:ilvl w:val="3"/>
        <w:numId w:val="16"/>
      </w:numPr>
      <w:spacing w:after="240"/>
      <w:jc w:val="both"/>
    </w:pPr>
    <w:rPr>
      <w:sz w:val="22"/>
      <w:lang w:val="en-US" w:eastAsia="en-US"/>
    </w:rPr>
  </w:style>
  <w:style w:type="paragraph" w:customStyle="1" w:styleId="SchLML5">
    <w:name w:val="Sch LML5"/>
    <w:aliases w:val="sl5"/>
    <w:basedOn w:val="Normal"/>
    <w:semiHidden/>
    <w:pPr>
      <w:numPr>
        <w:ilvl w:val="4"/>
        <w:numId w:val="16"/>
      </w:numPr>
      <w:spacing w:after="240"/>
      <w:jc w:val="both"/>
    </w:pPr>
    <w:rPr>
      <w:sz w:val="22"/>
      <w:lang w:val="en-US" w:eastAsia="en-US"/>
    </w:rPr>
  </w:style>
  <w:style w:type="paragraph" w:customStyle="1" w:styleId="SchLML6">
    <w:name w:val="Sch LML6"/>
    <w:aliases w:val="sl6"/>
    <w:basedOn w:val="Normal"/>
    <w:semiHidden/>
    <w:pPr>
      <w:numPr>
        <w:ilvl w:val="5"/>
        <w:numId w:val="16"/>
      </w:numPr>
      <w:spacing w:after="240"/>
      <w:jc w:val="both"/>
    </w:pPr>
    <w:rPr>
      <w:sz w:val="22"/>
      <w:lang w:val="en-US" w:eastAsia="en-US"/>
    </w:rPr>
  </w:style>
  <w:style w:type="paragraph" w:customStyle="1" w:styleId="SchLML7">
    <w:name w:val="Sch LML7"/>
    <w:aliases w:val="sl7"/>
    <w:basedOn w:val="Normal"/>
    <w:semiHidden/>
    <w:pPr>
      <w:numPr>
        <w:ilvl w:val="6"/>
        <w:numId w:val="16"/>
      </w:numPr>
      <w:spacing w:after="240"/>
      <w:jc w:val="both"/>
    </w:pPr>
    <w:rPr>
      <w:sz w:val="22"/>
      <w:lang w:val="en-US" w:eastAsia="en-US"/>
    </w:rPr>
  </w:style>
  <w:style w:type="paragraph" w:customStyle="1" w:styleId="SchLML8">
    <w:name w:val="Sch LML8"/>
    <w:aliases w:val="sl8"/>
    <w:basedOn w:val="Normal"/>
    <w:semiHidden/>
    <w:pPr>
      <w:numPr>
        <w:ilvl w:val="7"/>
        <w:numId w:val="16"/>
      </w:numPr>
      <w:spacing w:after="240"/>
      <w:jc w:val="both"/>
    </w:pPr>
    <w:rPr>
      <w:sz w:val="22"/>
      <w:lang w:val="en-US" w:eastAsia="en-US"/>
    </w:rPr>
  </w:style>
  <w:style w:type="paragraph" w:customStyle="1" w:styleId="SchLML9">
    <w:name w:val="Sch LML9"/>
    <w:aliases w:val="sl9"/>
    <w:basedOn w:val="Normal"/>
    <w:semiHidden/>
    <w:pPr>
      <w:numPr>
        <w:ilvl w:val="8"/>
        <w:numId w:val="16"/>
      </w:numPr>
      <w:spacing w:after="240"/>
      <w:jc w:val="both"/>
    </w:pPr>
    <w:rPr>
      <w:sz w:val="22"/>
      <w:lang w:val="en-US" w:eastAsia="en-US"/>
    </w:rPr>
  </w:style>
  <w:style w:type="character"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8801">
      <w:bodyDiv w:val="1"/>
      <w:marLeft w:val="0"/>
      <w:marRight w:val="0"/>
      <w:marTop w:val="0"/>
      <w:marBottom w:val="0"/>
      <w:divBdr>
        <w:top w:val="none" w:sz="0" w:space="0" w:color="auto"/>
        <w:left w:val="none" w:sz="0" w:space="0" w:color="auto"/>
        <w:bottom w:val="none" w:sz="0" w:space="0" w:color="auto"/>
        <w:right w:val="none" w:sz="0" w:space="0" w:color="auto"/>
      </w:divBdr>
    </w:div>
    <w:div w:id="144977775">
      <w:bodyDiv w:val="1"/>
      <w:marLeft w:val="0"/>
      <w:marRight w:val="0"/>
      <w:marTop w:val="0"/>
      <w:marBottom w:val="0"/>
      <w:divBdr>
        <w:top w:val="none" w:sz="0" w:space="0" w:color="auto"/>
        <w:left w:val="none" w:sz="0" w:space="0" w:color="auto"/>
        <w:bottom w:val="none" w:sz="0" w:space="0" w:color="auto"/>
        <w:right w:val="none" w:sz="0" w:space="0" w:color="auto"/>
      </w:divBdr>
    </w:div>
    <w:div w:id="232663250">
      <w:bodyDiv w:val="1"/>
      <w:marLeft w:val="0"/>
      <w:marRight w:val="0"/>
      <w:marTop w:val="0"/>
      <w:marBottom w:val="0"/>
      <w:divBdr>
        <w:top w:val="none" w:sz="0" w:space="0" w:color="auto"/>
        <w:left w:val="none" w:sz="0" w:space="0" w:color="auto"/>
        <w:bottom w:val="none" w:sz="0" w:space="0" w:color="auto"/>
        <w:right w:val="none" w:sz="0" w:space="0" w:color="auto"/>
      </w:divBdr>
      <w:divsChild>
        <w:div w:id="1599944882">
          <w:marLeft w:val="0"/>
          <w:marRight w:val="0"/>
          <w:marTop w:val="0"/>
          <w:marBottom w:val="0"/>
          <w:divBdr>
            <w:top w:val="none" w:sz="0" w:space="0" w:color="auto"/>
            <w:left w:val="none" w:sz="0" w:space="0" w:color="auto"/>
            <w:bottom w:val="none" w:sz="0" w:space="0" w:color="auto"/>
            <w:right w:val="none" w:sz="0" w:space="0" w:color="auto"/>
          </w:divBdr>
          <w:divsChild>
            <w:div w:id="1615332972">
              <w:marLeft w:val="0"/>
              <w:marRight w:val="0"/>
              <w:marTop w:val="0"/>
              <w:marBottom w:val="0"/>
              <w:divBdr>
                <w:top w:val="none" w:sz="0" w:space="0" w:color="auto"/>
                <w:left w:val="none" w:sz="0" w:space="0" w:color="auto"/>
                <w:bottom w:val="none" w:sz="0" w:space="0" w:color="auto"/>
                <w:right w:val="none" w:sz="0" w:space="0" w:color="auto"/>
              </w:divBdr>
              <w:divsChild>
                <w:div w:id="592008557">
                  <w:marLeft w:val="0"/>
                  <w:marRight w:val="0"/>
                  <w:marTop w:val="0"/>
                  <w:marBottom w:val="0"/>
                  <w:divBdr>
                    <w:top w:val="none" w:sz="0" w:space="0" w:color="auto"/>
                    <w:left w:val="none" w:sz="0" w:space="0" w:color="auto"/>
                    <w:bottom w:val="none" w:sz="0" w:space="0" w:color="auto"/>
                    <w:right w:val="none" w:sz="0" w:space="0" w:color="auto"/>
                  </w:divBdr>
                  <w:divsChild>
                    <w:div w:id="230166083">
                      <w:marLeft w:val="0"/>
                      <w:marRight w:val="0"/>
                      <w:marTop w:val="0"/>
                      <w:marBottom w:val="0"/>
                      <w:divBdr>
                        <w:top w:val="none" w:sz="0" w:space="0" w:color="auto"/>
                        <w:left w:val="none" w:sz="0" w:space="0" w:color="auto"/>
                        <w:bottom w:val="none" w:sz="0" w:space="0" w:color="auto"/>
                        <w:right w:val="none" w:sz="0" w:space="0" w:color="auto"/>
                      </w:divBdr>
                      <w:divsChild>
                        <w:div w:id="1777751099">
                          <w:marLeft w:val="0"/>
                          <w:marRight w:val="0"/>
                          <w:marTop w:val="0"/>
                          <w:marBottom w:val="0"/>
                          <w:divBdr>
                            <w:top w:val="none" w:sz="0" w:space="0" w:color="auto"/>
                            <w:left w:val="none" w:sz="0" w:space="0" w:color="auto"/>
                            <w:bottom w:val="none" w:sz="0" w:space="0" w:color="auto"/>
                            <w:right w:val="none" w:sz="0" w:space="0" w:color="auto"/>
                          </w:divBdr>
                          <w:divsChild>
                            <w:div w:id="2070766572">
                              <w:marLeft w:val="0"/>
                              <w:marRight w:val="0"/>
                              <w:marTop w:val="0"/>
                              <w:marBottom w:val="0"/>
                              <w:divBdr>
                                <w:top w:val="none" w:sz="0" w:space="0" w:color="auto"/>
                                <w:left w:val="none" w:sz="0" w:space="0" w:color="auto"/>
                                <w:bottom w:val="none" w:sz="0" w:space="0" w:color="auto"/>
                                <w:right w:val="none" w:sz="0" w:space="0" w:color="auto"/>
                              </w:divBdr>
                              <w:divsChild>
                                <w:div w:id="889072940">
                                  <w:marLeft w:val="0"/>
                                  <w:marRight w:val="0"/>
                                  <w:marTop w:val="0"/>
                                  <w:marBottom w:val="0"/>
                                  <w:divBdr>
                                    <w:top w:val="none" w:sz="0" w:space="0" w:color="auto"/>
                                    <w:left w:val="none" w:sz="0" w:space="0" w:color="auto"/>
                                    <w:bottom w:val="none" w:sz="0" w:space="0" w:color="auto"/>
                                    <w:right w:val="none" w:sz="0" w:space="0" w:color="auto"/>
                                  </w:divBdr>
                                  <w:divsChild>
                                    <w:div w:id="979262625">
                                      <w:marLeft w:val="0"/>
                                      <w:marRight w:val="0"/>
                                      <w:marTop w:val="0"/>
                                      <w:marBottom w:val="0"/>
                                      <w:divBdr>
                                        <w:top w:val="none" w:sz="0" w:space="0" w:color="auto"/>
                                        <w:left w:val="none" w:sz="0" w:space="0" w:color="auto"/>
                                        <w:bottom w:val="none" w:sz="0" w:space="0" w:color="auto"/>
                                        <w:right w:val="none" w:sz="0" w:space="0" w:color="auto"/>
                                      </w:divBdr>
                                      <w:divsChild>
                                        <w:div w:id="65107004">
                                          <w:marLeft w:val="0"/>
                                          <w:marRight w:val="0"/>
                                          <w:marTop w:val="0"/>
                                          <w:marBottom w:val="0"/>
                                          <w:divBdr>
                                            <w:top w:val="none" w:sz="0" w:space="0" w:color="auto"/>
                                            <w:left w:val="none" w:sz="0" w:space="0" w:color="auto"/>
                                            <w:bottom w:val="none" w:sz="0" w:space="0" w:color="auto"/>
                                            <w:right w:val="none" w:sz="0" w:space="0" w:color="auto"/>
                                          </w:divBdr>
                                          <w:divsChild>
                                            <w:div w:id="5123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012918">
      <w:bodyDiv w:val="1"/>
      <w:marLeft w:val="0"/>
      <w:marRight w:val="0"/>
      <w:marTop w:val="0"/>
      <w:marBottom w:val="0"/>
      <w:divBdr>
        <w:top w:val="none" w:sz="0" w:space="0" w:color="auto"/>
        <w:left w:val="none" w:sz="0" w:space="0" w:color="auto"/>
        <w:bottom w:val="none" w:sz="0" w:space="0" w:color="auto"/>
        <w:right w:val="none" w:sz="0" w:space="0" w:color="auto"/>
      </w:divBdr>
    </w:div>
    <w:div w:id="334651572">
      <w:bodyDiv w:val="1"/>
      <w:marLeft w:val="0"/>
      <w:marRight w:val="0"/>
      <w:marTop w:val="0"/>
      <w:marBottom w:val="0"/>
      <w:divBdr>
        <w:top w:val="none" w:sz="0" w:space="0" w:color="auto"/>
        <w:left w:val="none" w:sz="0" w:space="0" w:color="auto"/>
        <w:bottom w:val="none" w:sz="0" w:space="0" w:color="auto"/>
        <w:right w:val="none" w:sz="0" w:space="0" w:color="auto"/>
      </w:divBdr>
    </w:div>
    <w:div w:id="340619389">
      <w:bodyDiv w:val="1"/>
      <w:marLeft w:val="0"/>
      <w:marRight w:val="0"/>
      <w:marTop w:val="0"/>
      <w:marBottom w:val="0"/>
      <w:divBdr>
        <w:top w:val="none" w:sz="0" w:space="0" w:color="auto"/>
        <w:left w:val="none" w:sz="0" w:space="0" w:color="auto"/>
        <w:bottom w:val="none" w:sz="0" w:space="0" w:color="auto"/>
        <w:right w:val="none" w:sz="0" w:space="0" w:color="auto"/>
      </w:divBdr>
    </w:div>
    <w:div w:id="529728874">
      <w:bodyDiv w:val="1"/>
      <w:marLeft w:val="0"/>
      <w:marRight w:val="0"/>
      <w:marTop w:val="0"/>
      <w:marBottom w:val="0"/>
      <w:divBdr>
        <w:top w:val="none" w:sz="0" w:space="0" w:color="auto"/>
        <w:left w:val="none" w:sz="0" w:space="0" w:color="auto"/>
        <w:bottom w:val="none" w:sz="0" w:space="0" w:color="auto"/>
        <w:right w:val="none" w:sz="0" w:space="0" w:color="auto"/>
      </w:divBdr>
    </w:div>
    <w:div w:id="815147982">
      <w:bodyDiv w:val="1"/>
      <w:marLeft w:val="0"/>
      <w:marRight w:val="0"/>
      <w:marTop w:val="0"/>
      <w:marBottom w:val="0"/>
      <w:divBdr>
        <w:top w:val="none" w:sz="0" w:space="0" w:color="auto"/>
        <w:left w:val="none" w:sz="0" w:space="0" w:color="auto"/>
        <w:bottom w:val="none" w:sz="0" w:space="0" w:color="auto"/>
        <w:right w:val="none" w:sz="0" w:space="0" w:color="auto"/>
      </w:divBdr>
    </w:div>
    <w:div w:id="897595817">
      <w:bodyDiv w:val="1"/>
      <w:marLeft w:val="0"/>
      <w:marRight w:val="0"/>
      <w:marTop w:val="0"/>
      <w:marBottom w:val="0"/>
      <w:divBdr>
        <w:top w:val="none" w:sz="0" w:space="0" w:color="auto"/>
        <w:left w:val="none" w:sz="0" w:space="0" w:color="auto"/>
        <w:bottom w:val="none" w:sz="0" w:space="0" w:color="auto"/>
        <w:right w:val="none" w:sz="0" w:space="0" w:color="auto"/>
      </w:divBdr>
    </w:div>
    <w:div w:id="939601513">
      <w:bodyDiv w:val="1"/>
      <w:marLeft w:val="0"/>
      <w:marRight w:val="0"/>
      <w:marTop w:val="0"/>
      <w:marBottom w:val="0"/>
      <w:divBdr>
        <w:top w:val="none" w:sz="0" w:space="0" w:color="auto"/>
        <w:left w:val="none" w:sz="0" w:space="0" w:color="auto"/>
        <w:bottom w:val="none" w:sz="0" w:space="0" w:color="auto"/>
        <w:right w:val="none" w:sz="0" w:space="0" w:color="auto"/>
      </w:divBdr>
    </w:div>
    <w:div w:id="1425030571">
      <w:bodyDiv w:val="1"/>
      <w:marLeft w:val="0"/>
      <w:marRight w:val="0"/>
      <w:marTop w:val="0"/>
      <w:marBottom w:val="0"/>
      <w:divBdr>
        <w:top w:val="none" w:sz="0" w:space="0" w:color="auto"/>
        <w:left w:val="none" w:sz="0" w:space="0" w:color="auto"/>
        <w:bottom w:val="none" w:sz="0" w:space="0" w:color="auto"/>
        <w:right w:val="none" w:sz="0" w:space="0" w:color="auto"/>
      </w:divBdr>
    </w:div>
    <w:div w:id="1672295124">
      <w:bodyDiv w:val="1"/>
      <w:marLeft w:val="0"/>
      <w:marRight w:val="0"/>
      <w:marTop w:val="0"/>
      <w:marBottom w:val="0"/>
      <w:divBdr>
        <w:top w:val="none" w:sz="0" w:space="0" w:color="auto"/>
        <w:left w:val="none" w:sz="0" w:space="0" w:color="auto"/>
        <w:bottom w:val="none" w:sz="0" w:space="0" w:color="auto"/>
        <w:right w:val="none" w:sz="0" w:space="0" w:color="auto"/>
      </w:divBdr>
    </w:div>
    <w:div w:id="1812480185">
      <w:bodyDiv w:val="1"/>
      <w:marLeft w:val="0"/>
      <w:marRight w:val="0"/>
      <w:marTop w:val="0"/>
      <w:marBottom w:val="0"/>
      <w:divBdr>
        <w:top w:val="none" w:sz="0" w:space="0" w:color="auto"/>
        <w:left w:val="none" w:sz="0" w:space="0" w:color="auto"/>
        <w:bottom w:val="none" w:sz="0" w:space="0" w:color="auto"/>
        <w:right w:val="none" w:sz="0" w:space="0" w:color="auto"/>
      </w:divBdr>
    </w:div>
    <w:div w:id="1849908667">
      <w:bodyDiv w:val="1"/>
      <w:marLeft w:val="0"/>
      <w:marRight w:val="0"/>
      <w:marTop w:val="0"/>
      <w:marBottom w:val="0"/>
      <w:divBdr>
        <w:top w:val="none" w:sz="0" w:space="0" w:color="auto"/>
        <w:left w:val="none" w:sz="0" w:space="0" w:color="auto"/>
        <w:bottom w:val="none" w:sz="0" w:space="0" w:color="auto"/>
        <w:right w:val="none" w:sz="0" w:space="0" w:color="auto"/>
      </w:divBdr>
    </w:div>
    <w:div w:id="1945771817">
      <w:bodyDiv w:val="1"/>
      <w:marLeft w:val="0"/>
      <w:marRight w:val="0"/>
      <w:marTop w:val="0"/>
      <w:marBottom w:val="0"/>
      <w:divBdr>
        <w:top w:val="none" w:sz="0" w:space="0" w:color="auto"/>
        <w:left w:val="none" w:sz="0" w:space="0" w:color="auto"/>
        <w:bottom w:val="none" w:sz="0" w:space="0" w:color="auto"/>
        <w:right w:val="none" w:sz="0" w:space="0" w:color="auto"/>
      </w:divBdr>
    </w:div>
    <w:div w:id="21400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or@geminalab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B4C542BFF1244A8D61ED513644109" ma:contentTypeVersion="15" ma:contentTypeDescription="Create a new document." ma:contentTypeScope="" ma:versionID="b3fd4e9960c49cd12f2a3e82d4cfb5f9">
  <xsd:schema xmlns:xsd="http://www.w3.org/2001/XMLSchema" xmlns:xs="http://www.w3.org/2001/XMLSchema" xmlns:p="http://schemas.microsoft.com/office/2006/metadata/properties" xmlns:ns1="http://schemas.microsoft.com/sharepoint/v3" xmlns:ns2="434e6ad9-5fd9-4484-b71d-e5bc99e64e76" xmlns:ns3="edb5877f-36b5-441b-8e7b-69b90507fb7d" targetNamespace="http://schemas.microsoft.com/office/2006/metadata/properties" ma:root="true" ma:fieldsID="73b6749f1237d637b42ea2c7bc94d7f2" ns1:_="" ns2:_="" ns3:_="">
    <xsd:import namespace="http://schemas.microsoft.com/sharepoint/v3"/>
    <xsd:import namespace="434e6ad9-5fd9-4484-b71d-e5bc99e64e76"/>
    <xsd:import namespace="edb5877f-36b5-441b-8e7b-69b90507fb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e6ad9-5fd9-4484-b71d-e5bc99e64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881f72-d021-49c6-aa67-16c9876df0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b5877f-36b5-441b-8e7b-69b90507fb7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ccf0fd2-3b5e-4513-8192-c3a9c210d1fa}" ma:internalName="TaxCatchAll" ma:showField="CatchAllData" ma:web="edb5877f-36b5-441b-8e7b-69b90507f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34e6ad9-5fd9-4484-b71d-e5bc99e64e76">
      <Terms xmlns="http://schemas.microsoft.com/office/infopath/2007/PartnerControls"/>
    </lcf76f155ced4ddcb4097134ff3c332f>
    <_ip_UnifiedCompliancePolicyProperties xmlns="http://schemas.microsoft.com/sharepoint/v3" xsi:nil="true"/>
    <TaxCatchAll xmlns="edb5877f-36b5-441b-8e7b-69b90507fb7d" xsi:nil="true"/>
  </documentManagement>
</p:properties>
</file>

<file path=customXml/itemProps1.xml><?xml version="1.0" encoding="utf-8"?>
<ds:datastoreItem xmlns:ds="http://schemas.openxmlformats.org/officeDocument/2006/customXml" ds:itemID="{5857CE10-7998-4D30-B1ED-6B7FC121E43D}">
  <ds:schemaRefs>
    <ds:schemaRef ds:uri="http://schemas.openxmlformats.org/officeDocument/2006/bibliography"/>
  </ds:schemaRefs>
</ds:datastoreItem>
</file>

<file path=customXml/itemProps2.xml><?xml version="1.0" encoding="utf-8"?>
<ds:datastoreItem xmlns:ds="http://schemas.openxmlformats.org/officeDocument/2006/customXml" ds:itemID="{34E0609C-A6EA-47AB-8457-B87C919C7EF0}">
  <ds:schemaRefs>
    <ds:schemaRef ds:uri="http://schemas.microsoft.com/sharepoint/v3/contenttype/forms"/>
  </ds:schemaRefs>
</ds:datastoreItem>
</file>

<file path=customXml/itemProps3.xml><?xml version="1.0" encoding="utf-8"?>
<ds:datastoreItem xmlns:ds="http://schemas.openxmlformats.org/officeDocument/2006/customXml" ds:itemID="{ACCF1D72-1881-4153-9F88-52B51ED6189F}"/>
</file>

<file path=customXml/itemProps4.xml><?xml version="1.0" encoding="utf-8"?>
<ds:datastoreItem xmlns:ds="http://schemas.openxmlformats.org/officeDocument/2006/customXml" ds:itemID="{5D78058F-13E3-4127-942B-007FEA3C4F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1188</Words>
  <Characters>6775</Characters>
  <Application>Microsoft Office Word</Application>
  <DocSecurity>0</DocSecurity>
  <PresentationFormat>11|.DOC</PresentationFormat>
  <Lines>56</Lines>
  <Paragraphs>15</Paragraphs>
  <ScaleCrop>false</ScaleCrop>
  <HeadingPairs>
    <vt:vector size="2" baseType="variant">
      <vt:variant>
        <vt:lpstr>Title</vt:lpstr>
      </vt:variant>
      <vt:variant>
        <vt:i4>1</vt:i4>
      </vt:variant>
    </vt:vector>
  </HeadingPairs>
  <TitlesOfParts>
    <vt:vector size="1" baseType="lpstr">
      <vt:lpstr>News Release re. Prospectus Supplement (D0377122).DOC</vt:lpstr>
    </vt:vector>
  </TitlesOfParts>
  <Manager> </Manager>
  <Company> </Company>
  <LinksUpToDate>false</LinksUpToDate>
  <CharactersWithSpaces>7948</CharactersWithSpaces>
  <SharedDoc>false</SharedDoc>
  <HLinks>
    <vt:vector size="6" baseType="variant">
      <vt:variant>
        <vt:i4>5242988</vt:i4>
      </vt:variant>
      <vt:variant>
        <vt:i4>0</vt:i4>
      </vt:variant>
      <vt:variant>
        <vt:i4>0</vt:i4>
      </vt:variant>
      <vt:variant>
        <vt:i4>5</vt:i4>
      </vt:variant>
      <vt:variant>
        <vt:lpwstr>mailto:investor@geminalabs.com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re. Prospectus Supplement (D0377122-2).DOC</dc:title>
  <dc:subject> </dc:subject>
  <dc:creator>David Rokoss</dc:creator>
  <cp:keywords> </cp:keywords>
  <dc:description> </dc:description>
  <cp:lastModifiedBy>David Rokoss</cp:lastModifiedBy>
  <cp:revision>2</cp:revision>
  <dcterms:created xsi:type="dcterms:W3CDTF">2022-06-24T03:18:00Z</dcterms:created>
  <dcterms:modified xsi:type="dcterms:W3CDTF">2022-06-24T03:18:00Z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a519618d-213d-4f80-8228-96cfeb196492</vt:lpwstr>
  </property>
  <property fmtid="{D5CDD505-2E9C-101B-9397-08002B2CF9AE}" pid="3" name="CUS_DocIDActiveBits">
    <vt:lpwstr>98304</vt:lpwstr>
  </property>
  <property fmtid="{D5CDD505-2E9C-101B-9397-08002B2CF9AE}" pid="4" name="CUS_DocIDLocation">
    <vt:lpwstr>NO_DOC_ID</vt:lpwstr>
  </property>
  <property fmtid="{D5CDD505-2E9C-101B-9397-08002B2CF9AE}" pid="5" name="CUS_DocIDReference">
    <vt:lpwstr>noDocID</vt:lpwstr>
  </property>
  <property fmtid="{D5CDD505-2E9C-101B-9397-08002B2CF9AE}" pid="6" name="MediaServiceImageTags">
    <vt:lpwstr/>
  </property>
  <property fmtid="{D5CDD505-2E9C-101B-9397-08002B2CF9AE}" pid="7" name="ContentTypeId">
    <vt:lpwstr>0x010100172B4C542BFF1244A8D61ED513644109</vt:lpwstr>
  </property>
</Properties>
</file>