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7E13BCC9"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65,520,100</w:t>
      </w:r>
    </w:p>
    <w:p w14:paraId="6BEE0730" w14:textId="27DEA63C"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136C8F">
        <w:rPr>
          <w:rFonts w:ascii="Arial" w:hAnsi="Arial"/>
          <w:color w:val="000000"/>
          <w:sz w:val="22"/>
          <w:szCs w:val="22"/>
          <w:u w:val="single"/>
        </w:rPr>
        <w:t>September</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044001">
        <w:rPr>
          <w:rFonts w:ascii="Arial" w:hAnsi="Arial"/>
          <w:color w:val="000000"/>
          <w:sz w:val="22"/>
          <w:szCs w:val="22"/>
          <w:u w:val="single"/>
        </w:rPr>
        <w:t>1</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0B55D64D" w14:textId="2BABFFCE" w:rsidR="004E6550" w:rsidRDefault="00A772C0" w:rsidP="00086E9E">
      <w:pPr>
        <w:ind w:left="720"/>
        <w:jc w:val="both"/>
        <w:rPr>
          <w:rFonts w:ascii="Arial" w:hAnsi="Arial" w:cs="Arial"/>
          <w:b/>
          <w:sz w:val="22"/>
          <w:szCs w:val="22"/>
        </w:rPr>
      </w:pPr>
      <w:r>
        <w:rPr>
          <w:rFonts w:ascii="Arial" w:hAnsi="Arial" w:cs="Arial"/>
          <w:b/>
          <w:sz w:val="22"/>
          <w:szCs w:val="22"/>
        </w:rPr>
        <w:t xml:space="preserve">During the month of </w:t>
      </w:r>
      <w:r w:rsidR="00136C8F">
        <w:rPr>
          <w:rFonts w:ascii="Arial" w:hAnsi="Arial" w:cs="Arial"/>
          <w:b/>
          <w:sz w:val="22"/>
          <w:szCs w:val="22"/>
        </w:rPr>
        <w:t>September</w:t>
      </w:r>
      <w:r>
        <w:rPr>
          <w:rFonts w:ascii="Arial" w:hAnsi="Arial" w:cs="Arial"/>
          <w:b/>
          <w:sz w:val="22"/>
          <w:szCs w:val="22"/>
        </w:rPr>
        <w:t xml:space="preserve">, 2021, the Issuer continued its </w:t>
      </w:r>
      <w:r w:rsidR="00BC74D3">
        <w:rPr>
          <w:rFonts w:ascii="Arial" w:hAnsi="Arial" w:cs="Arial"/>
          <w:b/>
          <w:sz w:val="22"/>
          <w:szCs w:val="22"/>
        </w:rPr>
        <w:t>work</w:t>
      </w:r>
      <w:r>
        <w:rPr>
          <w:rFonts w:ascii="Arial" w:hAnsi="Arial" w:cs="Arial"/>
          <w:b/>
          <w:sz w:val="22"/>
          <w:szCs w:val="22"/>
        </w:rPr>
        <w:t xml:space="preserve"> on the Belvais project in the Abitibi, Québec. </w:t>
      </w:r>
      <w:r w:rsidR="00136C8F">
        <w:rPr>
          <w:rFonts w:ascii="Arial" w:hAnsi="Arial" w:cs="Arial"/>
          <w:b/>
          <w:sz w:val="22"/>
          <w:szCs w:val="22"/>
        </w:rPr>
        <w:t>Further drill holes have been planned for Phase 2 of the program</w:t>
      </w:r>
      <w:r w:rsidR="006F2400">
        <w:rPr>
          <w:rFonts w:ascii="Arial" w:hAnsi="Arial" w:cs="Arial"/>
          <w:b/>
          <w:sz w:val="22"/>
          <w:szCs w:val="22"/>
        </w:rPr>
        <w:t xml:space="preserve"> utilizing data obtained from Phase 1 drilling</w:t>
      </w:r>
      <w:r w:rsidR="00BC74D3">
        <w:rPr>
          <w:rFonts w:ascii="Arial" w:hAnsi="Arial" w:cs="Arial"/>
          <w:b/>
          <w:sz w:val="22"/>
          <w:szCs w:val="22"/>
        </w:rPr>
        <w:t xml:space="preserve">. </w:t>
      </w:r>
      <w:r w:rsidR="006F2400">
        <w:rPr>
          <w:rFonts w:ascii="Arial" w:hAnsi="Arial" w:cs="Arial"/>
          <w:b/>
          <w:sz w:val="22"/>
          <w:szCs w:val="22"/>
        </w:rPr>
        <w:t>In addition, t</w:t>
      </w:r>
      <w:r w:rsidR="00BC74D3">
        <w:rPr>
          <w:rFonts w:ascii="Arial" w:hAnsi="Arial" w:cs="Arial"/>
          <w:b/>
          <w:sz w:val="22"/>
          <w:szCs w:val="22"/>
        </w:rPr>
        <w:t xml:space="preserve">here are still many untested high priority drill targets remaining, including some along the ‘Mine Horizon’ (a geological package just north of the Normétal fault) where neighboring companies Starr Peak Exploration and Amex Exploration have recently made new VMS discoveries. </w:t>
      </w:r>
      <w:r w:rsidR="006F2400">
        <w:rPr>
          <w:rFonts w:ascii="Arial" w:hAnsi="Arial" w:cs="Arial"/>
          <w:b/>
          <w:sz w:val="22"/>
          <w:szCs w:val="22"/>
        </w:rPr>
        <w:t xml:space="preserve">The Issuer has submitted paperwork for additional drill permits for new drill targets and continues to wait on receiving these.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7EDE17E2" w:rsidR="00D12400" w:rsidRPr="00D12400" w:rsidRDefault="000724C5"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5C507C1" w:rsidR="00640E94" w:rsidRPr="00E4377A" w:rsidRDefault="00BC74D3"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470275B0"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6F2400">
        <w:rPr>
          <w:rFonts w:ascii="Arial" w:hAnsi="Arial"/>
          <w:sz w:val="22"/>
          <w:szCs w:val="22"/>
          <w:u w:val="single"/>
        </w:rPr>
        <w:t>October</w:t>
      </w:r>
      <w:r w:rsidR="000858F9">
        <w:rPr>
          <w:rFonts w:ascii="Arial" w:hAnsi="Arial"/>
          <w:sz w:val="22"/>
          <w:szCs w:val="22"/>
          <w:u w:val="single"/>
        </w:rPr>
        <w:t xml:space="preserve"> </w:t>
      </w:r>
      <w:r w:rsidR="006F2400">
        <w:rPr>
          <w:rFonts w:ascii="Arial" w:hAnsi="Arial"/>
          <w:sz w:val="22"/>
          <w:szCs w:val="22"/>
          <w:u w:val="single"/>
        </w:rPr>
        <w:t>4</w:t>
      </w:r>
      <w:r w:rsidR="00CC69DA">
        <w:rPr>
          <w:rFonts w:ascii="Arial" w:hAnsi="Arial"/>
          <w:sz w:val="22"/>
          <w:szCs w:val="22"/>
          <w:u w:val="single"/>
        </w:rPr>
        <w:t>, 202</w:t>
      </w:r>
      <w:r w:rsidR="000F589B">
        <w:rPr>
          <w:rFonts w:ascii="Arial" w:hAnsi="Arial"/>
          <w:sz w:val="22"/>
          <w:szCs w:val="22"/>
          <w:u w:val="single"/>
        </w:rPr>
        <w:t>1</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003F6C34" w14:textId="3BEFF0BB" w:rsidR="003C0C11" w:rsidRPr="00C70CD1" w:rsidRDefault="003C0C11">
            <w:pPr>
              <w:pStyle w:val="BodyText"/>
              <w:spacing w:before="0"/>
              <w:rPr>
                <w:rFonts w:ascii="Arial" w:hAnsi="Arial"/>
                <w:sz w:val="22"/>
                <w:szCs w:val="22"/>
              </w:rPr>
            </w:pPr>
            <w:r w:rsidRPr="00C70CD1">
              <w:rPr>
                <w:rFonts w:ascii="Arial" w:hAnsi="Arial"/>
                <w:sz w:val="22"/>
                <w:szCs w:val="22"/>
              </w:rPr>
              <w:t>Generic Gold Corp.</w:t>
            </w:r>
          </w:p>
          <w:p w14:paraId="24EAC56D" w14:textId="77777777" w:rsidR="00640E94" w:rsidRPr="00C70CD1" w:rsidRDefault="00640E94">
            <w:pPr>
              <w:pStyle w:val="BodyText"/>
              <w:rPr>
                <w:rFonts w:ascii="Arial" w:hAnsi="Arial"/>
                <w:sz w:val="22"/>
                <w:szCs w:val="22"/>
              </w:rPr>
            </w:pP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2F36F0C1" w:rsidR="003C0C11" w:rsidRPr="00C70CD1" w:rsidRDefault="006F2400" w:rsidP="00C84E48">
            <w:pPr>
              <w:pStyle w:val="BodyText"/>
              <w:spacing w:before="0"/>
              <w:rPr>
                <w:rFonts w:ascii="Arial" w:hAnsi="Arial"/>
                <w:sz w:val="22"/>
                <w:szCs w:val="22"/>
              </w:rPr>
            </w:pPr>
            <w:r>
              <w:rPr>
                <w:rFonts w:ascii="Arial" w:hAnsi="Arial"/>
                <w:sz w:val="22"/>
                <w:szCs w:val="22"/>
              </w:rPr>
              <w:t>September</w:t>
            </w:r>
            <w:r w:rsidR="00CC69DA">
              <w:rPr>
                <w:rFonts w:ascii="Arial" w:hAnsi="Arial"/>
                <w:sz w:val="22"/>
                <w:szCs w:val="22"/>
              </w:rPr>
              <w:t xml:space="preserve"> 202</w:t>
            </w:r>
            <w:r w:rsidR="00085398">
              <w:rPr>
                <w:rFonts w:ascii="Arial" w:hAnsi="Arial"/>
                <w:sz w:val="22"/>
                <w:szCs w:val="22"/>
              </w:rPr>
              <w:t>1</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48A9A96F" w:rsidR="00A819B2" w:rsidRPr="00C70CD1" w:rsidRDefault="00085398" w:rsidP="001D2E27">
            <w:pPr>
              <w:pStyle w:val="BodyText"/>
              <w:spacing w:before="0"/>
              <w:rPr>
                <w:rFonts w:ascii="Arial" w:hAnsi="Arial"/>
                <w:sz w:val="22"/>
                <w:szCs w:val="22"/>
              </w:rPr>
            </w:pPr>
            <w:r>
              <w:rPr>
                <w:rFonts w:ascii="Arial" w:hAnsi="Arial"/>
                <w:sz w:val="22"/>
                <w:szCs w:val="22"/>
              </w:rPr>
              <w:t>21/</w:t>
            </w:r>
            <w:r w:rsidR="00F07852">
              <w:rPr>
                <w:rFonts w:ascii="Arial" w:hAnsi="Arial"/>
                <w:sz w:val="22"/>
                <w:szCs w:val="22"/>
              </w:rPr>
              <w:t>10</w:t>
            </w:r>
            <w:r>
              <w:rPr>
                <w:rFonts w:ascii="Arial" w:hAnsi="Arial"/>
                <w:sz w:val="22"/>
                <w:szCs w:val="22"/>
              </w:rPr>
              <w:t>/</w:t>
            </w:r>
            <w:r w:rsidR="00F07852">
              <w:rPr>
                <w:rFonts w:ascii="Arial" w:hAnsi="Arial"/>
                <w:sz w:val="22"/>
                <w:szCs w:val="22"/>
              </w:rPr>
              <w:t>04</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A37767">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095EC2CD" w14:textId="77777777" w:rsidR="00640E94" w:rsidRDefault="00640E94" w:rsidP="00BA324E">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C9D2" w14:textId="77777777" w:rsidR="00A37767" w:rsidRDefault="00A37767">
      <w:r>
        <w:separator/>
      </w:r>
    </w:p>
  </w:endnote>
  <w:endnote w:type="continuationSeparator" w:id="0">
    <w:p w14:paraId="073D66F1" w14:textId="77777777" w:rsidR="00A37767" w:rsidRDefault="00A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3606" w14:textId="77777777" w:rsidR="00A37767" w:rsidRDefault="00A37767">
      <w:r>
        <w:separator/>
      </w:r>
    </w:p>
  </w:footnote>
  <w:footnote w:type="continuationSeparator" w:id="0">
    <w:p w14:paraId="1E56A1F4" w14:textId="77777777" w:rsidR="00A37767" w:rsidRDefault="00A3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D2E27"/>
    <w:rsid w:val="00222E52"/>
    <w:rsid w:val="002B1C88"/>
    <w:rsid w:val="002C281E"/>
    <w:rsid w:val="002F00EB"/>
    <w:rsid w:val="003669A9"/>
    <w:rsid w:val="00371A64"/>
    <w:rsid w:val="00387FA8"/>
    <w:rsid w:val="00392054"/>
    <w:rsid w:val="003C0C11"/>
    <w:rsid w:val="00452848"/>
    <w:rsid w:val="00461114"/>
    <w:rsid w:val="00497274"/>
    <w:rsid w:val="004B4DD4"/>
    <w:rsid w:val="004E6550"/>
    <w:rsid w:val="00501CF6"/>
    <w:rsid w:val="0053296F"/>
    <w:rsid w:val="00536F81"/>
    <w:rsid w:val="005413FE"/>
    <w:rsid w:val="005453C8"/>
    <w:rsid w:val="00563F52"/>
    <w:rsid w:val="0058603C"/>
    <w:rsid w:val="005C783D"/>
    <w:rsid w:val="005D42B0"/>
    <w:rsid w:val="005F69AC"/>
    <w:rsid w:val="005F6D8F"/>
    <w:rsid w:val="00620E7F"/>
    <w:rsid w:val="00626C12"/>
    <w:rsid w:val="00633ED3"/>
    <w:rsid w:val="00635E9A"/>
    <w:rsid w:val="00640E94"/>
    <w:rsid w:val="00664848"/>
    <w:rsid w:val="006C0C86"/>
    <w:rsid w:val="006D1A06"/>
    <w:rsid w:val="006F2400"/>
    <w:rsid w:val="007E1C24"/>
    <w:rsid w:val="00817849"/>
    <w:rsid w:val="0083616D"/>
    <w:rsid w:val="00857C71"/>
    <w:rsid w:val="008B7E92"/>
    <w:rsid w:val="008C5912"/>
    <w:rsid w:val="008E7F86"/>
    <w:rsid w:val="008F2787"/>
    <w:rsid w:val="00906D64"/>
    <w:rsid w:val="00913F67"/>
    <w:rsid w:val="00922A46"/>
    <w:rsid w:val="00976298"/>
    <w:rsid w:val="009D3271"/>
    <w:rsid w:val="00A37767"/>
    <w:rsid w:val="00A47914"/>
    <w:rsid w:val="00A62455"/>
    <w:rsid w:val="00A772C0"/>
    <w:rsid w:val="00A819B2"/>
    <w:rsid w:val="00A96F31"/>
    <w:rsid w:val="00AD7258"/>
    <w:rsid w:val="00B0160D"/>
    <w:rsid w:val="00B72A60"/>
    <w:rsid w:val="00BA324E"/>
    <w:rsid w:val="00BA79B3"/>
    <w:rsid w:val="00BC74D3"/>
    <w:rsid w:val="00C27A18"/>
    <w:rsid w:val="00C32C0E"/>
    <w:rsid w:val="00C41656"/>
    <w:rsid w:val="00C56F17"/>
    <w:rsid w:val="00C6383E"/>
    <w:rsid w:val="00C70CD1"/>
    <w:rsid w:val="00C711D2"/>
    <w:rsid w:val="00C84E48"/>
    <w:rsid w:val="00C924D8"/>
    <w:rsid w:val="00C93A5C"/>
    <w:rsid w:val="00CC69DA"/>
    <w:rsid w:val="00D12400"/>
    <w:rsid w:val="00D42067"/>
    <w:rsid w:val="00D52B42"/>
    <w:rsid w:val="00D80729"/>
    <w:rsid w:val="00DA0CF8"/>
    <w:rsid w:val="00DB00D3"/>
    <w:rsid w:val="00E33A56"/>
    <w:rsid w:val="00E36141"/>
    <w:rsid w:val="00E40C18"/>
    <w:rsid w:val="00E4377A"/>
    <w:rsid w:val="00E50148"/>
    <w:rsid w:val="00E83E58"/>
    <w:rsid w:val="00E95AF7"/>
    <w:rsid w:val="00EC5685"/>
    <w:rsid w:val="00F07852"/>
    <w:rsid w:val="00F31E4D"/>
    <w:rsid w:val="00F44CFD"/>
    <w:rsid w:val="00FB1251"/>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2021-10-05T17:15:00Z</dcterms:created>
  <dcterms:modified xsi:type="dcterms:W3CDTF">2021-10-05T17:15:00Z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