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3E2D0F2A"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FB1ADA">
        <w:rPr>
          <w:rFonts w:ascii="Arial" w:hAnsi="Arial"/>
          <w:color w:val="000000"/>
          <w:sz w:val="22"/>
          <w:szCs w:val="22"/>
          <w:u w:val="single"/>
        </w:rPr>
        <w:t>October</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044001">
        <w:rPr>
          <w:rFonts w:ascii="Arial" w:hAnsi="Arial"/>
          <w:color w:val="000000"/>
          <w:sz w:val="22"/>
          <w:szCs w:val="22"/>
          <w:u w:val="single"/>
        </w:rPr>
        <w:t>1</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0B55D64D" w14:textId="238C1CE0" w:rsidR="004E6550" w:rsidRDefault="00A772C0" w:rsidP="00086E9E">
      <w:pPr>
        <w:ind w:left="720"/>
        <w:jc w:val="both"/>
        <w:rPr>
          <w:rFonts w:ascii="Arial" w:hAnsi="Arial" w:cs="Arial"/>
          <w:b/>
          <w:sz w:val="22"/>
          <w:szCs w:val="22"/>
        </w:rPr>
      </w:pPr>
      <w:r>
        <w:rPr>
          <w:rFonts w:ascii="Arial" w:hAnsi="Arial" w:cs="Arial"/>
          <w:b/>
          <w:sz w:val="22"/>
          <w:szCs w:val="22"/>
        </w:rPr>
        <w:t xml:space="preserve">During the month of </w:t>
      </w:r>
      <w:r w:rsidR="00BA2A43">
        <w:rPr>
          <w:rFonts w:ascii="Arial" w:hAnsi="Arial" w:cs="Arial"/>
          <w:b/>
          <w:sz w:val="22"/>
          <w:szCs w:val="22"/>
        </w:rPr>
        <w:t>October</w:t>
      </w:r>
      <w:r>
        <w:rPr>
          <w:rFonts w:ascii="Arial" w:hAnsi="Arial" w:cs="Arial"/>
          <w:b/>
          <w:sz w:val="22"/>
          <w:szCs w:val="22"/>
        </w:rPr>
        <w:t xml:space="preserve">, 2021, the Issuer continued its </w:t>
      </w:r>
      <w:r w:rsidR="00BC74D3">
        <w:rPr>
          <w:rFonts w:ascii="Arial" w:hAnsi="Arial" w:cs="Arial"/>
          <w:b/>
          <w:sz w:val="22"/>
          <w:szCs w:val="22"/>
        </w:rPr>
        <w:t>work</w:t>
      </w:r>
      <w:r>
        <w:rPr>
          <w:rFonts w:ascii="Arial" w:hAnsi="Arial" w:cs="Arial"/>
          <w:b/>
          <w:sz w:val="22"/>
          <w:szCs w:val="22"/>
        </w:rPr>
        <w:t xml:space="preserve"> on the Belvais project in the Abitibi, Québec. </w:t>
      </w:r>
      <w:r w:rsidR="007F6B34">
        <w:rPr>
          <w:rFonts w:ascii="Arial" w:hAnsi="Arial" w:cs="Arial"/>
          <w:b/>
          <w:sz w:val="22"/>
          <w:szCs w:val="22"/>
        </w:rPr>
        <w:t xml:space="preserve">On </w:t>
      </w:r>
      <w:r w:rsidR="00A11A13">
        <w:rPr>
          <w:rFonts w:ascii="Arial" w:hAnsi="Arial" w:cs="Arial"/>
          <w:b/>
          <w:sz w:val="22"/>
          <w:szCs w:val="22"/>
        </w:rPr>
        <w:t xml:space="preserve">October 28, the Issuer announced its plans for Phase 2 of drilling at Belvais as well as providing an update on Phase 1 results. Drill targets for the Phase 2 program include holes along the Normétal Mine Horizon (the same geological package where neighboring Starr Peak Mining and Amex Exploration have made recent VMS discoveries), IP targets to the south-west of Normétal (obtained from a 2019 survey), as well as new EM plates obtained from conducting BHEM (borehole electromagnetics) during the Phase 1 program. </w:t>
      </w:r>
      <w:r w:rsidR="00A11A13">
        <w:rPr>
          <w:rFonts w:ascii="Arial" w:hAnsi="Arial" w:cs="Arial"/>
          <w:b/>
          <w:sz w:val="22"/>
          <w:szCs w:val="22"/>
        </w:rPr>
        <w:lastRenderedPageBreak/>
        <w:t xml:space="preserve">Paperwork has been submitted for additional drill permits and drilling is planned to recommence as soon as possible over the coming months. </w:t>
      </w:r>
      <w:r w:rsidR="006F2400">
        <w:rPr>
          <w:rFonts w:ascii="Arial" w:hAnsi="Arial" w:cs="Arial"/>
          <w:b/>
          <w:sz w:val="22"/>
          <w:szCs w:val="22"/>
        </w:rPr>
        <w:t xml:space="preserve"> </w:t>
      </w: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7EDE17E2" w:rsidR="00D12400" w:rsidRPr="00D12400" w:rsidRDefault="000724C5"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7E256819" w14:textId="513C7A71" w:rsidR="00BA2A43" w:rsidRPr="00E4377A" w:rsidRDefault="00BC74D3"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281"/>
        <w:gridCol w:w="2507"/>
        <w:gridCol w:w="2394"/>
      </w:tblGrid>
      <w:tr w:rsidR="00BA2A43" w:rsidRPr="00C70CD1" w14:paraId="4260F85C" w14:textId="77777777" w:rsidTr="00410A47">
        <w:tc>
          <w:tcPr>
            <w:tcW w:w="2394" w:type="dxa"/>
          </w:tcPr>
          <w:p w14:paraId="7C17900C" w14:textId="77777777" w:rsidR="00BA2A43" w:rsidRPr="00C70CD1" w:rsidRDefault="00BA2A43" w:rsidP="00BA3815">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Security</w:t>
            </w:r>
          </w:p>
        </w:tc>
        <w:tc>
          <w:tcPr>
            <w:tcW w:w="2281" w:type="dxa"/>
          </w:tcPr>
          <w:p w14:paraId="2EFE1E10" w14:textId="77777777" w:rsidR="00BA2A43" w:rsidRPr="00C70CD1" w:rsidRDefault="00BA2A43" w:rsidP="00BA3815">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Number Issued</w:t>
            </w:r>
          </w:p>
        </w:tc>
        <w:tc>
          <w:tcPr>
            <w:tcW w:w="2507" w:type="dxa"/>
          </w:tcPr>
          <w:p w14:paraId="65D40F79" w14:textId="77777777" w:rsidR="00BA2A43" w:rsidRPr="00C70CD1" w:rsidRDefault="00BA2A43" w:rsidP="00BA3815">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Details of Issuance</w:t>
            </w:r>
          </w:p>
        </w:tc>
        <w:tc>
          <w:tcPr>
            <w:tcW w:w="2394" w:type="dxa"/>
          </w:tcPr>
          <w:p w14:paraId="13626FA0" w14:textId="44A44D03" w:rsidR="00BA2A43" w:rsidRPr="00C70CD1" w:rsidRDefault="00BA2A43" w:rsidP="00BA3815">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Use of Proceeds</w:t>
            </w:r>
            <w:r w:rsidRPr="00C70CD1">
              <w:rPr>
                <w:rFonts w:ascii="Arial" w:hAnsi="Arial"/>
                <w:b/>
                <w:sz w:val="22"/>
                <w:szCs w:val="22"/>
                <w:vertAlign w:val="superscript"/>
              </w:rPr>
              <w:t xml:space="preserve"> (1)</w:t>
            </w:r>
          </w:p>
        </w:tc>
      </w:tr>
      <w:tr w:rsidR="00BA2A43" w:rsidRPr="00C70CD1" w14:paraId="7455DBDD" w14:textId="77777777" w:rsidTr="00410A47">
        <w:tc>
          <w:tcPr>
            <w:tcW w:w="2394" w:type="dxa"/>
          </w:tcPr>
          <w:p w14:paraId="1D24B3D8" w14:textId="77777777" w:rsidR="00BA2A43" w:rsidRPr="00C56F17" w:rsidRDefault="00BA2A43" w:rsidP="00BA3815">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Common Shares</w:t>
            </w:r>
          </w:p>
        </w:tc>
        <w:tc>
          <w:tcPr>
            <w:tcW w:w="2281" w:type="dxa"/>
          </w:tcPr>
          <w:p w14:paraId="241437D1" w14:textId="68BB9314" w:rsidR="00BA2A43" w:rsidRPr="00C56F17" w:rsidRDefault="00BA2A43" w:rsidP="00BA3815">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180,000</w:t>
            </w:r>
          </w:p>
        </w:tc>
        <w:tc>
          <w:tcPr>
            <w:tcW w:w="2507" w:type="dxa"/>
          </w:tcPr>
          <w:p w14:paraId="36AE184E" w14:textId="772D3C7A" w:rsidR="00BA2A43" w:rsidRPr="00C56F17" w:rsidRDefault="00BA2A43" w:rsidP="00410A47">
            <w:pPr>
              <w:pStyle w:val="List"/>
              <w:tabs>
                <w:tab w:val="left" w:pos="360"/>
              </w:tabs>
              <w:spacing w:before="0" w:line="280" w:lineRule="exact"/>
              <w:ind w:left="0" w:firstLine="0"/>
              <w:jc w:val="both"/>
              <w:rPr>
                <w:rFonts w:ascii="Arial" w:hAnsi="Arial"/>
                <w:sz w:val="22"/>
                <w:szCs w:val="22"/>
              </w:rPr>
            </w:pPr>
            <w:r>
              <w:rPr>
                <w:rFonts w:ascii="Arial" w:hAnsi="Arial"/>
                <w:sz w:val="22"/>
                <w:szCs w:val="22"/>
              </w:rPr>
              <w:t xml:space="preserve">Exercise of an aggregate of 180,000 options for </w:t>
            </w:r>
            <w:r w:rsidR="00896DA6">
              <w:rPr>
                <w:rFonts w:ascii="Arial" w:hAnsi="Arial"/>
                <w:sz w:val="22"/>
                <w:szCs w:val="22"/>
              </w:rPr>
              <w:t xml:space="preserve">common shares </w:t>
            </w:r>
            <w:r>
              <w:rPr>
                <w:rFonts w:ascii="Arial" w:hAnsi="Arial"/>
                <w:sz w:val="22"/>
                <w:szCs w:val="22"/>
              </w:rPr>
              <w:t>at an exercise price of $0.25 per common share for gross proceeds of $45,000.</w:t>
            </w:r>
          </w:p>
        </w:tc>
        <w:tc>
          <w:tcPr>
            <w:tcW w:w="2394" w:type="dxa"/>
          </w:tcPr>
          <w:p w14:paraId="4FE737D6" w14:textId="77777777" w:rsidR="00BA2A43" w:rsidRPr="00C56F17" w:rsidRDefault="00BA2A43" w:rsidP="00BA3815">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 xml:space="preserve">General working capital </w:t>
            </w:r>
          </w:p>
        </w:tc>
      </w:tr>
    </w:tbl>
    <w:p w14:paraId="552C6CEF" w14:textId="70AF4765" w:rsidR="00640E94" w:rsidRPr="00E4377A" w:rsidRDefault="00BA2A43" w:rsidP="00E4377A">
      <w:pPr>
        <w:pStyle w:val="List"/>
        <w:tabs>
          <w:tab w:val="left" w:pos="360"/>
        </w:tabs>
        <w:spacing w:before="120" w:after="240"/>
        <w:ind w:left="0" w:firstLine="0"/>
        <w:jc w:val="both"/>
        <w:rPr>
          <w:rFonts w:ascii="Arial" w:hAnsi="Arial"/>
          <w:i/>
          <w:sz w:val="22"/>
          <w:szCs w:val="22"/>
        </w:rPr>
      </w:pPr>
      <w:r w:rsidRPr="00C70CD1">
        <w:rPr>
          <w:rFonts w:ascii="Arial" w:hAnsi="Arial"/>
          <w:i/>
          <w:sz w:val="22"/>
          <w:szCs w:val="22"/>
        </w:rPr>
        <w:t>(1)</w:t>
      </w:r>
      <w:r w:rsidRPr="00C70CD1">
        <w:rPr>
          <w:rFonts w:ascii="Arial" w:hAnsi="Arial"/>
          <w:i/>
          <w:sz w:val="22"/>
          <w:szCs w:val="22"/>
        </w:rPr>
        <w:tab/>
        <w:t>State aggregate proceeds and intended allocation of proceeds.</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5F6C0408"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BA2A43">
        <w:rPr>
          <w:rFonts w:ascii="Arial" w:hAnsi="Arial"/>
          <w:sz w:val="22"/>
          <w:szCs w:val="22"/>
          <w:u w:val="single"/>
        </w:rPr>
        <w:t>November</w:t>
      </w:r>
      <w:r w:rsidR="000858F9">
        <w:rPr>
          <w:rFonts w:ascii="Arial" w:hAnsi="Arial"/>
          <w:sz w:val="22"/>
          <w:szCs w:val="22"/>
          <w:u w:val="single"/>
        </w:rPr>
        <w:t xml:space="preserve"> </w:t>
      </w:r>
      <w:r w:rsidR="00BA2A43">
        <w:rPr>
          <w:rFonts w:ascii="Arial" w:hAnsi="Arial"/>
          <w:sz w:val="22"/>
          <w:szCs w:val="22"/>
          <w:u w:val="single"/>
        </w:rPr>
        <w:t>2</w:t>
      </w:r>
      <w:r w:rsidR="00CC69DA">
        <w:rPr>
          <w:rFonts w:ascii="Arial" w:hAnsi="Arial"/>
          <w:sz w:val="22"/>
          <w:szCs w:val="22"/>
          <w:u w:val="single"/>
        </w:rPr>
        <w:t>, 202</w:t>
      </w:r>
      <w:r w:rsidR="000F589B">
        <w:rPr>
          <w:rFonts w:ascii="Arial" w:hAnsi="Arial"/>
          <w:sz w:val="22"/>
          <w:szCs w:val="22"/>
          <w:u w:val="single"/>
        </w:rPr>
        <w:t>1</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003F6C34" w14:textId="3BEFF0BB" w:rsidR="003C0C11" w:rsidRPr="00C70CD1" w:rsidRDefault="003C0C11">
            <w:pPr>
              <w:pStyle w:val="BodyText"/>
              <w:spacing w:before="0"/>
              <w:rPr>
                <w:rFonts w:ascii="Arial" w:hAnsi="Arial"/>
                <w:sz w:val="22"/>
                <w:szCs w:val="22"/>
              </w:rPr>
            </w:pPr>
            <w:r w:rsidRPr="00C70CD1">
              <w:rPr>
                <w:rFonts w:ascii="Arial" w:hAnsi="Arial"/>
                <w:sz w:val="22"/>
                <w:szCs w:val="22"/>
              </w:rPr>
              <w:t>Generic Gold Corp.</w:t>
            </w:r>
          </w:p>
          <w:p w14:paraId="24EAC56D" w14:textId="77777777" w:rsidR="00640E94" w:rsidRPr="00C70CD1" w:rsidRDefault="00640E94">
            <w:pPr>
              <w:pStyle w:val="BodyText"/>
              <w:rPr>
                <w:rFonts w:ascii="Arial" w:hAnsi="Arial"/>
                <w:sz w:val="22"/>
                <w:szCs w:val="22"/>
              </w:rPr>
            </w:pP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1A18BAAB" w:rsidR="003C0C11" w:rsidRPr="00C70CD1" w:rsidRDefault="00BA2A43" w:rsidP="00C84E48">
            <w:pPr>
              <w:pStyle w:val="BodyText"/>
              <w:spacing w:before="0"/>
              <w:rPr>
                <w:rFonts w:ascii="Arial" w:hAnsi="Arial"/>
                <w:sz w:val="22"/>
                <w:szCs w:val="22"/>
              </w:rPr>
            </w:pPr>
            <w:r>
              <w:rPr>
                <w:rFonts w:ascii="Arial" w:hAnsi="Arial"/>
                <w:sz w:val="22"/>
                <w:szCs w:val="22"/>
              </w:rPr>
              <w:t>October</w:t>
            </w:r>
            <w:r w:rsidR="00CC69DA">
              <w:rPr>
                <w:rFonts w:ascii="Arial" w:hAnsi="Arial"/>
                <w:sz w:val="22"/>
                <w:szCs w:val="22"/>
              </w:rPr>
              <w:t xml:space="preserve"> 202</w:t>
            </w:r>
            <w:r w:rsidR="00085398">
              <w:rPr>
                <w:rFonts w:ascii="Arial" w:hAnsi="Arial"/>
                <w:sz w:val="22"/>
                <w:szCs w:val="22"/>
              </w:rPr>
              <w:t>1</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78720ADE" w:rsidR="00A819B2" w:rsidRPr="00C70CD1" w:rsidRDefault="00085398" w:rsidP="001D2E27">
            <w:pPr>
              <w:pStyle w:val="BodyText"/>
              <w:spacing w:before="0"/>
              <w:rPr>
                <w:rFonts w:ascii="Arial" w:hAnsi="Arial"/>
                <w:sz w:val="22"/>
                <w:szCs w:val="22"/>
              </w:rPr>
            </w:pPr>
            <w:r>
              <w:rPr>
                <w:rFonts w:ascii="Arial" w:hAnsi="Arial"/>
                <w:sz w:val="22"/>
                <w:szCs w:val="22"/>
              </w:rPr>
              <w:t>21/</w:t>
            </w:r>
            <w:r w:rsidR="00F07852">
              <w:rPr>
                <w:rFonts w:ascii="Arial" w:hAnsi="Arial"/>
                <w:sz w:val="22"/>
                <w:szCs w:val="22"/>
              </w:rPr>
              <w:t>1</w:t>
            </w:r>
            <w:r w:rsidR="00BA2A43">
              <w:rPr>
                <w:rFonts w:ascii="Arial" w:hAnsi="Arial"/>
                <w:sz w:val="22"/>
                <w:szCs w:val="22"/>
              </w:rPr>
              <w:t>1</w:t>
            </w:r>
            <w:r>
              <w:rPr>
                <w:rFonts w:ascii="Arial" w:hAnsi="Arial"/>
                <w:sz w:val="22"/>
                <w:szCs w:val="22"/>
              </w:rPr>
              <w:t>/</w:t>
            </w:r>
            <w:r w:rsidR="00F07852">
              <w:rPr>
                <w:rFonts w:ascii="Arial" w:hAnsi="Arial"/>
                <w:sz w:val="22"/>
                <w:szCs w:val="22"/>
              </w:rPr>
              <w:t>0</w:t>
            </w:r>
            <w:r w:rsidR="00BA2A43">
              <w:rPr>
                <w:rFonts w:ascii="Arial" w:hAnsi="Arial"/>
                <w:sz w:val="22"/>
                <w:szCs w:val="22"/>
              </w:rPr>
              <w:t>2</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605535">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095EC2CD" w14:textId="77777777" w:rsidR="00640E94" w:rsidRDefault="00640E94" w:rsidP="00BA324E">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D7B0" w14:textId="77777777" w:rsidR="00605535" w:rsidRDefault="00605535">
      <w:r>
        <w:separator/>
      </w:r>
    </w:p>
  </w:endnote>
  <w:endnote w:type="continuationSeparator" w:id="0">
    <w:p w14:paraId="5152173E" w14:textId="77777777" w:rsidR="00605535" w:rsidRDefault="0060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7F8E" w14:textId="77777777" w:rsidR="00605535" w:rsidRDefault="00605535">
      <w:r>
        <w:separator/>
      </w:r>
    </w:p>
  </w:footnote>
  <w:footnote w:type="continuationSeparator" w:id="0">
    <w:p w14:paraId="4CDC06C7" w14:textId="77777777" w:rsidR="00605535" w:rsidRDefault="0060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20866"/>
    <w:rsid w:val="00040A12"/>
    <w:rsid w:val="00044001"/>
    <w:rsid w:val="00061DB3"/>
    <w:rsid w:val="000634E2"/>
    <w:rsid w:val="000724C5"/>
    <w:rsid w:val="00083789"/>
    <w:rsid w:val="00085398"/>
    <w:rsid w:val="000858F9"/>
    <w:rsid w:val="00086E9E"/>
    <w:rsid w:val="000968F1"/>
    <w:rsid w:val="000A1AB1"/>
    <w:rsid w:val="000F1843"/>
    <w:rsid w:val="000F589B"/>
    <w:rsid w:val="00136C8F"/>
    <w:rsid w:val="0017113F"/>
    <w:rsid w:val="00185216"/>
    <w:rsid w:val="00190E97"/>
    <w:rsid w:val="001D2E27"/>
    <w:rsid w:val="00222E52"/>
    <w:rsid w:val="002B1C88"/>
    <w:rsid w:val="002C281E"/>
    <w:rsid w:val="002F00EB"/>
    <w:rsid w:val="003669A9"/>
    <w:rsid w:val="00371A64"/>
    <w:rsid w:val="00387FA8"/>
    <w:rsid w:val="00392054"/>
    <w:rsid w:val="003C0C11"/>
    <w:rsid w:val="00410A47"/>
    <w:rsid w:val="00452848"/>
    <w:rsid w:val="00461114"/>
    <w:rsid w:val="00497274"/>
    <w:rsid w:val="004B4DD4"/>
    <w:rsid w:val="004E6550"/>
    <w:rsid w:val="00501CF6"/>
    <w:rsid w:val="0053296F"/>
    <w:rsid w:val="00536F81"/>
    <w:rsid w:val="005413FE"/>
    <w:rsid w:val="005453C8"/>
    <w:rsid w:val="00563F52"/>
    <w:rsid w:val="0058603C"/>
    <w:rsid w:val="005C783D"/>
    <w:rsid w:val="005D42B0"/>
    <w:rsid w:val="005F69AC"/>
    <w:rsid w:val="005F6D8F"/>
    <w:rsid w:val="00605535"/>
    <w:rsid w:val="00620E7F"/>
    <w:rsid w:val="00626C12"/>
    <w:rsid w:val="00633ED3"/>
    <w:rsid w:val="00635E9A"/>
    <w:rsid w:val="00640E94"/>
    <w:rsid w:val="00664848"/>
    <w:rsid w:val="006C0C86"/>
    <w:rsid w:val="006D1A06"/>
    <w:rsid w:val="006F2400"/>
    <w:rsid w:val="007A4DF7"/>
    <w:rsid w:val="007E1C24"/>
    <w:rsid w:val="007F6B34"/>
    <w:rsid w:val="00817849"/>
    <w:rsid w:val="0083616D"/>
    <w:rsid w:val="00857C71"/>
    <w:rsid w:val="00896DA6"/>
    <w:rsid w:val="008B7E92"/>
    <w:rsid w:val="008C5912"/>
    <w:rsid w:val="008E7F86"/>
    <w:rsid w:val="008F2787"/>
    <w:rsid w:val="00906D64"/>
    <w:rsid w:val="00913F67"/>
    <w:rsid w:val="00922A46"/>
    <w:rsid w:val="00924081"/>
    <w:rsid w:val="00976298"/>
    <w:rsid w:val="009D3271"/>
    <w:rsid w:val="00A104D1"/>
    <w:rsid w:val="00A11A13"/>
    <w:rsid w:val="00A37767"/>
    <w:rsid w:val="00A47914"/>
    <w:rsid w:val="00A62455"/>
    <w:rsid w:val="00A772C0"/>
    <w:rsid w:val="00A819B2"/>
    <w:rsid w:val="00A96F31"/>
    <w:rsid w:val="00AB1A57"/>
    <w:rsid w:val="00AD7258"/>
    <w:rsid w:val="00B0160D"/>
    <w:rsid w:val="00B72A60"/>
    <w:rsid w:val="00BA2A43"/>
    <w:rsid w:val="00BA324E"/>
    <w:rsid w:val="00BA79B3"/>
    <w:rsid w:val="00BC74D3"/>
    <w:rsid w:val="00C27A18"/>
    <w:rsid w:val="00C32C0E"/>
    <w:rsid w:val="00C41656"/>
    <w:rsid w:val="00C56F17"/>
    <w:rsid w:val="00C6383E"/>
    <w:rsid w:val="00C70CD1"/>
    <w:rsid w:val="00C711D2"/>
    <w:rsid w:val="00C84E48"/>
    <w:rsid w:val="00C924D8"/>
    <w:rsid w:val="00C93A5C"/>
    <w:rsid w:val="00CC69DA"/>
    <w:rsid w:val="00D12400"/>
    <w:rsid w:val="00D42067"/>
    <w:rsid w:val="00D52B42"/>
    <w:rsid w:val="00D80729"/>
    <w:rsid w:val="00DA0CF8"/>
    <w:rsid w:val="00DB00D3"/>
    <w:rsid w:val="00E33A56"/>
    <w:rsid w:val="00E36141"/>
    <w:rsid w:val="00E40C18"/>
    <w:rsid w:val="00E4377A"/>
    <w:rsid w:val="00E50148"/>
    <w:rsid w:val="00E83E58"/>
    <w:rsid w:val="00E95AF7"/>
    <w:rsid w:val="00EC5685"/>
    <w:rsid w:val="00F07852"/>
    <w:rsid w:val="00F31E4D"/>
    <w:rsid w:val="00F44CFD"/>
    <w:rsid w:val="00FB1251"/>
    <w:rsid w:val="00FB1ADA"/>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2021-11-02T15:53:00Z</dcterms:created>
  <dcterms:modified xsi:type="dcterms:W3CDTF">2021-11-02T15:53:00Z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