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70989AD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5829E9">
        <w:rPr>
          <w:rFonts w:ascii="Arial" w:hAnsi="Arial"/>
          <w:color w:val="000000"/>
          <w:sz w:val="22"/>
          <w:szCs w:val="22"/>
          <w:u w:val="single"/>
        </w:rPr>
        <w:t>November</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2C1A921F" w14:textId="2CA24614" w:rsidR="009D3271" w:rsidRDefault="00A772C0" w:rsidP="0009585C">
      <w:pPr>
        <w:ind w:left="720"/>
        <w:jc w:val="both"/>
        <w:rPr>
          <w:rFonts w:ascii="Arial" w:hAnsi="Arial" w:cs="Arial"/>
          <w:b/>
          <w:sz w:val="22"/>
          <w:szCs w:val="22"/>
        </w:rPr>
      </w:pPr>
      <w:r>
        <w:rPr>
          <w:rFonts w:ascii="Arial" w:hAnsi="Arial" w:cs="Arial"/>
          <w:b/>
          <w:sz w:val="22"/>
          <w:szCs w:val="22"/>
        </w:rPr>
        <w:t xml:space="preserve">During the month of </w:t>
      </w:r>
      <w:r w:rsidR="005829E9">
        <w:rPr>
          <w:rFonts w:ascii="Arial" w:hAnsi="Arial" w:cs="Arial"/>
          <w:b/>
          <w:sz w:val="22"/>
          <w:szCs w:val="22"/>
        </w:rPr>
        <w:t>November</w:t>
      </w:r>
      <w:r w:rsidR="00B51666">
        <w:rPr>
          <w:rFonts w:ascii="Arial" w:hAnsi="Arial" w:cs="Arial"/>
          <w:b/>
          <w:sz w:val="22"/>
          <w:szCs w:val="22"/>
        </w:rPr>
        <w:t xml:space="preserve">, 2022, the Issuer continued its </w:t>
      </w:r>
      <w:r w:rsidR="00864DCE">
        <w:rPr>
          <w:rFonts w:ascii="Arial" w:hAnsi="Arial" w:cs="Arial"/>
          <w:b/>
          <w:sz w:val="22"/>
          <w:szCs w:val="22"/>
        </w:rPr>
        <w:t>work</w:t>
      </w:r>
      <w:r w:rsidR="00B51666">
        <w:rPr>
          <w:rFonts w:ascii="Arial" w:hAnsi="Arial" w:cs="Arial"/>
          <w:b/>
          <w:sz w:val="22"/>
          <w:szCs w:val="22"/>
        </w:rPr>
        <w:t xml:space="preserve"> program on the Belvais Project, in the north-west Abitibi </w:t>
      </w:r>
      <w:r w:rsidR="00C107A1">
        <w:rPr>
          <w:rFonts w:ascii="Arial" w:hAnsi="Arial" w:cs="Arial"/>
          <w:b/>
          <w:sz w:val="22"/>
          <w:szCs w:val="22"/>
        </w:rPr>
        <w:t xml:space="preserve">region </w:t>
      </w:r>
      <w:r w:rsidR="00B51666">
        <w:rPr>
          <w:rFonts w:ascii="Arial" w:hAnsi="Arial" w:cs="Arial"/>
          <w:b/>
          <w:sz w:val="22"/>
          <w:szCs w:val="22"/>
        </w:rPr>
        <w:t>of Québec.</w:t>
      </w:r>
      <w:r w:rsidR="005E1525">
        <w:rPr>
          <w:rFonts w:ascii="Arial" w:hAnsi="Arial" w:cs="Arial"/>
          <w:b/>
          <w:sz w:val="22"/>
          <w:szCs w:val="22"/>
        </w:rPr>
        <w:t xml:space="preserve"> </w:t>
      </w:r>
      <w:r w:rsidR="00C107A1">
        <w:rPr>
          <w:rFonts w:ascii="Arial" w:hAnsi="Arial" w:cs="Arial"/>
          <w:b/>
          <w:sz w:val="22"/>
          <w:szCs w:val="22"/>
        </w:rPr>
        <w:t xml:space="preserve">After assessing the anomalies from the recently completed BHEM </w:t>
      </w:r>
      <w:r w:rsidR="006F73D7">
        <w:rPr>
          <w:rFonts w:ascii="Arial" w:hAnsi="Arial" w:cs="Arial"/>
          <w:b/>
          <w:sz w:val="22"/>
          <w:szCs w:val="22"/>
        </w:rPr>
        <w:t xml:space="preserve">(borehole electromagnetics) </w:t>
      </w:r>
      <w:r w:rsidR="00C107A1">
        <w:rPr>
          <w:rFonts w:ascii="Arial" w:hAnsi="Arial" w:cs="Arial"/>
          <w:b/>
          <w:sz w:val="22"/>
          <w:szCs w:val="22"/>
        </w:rPr>
        <w:t>program, the Issuer has applied for a further drill permit to test newly identified targets. The Issuer expects to receive the permit in early December and to begin drillin</w:t>
      </w:r>
      <w:r w:rsidR="004370F3">
        <w:rPr>
          <w:rFonts w:ascii="Arial" w:hAnsi="Arial" w:cs="Arial"/>
          <w:b/>
          <w:sz w:val="22"/>
          <w:szCs w:val="22"/>
        </w:rPr>
        <w:t xml:space="preserve">g upon receival. </w:t>
      </w:r>
    </w:p>
    <w:p w14:paraId="4D49C571" w14:textId="222865A8" w:rsidR="004F7FC8" w:rsidRDefault="004F7FC8" w:rsidP="00C107A1">
      <w:pPr>
        <w:jc w:val="both"/>
        <w:rPr>
          <w:rFonts w:ascii="Arial" w:hAnsi="Arial" w:cs="Arial"/>
          <w:b/>
          <w:sz w:val="22"/>
          <w:szCs w:val="22"/>
        </w:rPr>
      </w:pPr>
    </w:p>
    <w:p w14:paraId="02D09D33" w14:textId="5ECCC354" w:rsidR="004F7FC8" w:rsidRDefault="004F7FC8" w:rsidP="0009585C">
      <w:pPr>
        <w:ind w:left="720"/>
        <w:jc w:val="both"/>
        <w:rPr>
          <w:rFonts w:ascii="Arial" w:hAnsi="Arial" w:cs="Arial"/>
          <w:b/>
          <w:sz w:val="22"/>
          <w:szCs w:val="22"/>
        </w:rPr>
      </w:pPr>
      <w:r>
        <w:rPr>
          <w:rFonts w:ascii="Arial" w:hAnsi="Arial" w:cs="Arial"/>
          <w:b/>
          <w:sz w:val="22"/>
          <w:szCs w:val="22"/>
        </w:rPr>
        <w:t xml:space="preserve">The Issuer also continues to assess opportunities across its suite of Yukon based projects. </w:t>
      </w:r>
    </w:p>
    <w:p w14:paraId="42F84AEE" w14:textId="77777777" w:rsidR="0009585C" w:rsidRDefault="0009585C" w:rsidP="0009585C">
      <w:pPr>
        <w:ind w:left="720"/>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2D5E5BC4"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6F73D7">
        <w:rPr>
          <w:rFonts w:ascii="Arial" w:hAnsi="Arial"/>
          <w:sz w:val="22"/>
          <w:szCs w:val="22"/>
          <w:u w:val="single"/>
        </w:rPr>
        <w:t>December</w:t>
      </w:r>
      <w:r w:rsidR="00C2538B">
        <w:rPr>
          <w:rFonts w:ascii="Arial" w:hAnsi="Arial"/>
          <w:sz w:val="22"/>
          <w:szCs w:val="22"/>
          <w:u w:val="single"/>
        </w:rPr>
        <w:t xml:space="preserve"> </w:t>
      </w:r>
      <w:r w:rsidR="00231784">
        <w:rPr>
          <w:rFonts w:ascii="Arial" w:hAnsi="Arial"/>
          <w:sz w:val="22"/>
          <w:szCs w:val="22"/>
          <w:u w:val="single"/>
        </w:rPr>
        <w:t>5</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73AC7807" w:rsidR="003C0C11" w:rsidRPr="00C70CD1" w:rsidRDefault="006F73D7" w:rsidP="00C84E48">
            <w:pPr>
              <w:pStyle w:val="BodyText"/>
              <w:spacing w:before="0"/>
              <w:rPr>
                <w:rFonts w:ascii="Arial" w:hAnsi="Arial"/>
                <w:sz w:val="22"/>
                <w:szCs w:val="22"/>
              </w:rPr>
            </w:pPr>
            <w:r>
              <w:rPr>
                <w:rFonts w:ascii="Arial" w:hAnsi="Arial"/>
                <w:sz w:val="22"/>
                <w:szCs w:val="22"/>
              </w:rPr>
              <w:t>November</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33812B8C"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231784">
              <w:rPr>
                <w:rFonts w:ascii="Arial" w:hAnsi="Arial"/>
                <w:sz w:val="22"/>
                <w:szCs w:val="22"/>
              </w:rPr>
              <w:t>1</w:t>
            </w:r>
            <w:r w:rsidR="006F73D7">
              <w:rPr>
                <w:rFonts w:ascii="Arial" w:hAnsi="Arial"/>
                <w:sz w:val="22"/>
                <w:szCs w:val="22"/>
              </w:rPr>
              <w:t>2</w:t>
            </w:r>
            <w:r>
              <w:rPr>
                <w:rFonts w:ascii="Arial" w:hAnsi="Arial"/>
                <w:sz w:val="22"/>
                <w:szCs w:val="22"/>
              </w:rPr>
              <w:t>/</w:t>
            </w:r>
            <w:r w:rsidR="00F07852">
              <w:rPr>
                <w:rFonts w:ascii="Arial" w:hAnsi="Arial"/>
                <w:sz w:val="22"/>
                <w:szCs w:val="22"/>
              </w:rPr>
              <w:t>0</w:t>
            </w:r>
            <w:r w:rsidR="00231784">
              <w:rPr>
                <w:rFonts w:ascii="Arial" w:hAnsi="Arial"/>
                <w:sz w:val="22"/>
                <w:szCs w:val="22"/>
              </w:rPr>
              <w:t>5</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000000">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D525" w14:textId="77777777" w:rsidR="00230D00" w:rsidRDefault="00230D00">
      <w:r>
        <w:separator/>
      </w:r>
    </w:p>
  </w:endnote>
  <w:endnote w:type="continuationSeparator" w:id="0">
    <w:p w14:paraId="40C18B12" w14:textId="77777777" w:rsidR="00230D00" w:rsidRDefault="0023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8D0E" w14:textId="77777777" w:rsidR="00230D00" w:rsidRDefault="00230D00">
      <w:r>
        <w:separator/>
      </w:r>
    </w:p>
  </w:footnote>
  <w:footnote w:type="continuationSeparator" w:id="0">
    <w:p w14:paraId="574D7C96" w14:textId="77777777" w:rsidR="00230D00" w:rsidRDefault="0023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33506293">
    <w:abstractNumId w:val="16"/>
  </w:num>
  <w:num w:numId="2" w16cid:durableId="1596674186">
    <w:abstractNumId w:val="20"/>
  </w:num>
  <w:num w:numId="3" w16cid:durableId="60250206">
    <w:abstractNumId w:val="15"/>
  </w:num>
  <w:num w:numId="4" w16cid:durableId="1596862666">
    <w:abstractNumId w:val="12"/>
  </w:num>
  <w:num w:numId="5" w16cid:durableId="1375546440">
    <w:abstractNumId w:val="3"/>
  </w:num>
  <w:num w:numId="6" w16cid:durableId="440027603">
    <w:abstractNumId w:val="22"/>
  </w:num>
  <w:num w:numId="7" w16cid:durableId="256787538">
    <w:abstractNumId w:val="8"/>
  </w:num>
  <w:num w:numId="8" w16cid:durableId="1428499143">
    <w:abstractNumId w:val="24"/>
  </w:num>
  <w:num w:numId="9" w16cid:durableId="897206887">
    <w:abstractNumId w:val="19"/>
  </w:num>
  <w:num w:numId="10" w16cid:durableId="1788305809">
    <w:abstractNumId w:val="10"/>
  </w:num>
  <w:num w:numId="11" w16cid:durableId="1089619665">
    <w:abstractNumId w:val="13"/>
  </w:num>
  <w:num w:numId="12" w16cid:durableId="462770406">
    <w:abstractNumId w:val="14"/>
  </w:num>
  <w:num w:numId="13" w16cid:durableId="1356273973">
    <w:abstractNumId w:val="26"/>
  </w:num>
  <w:num w:numId="14" w16cid:durableId="1810518025">
    <w:abstractNumId w:val="6"/>
  </w:num>
  <w:num w:numId="15" w16cid:durableId="339697662">
    <w:abstractNumId w:val="9"/>
  </w:num>
  <w:num w:numId="16" w16cid:durableId="2078867501">
    <w:abstractNumId w:val="11"/>
  </w:num>
  <w:num w:numId="17" w16cid:durableId="223756970">
    <w:abstractNumId w:val="17"/>
  </w:num>
  <w:num w:numId="18" w16cid:durableId="319432187">
    <w:abstractNumId w:val="2"/>
  </w:num>
  <w:num w:numId="19" w16cid:durableId="1449853449">
    <w:abstractNumId w:val="7"/>
  </w:num>
  <w:num w:numId="20" w16cid:durableId="782458541">
    <w:abstractNumId w:val="23"/>
  </w:num>
  <w:num w:numId="21" w16cid:durableId="1464615528">
    <w:abstractNumId w:val="1"/>
  </w:num>
  <w:num w:numId="22" w16cid:durableId="2124566223">
    <w:abstractNumId w:val="0"/>
  </w:num>
  <w:num w:numId="23" w16cid:durableId="1435705619">
    <w:abstractNumId w:val="21"/>
  </w:num>
  <w:num w:numId="24" w16cid:durableId="1260141928">
    <w:abstractNumId w:val="18"/>
  </w:num>
  <w:num w:numId="25" w16cid:durableId="1486318403">
    <w:abstractNumId w:val="4"/>
  </w:num>
  <w:num w:numId="26" w16cid:durableId="1405566476">
    <w:abstractNumId w:val="25"/>
  </w:num>
  <w:num w:numId="27" w16cid:durableId="574901463">
    <w:abstractNumId w:val="27"/>
  </w:num>
  <w:num w:numId="28" w16cid:durableId="533691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9ED"/>
    <w:rsid w:val="00017E09"/>
    <w:rsid w:val="00020866"/>
    <w:rsid w:val="00040A12"/>
    <w:rsid w:val="00044001"/>
    <w:rsid w:val="00061DB3"/>
    <w:rsid w:val="000634E2"/>
    <w:rsid w:val="000724C5"/>
    <w:rsid w:val="00082452"/>
    <w:rsid w:val="00083789"/>
    <w:rsid w:val="00085398"/>
    <w:rsid w:val="000858F9"/>
    <w:rsid w:val="00086E9E"/>
    <w:rsid w:val="0009585C"/>
    <w:rsid w:val="000968F1"/>
    <w:rsid w:val="000A1AB1"/>
    <w:rsid w:val="000F1843"/>
    <w:rsid w:val="000F589B"/>
    <w:rsid w:val="00136C8F"/>
    <w:rsid w:val="0017113F"/>
    <w:rsid w:val="00185216"/>
    <w:rsid w:val="00190E97"/>
    <w:rsid w:val="001B47E2"/>
    <w:rsid w:val="001D2E27"/>
    <w:rsid w:val="00222E52"/>
    <w:rsid w:val="00230D00"/>
    <w:rsid w:val="00231784"/>
    <w:rsid w:val="002B1C88"/>
    <w:rsid w:val="002C281E"/>
    <w:rsid w:val="002E51C1"/>
    <w:rsid w:val="002F00EB"/>
    <w:rsid w:val="002F0FD4"/>
    <w:rsid w:val="00314C12"/>
    <w:rsid w:val="003571C3"/>
    <w:rsid w:val="003669A9"/>
    <w:rsid w:val="00371A64"/>
    <w:rsid w:val="00387FA8"/>
    <w:rsid w:val="00392054"/>
    <w:rsid w:val="003C0C11"/>
    <w:rsid w:val="00410A47"/>
    <w:rsid w:val="004370F3"/>
    <w:rsid w:val="004424B3"/>
    <w:rsid w:val="00452848"/>
    <w:rsid w:val="00461114"/>
    <w:rsid w:val="00477E09"/>
    <w:rsid w:val="00485FFE"/>
    <w:rsid w:val="00497274"/>
    <w:rsid w:val="004B4DD4"/>
    <w:rsid w:val="004C3F9C"/>
    <w:rsid w:val="004E6550"/>
    <w:rsid w:val="004F7FC8"/>
    <w:rsid w:val="00501CF6"/>
    <w:rsid w:val="0052600C"/>
    <w:rsid w:val="0053296F"/>
    <w:rsid w:val="005360F4"/>
    <w:rsid w:val="00536F81"/>
    <w:rsid w:val="005413FE"/>
    <w:rsid w:val="005453C8"/>
    <w:rsid w:val="00563F52"/>
    <w:rsid w:val="005829E9"/>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01BA"/>
    <w:rsid w:val="00664848"/>
    <w:rsid w:val="006C0C86"/>
    <w:rsid w:val="006C3B65"/>
    <w:rsid w:val="006C683B"/>
    <w:rsid w:val="006D1A06"/>
    <w:rsid w:val="006F2400"/>
    <w:rsid w:val="006F73D7"/>
    <w:rsid w:val="007A4DF7"/>
    <w:rsid w:val="007C4859"/>
    <w:rsid w:val="007D32D6"/>
    <w:rsid w:val="007E1C24"/>
    <w:rsid w:val="007F6B34"/>
    <w:rsid w:val="00817849"/>
    <w:rsid w:val="0083616D"/>
    <w:rsid w:val="00857C71"/>
    <w:rsid w:val="00864DCE"/>
    <w:rsid w:val="00896DA6"/>
    <w:rsid w:val="008B7E92"/>
    <w:rsid w:val="008C016C"/>
    <w:rsid w:val="008C5912"/>
    <w:rsid w:val="008E7F86"/>
    <w:rsid w:val="008F2787"/>
    <w:rsid w:val="0090678E"/>
    <w:rsid w:val="00906D64"/>
    <w:rsid w:val="00913F67"/>
    <w:rsid w:val="00922A46"/>
    <w:rsid w:val="00924081"/>
    <w:rsid w:val="00954C48"/>
    <w:rsid w:val="00955736"/>
    <w:rsid w:val="00967F07"/>
    <w:rsid w:val="00976298"/>
    <w:rsid w:val="009D3271"/>
    <w:rsid w:val="009E0658"/>
    <w:rsid w:val="00A104D1"/>
    <w:rsid w:val="00A11A13"/>
    <w:rsid w:val="00A37767"/>
    <w:rsid w:val="00A47914"/>
    <w:rsid w:val="00A62455"/>
    <w:rsid w:val="00A67DE1"/>
    <w:rsid w:val="00A719D2"/>
    <w:rsid w:val="00A772C0"/>
    <w:rsid w:val="00A819B2"/>
    <w:rsid w:val="00A96F31"/>
    <w:rsid w:val="00AB1A57"/>
    <w:rsid w:val="00AC4BB6"/>
    <w:rsid w:val="00AD7258"/>
    <w:rsid w:val="00AE3E83"/>
    <w:rsid w:val="00B0160D"/>
    <w:rsid w:val="00B51666"/>
    <w:rsid w:val="00B72A60"/>
    <w:rsid w:val="00B86D9E"/>
    <w:rsid w:val="00BA2A43"/>
    <w:rsid w:val="00BA324E"/>
    <w:rsid w:val="00BA79B3"/>
    <w:rsid w:val="00BC74D3"/>
    <w:rsid w:val="00BF29C1"/>
    <w:rsid w:val="00C107A1"/>
    <w:rsid w:val="00C2538B"/>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DE070E"/>
    <w:rsid w:val="00E33A56"/>
    <w:rsid w:val="00E36141"/>
    <w:rsid w:val="00E40C18"/>
    <w:rsid w:val="00E4377A"/>
    <w:rsid w:val="00E50148"/>
    <w:rsid w:val="00E51994"/>
    <w:rsid w:val="00E83E58"/>
    <w:rsid w:val="00E95AF7"/>
    <w:rsid w:val="00EC5685"/>
    <w:rsid w:val="00F07852"/>
    <w:rsid w:val="00F16354"/>
    <w:rsid w:val="00F2645E"/>
    <w:rsid w:val="00F31E4D"/>
    <w:rsid w:val="00F44CFD"/>
    <w:rsid w:val="00F76ACC"/>
    <w:rsid w:val="00F820A2"/>
    <w:rsid w:val="00FB1251"/>
    <w:rsid w:val="00FB1ADA"/>
    <w:rsid w:val="00FB5B4B"/>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2022-12-05T19:59:00Z</dcterms:created>
  <dcterms:modified xsi:type="dcterms:W3CDTF">2022-12-05T19:59:00Z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