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D4B28E" w14:textId="77777777" w:rsidR="00021D64" w:rsidRPr="008757CA" w:rsidRDefault="00412DCE" w:rsidP="008757CA">
      <w:pPr>
        <w:pStyle w:val="Heading"/>
        <w:jc w:val="center"/>
        <w:rPr>
          <w:sz w:val="30"/>
          <w:szCs w:val="30"/>
          <w:lang w:val="en-CA"/>
        </w:rPr>
      </w:pPr>
      <w:r>
        <w:rPr>
          <w:sz w:val="30"/>
          <w:szCs w:val="30"/>
        </w:rPr>
        <w:t xml:space="preserve">GCAC </w:t>
      </w:r>
      <w:r w:rsidR="00811180">
        <w:rPr>
          <w:sz w:val="30"/>
          <w:szCs w:val="30"/>
        </w:rPr>
        <w:t xml:space="preserve">Awarded </w:t>
      </w:r>
      <w:r w:rsidR="008757CA" w:rsidRPr="008757CA">
        <w:rPr>
          <w:sz w:val="30"/>
          <w:szCs w:val="30"/>
          <w:lang w:val="en-CA"/>
        </w:rPr>
        <w:t>License</w:t>
      </w:r>
      <w:r w:rsidR="006A6AE9">
        <w:rPr>
          <w:sz w:val="30"/>
          <w:szCs w:val="30"/>
          <w:lang w:val="en-CA"/>
        </w:rPr>
        <w:t xml:space="preserve"> to Operate </w:t>
      </w:r>
      <w:r w:rsidR="00B639DC">
        <w:rPr>
          <w:sz w:val="30"/>
          <w:szCs w:val="30"/>
          <w:lang w:val="en-CA"/>
        </w:rPr>
        <w:t xml:space="preserve">as </w:t>
      </w:r>
      <w:r w:rsidR="006A6AE9">
        <w:rPr>
          <w:sz w:val="30"/>
          <w:szCs w:val="30"/>
          <w:lang w:val="en-CA"/>
        </w:rPr>
        <w:t>Medical Cannabis</w:t>
      </w:r>
      <w:r w:rsidR="00B639DC">
        <w:rPr>
          <w:sz w:val="30"/>
          <w:szCs w:val="30"/>
          <w:lang w:val="en-CA"/>
        </w:rPr>
        <w:t xml:space="preserve"> Retailer</w:t>
      </w:r>
    </w:p>
    <w:p w14:paraId="03D2BA46" w14:textId="77777777" w:rsidR="00EB032C" w:rsidRDefault="00412DCE" w:rsidP="00A72883">
      <w:pPr>
        <w:pStyle w:val="Body"/>
        <w:spacing w:after="220"/>
        <w:jc w:val="center"/>
        <w:rPr>
          <w:u w:color="1C1E29"/>
        </w:rPr>
      </w:pPr>
      <w:r>
        <w:rPr>
          <w:lang w:val="en-US"/>
        </w:rPr>
        <w:t>B</w:t>
      </w:r>
      <w:r w:rsidRPr="00B639DC">
        <w:rPr>
          <w:lang w:val="en-US"/>
        </w:rPr>
        <w:t>ring</w:t>
      </w:r>
      <w:r>
        <w:rPr>
          <w:lang w:val="en-US"/>
        </w:rPr>
        <w:t>s</w:t>
      </w:r>
      <w:r w:rsidRPr="00B639DC">
        <w:rPr>
          <w:lang w:val="en-US"/>
        </w:rPr>
        <w:t xml:space="preserve"> unique brand of patient-focused </w:t>
      </w:r>
      <w:r>
        <w:rPr>
          <w:lang w:val="en-US"/>
        </w:rPr>
        <w:t xml:space="preserve">cannabis </w:t>
      </w:r>
      <w:r w:rsidRPr="00B639DC">
        <w:rPr>
          <w:lang w:val="en-US"/>
        </w:rPr>
        <w:t>healthcare</w:t>
      </w:r>
      <w:r w:rsidR="00DE2AA2">
        <w:rPr>
          <w:lang w:val="en-US"/>
        </w:rPr>
        <w:t xml:space="preserve"> to Canada</w:t>
      </w:r>
      <w:r w:rsidR="00715D18">
        <w:rPr>
          <w:lang w:val="en-US"/>
        </w:rPr>
        <w:t xml:space="preserve"> </w:t>
      </w:r>
    </w:p>
    <w:p w14:paraId="4640AF63" w14:textId="1705F8DD" w:rsidR="008757CA" w:rsidRDefault="00412DCE" w:rsidP="008757CA">
      <w:pPr>
        <w:jc w:val="both"/>
        <w:rPr>
          <w:u w:color="1C1E29"/>
          <w:lang w:val="en-CA"/>
        </w:rPr>
      </w:pPr>
      <w:r w:rsidRPr="00085573">
        <w:rPr>
          <w:b/>
          <w:bCs/>
          <w:u w:color="1C1E29"/>
        </w:rPr>
        <w:t xml:space="preserve">Vancouver, British Columbia, Canada, </w:t>
      </w:r>
      <w:r w:rsidR="00A72883">
        <w:rPr>
          <w:b/>
          <w:bCs/>
          <w:u w:color="1C1E29"/>
        </w:rPr>
        <w:t>February</w:t>
      </w:r>
      <w:r w:rsidR="00015880">
        <w:rPr>
          <w:b/>
          <w:bCs/>
          <w:u w:color="1C1E29"/>
        </w:rPr>
        <w:t xml:space="preserve"> </w:t>
      </w:r>
      <w:r>
        <w:rPr>
          <w:b/>
          <w:bCs/>
          <w:u w:color="1C1E29"/>
        </w:rPr>
        <w:t>1</w:t>
      </w:r>
      <w:r w:rsidR="001351BF" w:rsidRPr="00085573">
        <w:rPr>
          <w:b/>
          <w:bCs/>
          <w:u w:color="1C1E29"/>
        </w:rPr>
        <w:t>, 202</w:t>
      </w:r>
      <w:r w:rsidR="00015880">
        <w:rPr>
          <w:b/>
          <w:bCs/>
          <w:u w:color="1C1E29"/>
        </w:rPr>
        <w:t>2</w:t>
      </w:r>
      <w:r w:rsidR="000374E4" w:rsidRPr="00085573">
        <w:rPr>
          <w:b/>
          <w:bCs/>
          <w:u w:color="1C1E29"/>
        </w:rPr>
        <w:t xml:space="preserve"> </w:t>
      </w:r>
      <w:r w:rsidRPr="00085573">
        <w:rPr>
          <w:b/>
          <w:bCs/>
          <w:u w:color="1C1E29"/>
        </w:rPr>
        <w:t>– Global Cannabis Applications Corp. ("GCAC" or the "Company") (CSE: APP, FSE: 2FA, OTC</w:t>
      </w:r>
      <w:r w:rsidR="00726D56" w:rsidRPr="00085573">
        <w:rPr>
          <w:b/>
          <w:bCs/>
          <w:u w:color="1C1E29"/>
        </w:rPr>
        <w:t>QB</w:t>
      </w:r>
      <w:r w:rsidRPr="00085573">
        <w:rPr>
          <w:b/>
          <w:bCs/>
          <w:u w:color="1C1E29"/>
        </w:rPr>
        <w:t>: FUAPF)</w:t>
      </w:r>
      <w:r w:rsidRPr="00F62682">
        <w:rPr>
          <w:u w:color="1C1E29"/>
        </w:rPr>
        <w:t xml:space="preserve">, </w:t>
      </w:r>
      <w:r w:rsidR="00F62682" w:rsidRPr="00F62682">
        <w:rPr>
          <w:u w:color="1C1E29"/>
        </w:rPr>
        <w:t xml:space="preserve">a leading medical cannabis </w:t>
      </w:r>
      <w:r w:rsidR="00424B27">
        <w:rPr>
          <w:u w:color="1C1E29"/>
        </w:rPr>
        <w:t xml:space="preserve">retail sales and </w:t>
      </w:r>
      <w:r w:rsidR="00CD48D6">
        <w:rPr>
          <w:u w:color="1C1E29"/>
        </w:rPr>
        <w:t xml:space="preserve">blockchain </w:t>
      </w:r>
      <w:r w:rsidR="00F62682" w:rsidRPr="00F62682">
        <w:rPr>
          <w:u w:color="1C1E29"/>
        </w:rPr>
        <w:t>compliance platform</w:t>
      </w:r>
      <w:r w:rsidR="00C62007">
        <w:rPr>
          <w:u w:color="1C1E29"/>
        </w:rPr>
        <w:t xml:space="preserve">, </w:t>
      </w:r>
      <w:r>
        <w:rPr>
          <w:u w:color="1C1E29"/>
        </w:rPr>
        <w:t xml:space="preserve">is pleased to announce </w:t>
      </w:r>
      <w:r w:rsidRPr="008757CA">
        <w:rPr>
          <w:u w:color="1C1E29"/>
          <w:lang w:val="en-CA"/>
        </w:rPr>
        <w:t xml:space="preserve">today </w:t>
      </w:r>
      <w:r>
        <w:rPr>
          <w:u w:color="1C1E29"/>
          <w:lang w:val="en-CA"/>
        </w:rPr>
        <w:t xml:space="preserve">it has been approved as a </w:t>
      </w:r>
      <w:r w:rsidR="00C92036" w:rsidRPr="00C92036">
        <w:rPr>
          <w:u w:color="1C1E29"/>
          <w:lang w:val="en-CA"/>
        </w:rPr>
        <w:t xml:space="preserve">Sale for Medical Purposes (without possession) </w:t>
      </w:r>
      <w:r w:rsidR="00C92036">
        <w:rPr>
          <w:u w:color="1C1E29"/>
          <w:lang w:val="en-CA"/>
        </w:rPr>
        <w:t>L</w:t>
      </w:r>
      <w:r w:rsidR="00C92036" w:rsidRPr="00C92036">
        <w:rPr>
          <w:u w:color="1C1E29"/>
          <w:lang w:val="en-CA"/>
        </w:rPr>
        <w:t>icence</w:t>
      </w:r>
      <w:r w:rsidR="00C92036">
        <w:rPr>
          <w:u w:color="1C1E29"/>
          <w:lang w:val="en-CA"/>
        </w:rPr>
        <w:t xml:space="preserve"> </w:t>
      </w:r>
      <w:r w:rsidRPr="008757CA">
        <w:rPr>
          <w:u w:color="1C1E29"/>
          <w:lang w:val="en-CA"/>
        </w:rPr>
        <w:t>holder</w:t>
      </w:r>
      <w:r w:rsidR="00C92036">
        <w:rPr>
          <w:u w:color="1C1E29"/>
          <w:lang w:val="en-CA"/>
        </w:rPr>
        <w:t xml:space="preserve"> by Health Canada</w:t>
      </w:r>
      <w:r w:rsidRPr="008757CA">
        <w:rPr>
          <w:u w:color="1C1E29"/>
          <w:lang w:val="en-CA"/>
        </w:rPr>
        <w:t xml:space="preserve"> under the Cannabis Act. GCAC will operate </w:t>
      </w:r>
      <w:r w:rsidR="00B639DC">
        <w:rPr>
          <w:u w:color="1C1E29"/>
          <w:lang w:val="en-CA"/>
        </w:rPr>
        <w:t>Canada’s first</w:t>
      </w:r>
      <w:r w:rsidRPr="008757CA">
        <w:rPr>
          <w:u w:color="1C1E29"/>
          <w:lang w:val="en-CA"/>
        </w:rPr>
        <w:t xml:space="preserve"> </w:t>
      </w:r>
      <w:r w:rsidR="00B639DC">
        <w:rPr>
          <w:u w:color="1C1E29"/>
          <w:lang w:val="en-CA"/>
        </w:rPr>
        <w:t xml:space="preserve">medical </w:t>
      </w:r>
      <w:r w:rsidRPr="008757CA">
        <w:rPr>
          <w:u w:color="1C1E29"/>
          <w:lang w:val="en-CA"/>
        </w:rPr>
        <w:t xml:space="preserve">cannabis </w:t>
      </w:r>
      <w:r w:rsidR="00B639DC">
        <w:rPr>
          <w:u w:color="1C1E29"/>
          <w:lang w:val="en-CA"/>
        </w:rPr>
        <w:t xml:space="preserve">online </w:t>
      </w:r>
      <w:r w:rsidRPr="008757CA">
        <w:rPr>
          <w:u w:color="1C1E29"/>
          <w:lang w:val="en-CA"/>
        </w:rPr>
        <w:t>retail</w:t>
      </w:r>
      <w:r w:rsidR="00B639DC">
        <w:rPr>
          <w:u w:color="1C1E29"/>
          <w:lang w:val="en-CA"/>
        </w:rPr>
        <w:t xml:space="preserve"> store </w:t>
      </w:r>
      <w:r w:rsidR="000C4B96">
        <w:rPr>
          <w:u w:color="1C1E29"/>
          <w:lang w:val="en-CA"/>
        </w:rPr>
        <w:t xml:space="preserve">that </w:t>
      </w:r>
      <w:r w:rsidR="00B639DC">
        <w:rPr>
          <w:u w:color="1C1E29"/>
          <w:lang w:val="en-CA"/>
        </w:rPr>
        <w:t>us</w:t>
      </w:r>
      <w:r w:rsidR="000C4B96">
        <w:rPr>
          <w:u w:color="1C1E29"/>
          <w:lang w:val="en-CA"/>
        </w:rPr>
        <w:t>es</w:t>
      </w:r>
      <w:r w:rsidR="00AE48D0">
        <w:rPr>
          <w:u w:color="1C1E29"/>
          <w:lang w:val="en-CA"/>
        </w:rPr>
        <w:t xml:space="preserve"> </w:t>
      </w:r>
      <w:r w:rsidR="00B639DC">
        <w:rPr>
          <w:u w:color="1C1E29"/>
          <w:lang w:val="en-CA"/>
        </w:rPr>
        <w:t xml:space="preserve">blockchain technology </w:t>
      </w:r>
      <w:r w:rsidR="008D4080">
        <w:rPr>
          <w:u w:color="1C1E29"/>
          <w:lang w:val="en-CA"/>
        </w:rPr>
        <w:t xml:space="preserve">on a per batch basis </w:t>
      </w:r>
      <w:r w:rsidR="00B639DC">
        <w:rPr>
          <w:u w:color="1C1E29"/>
          <w:lang w:val="en-CA"/>
        </w:rPr>
        <w:t xml:space="preserve">to </w:t>
      </w:r>
      <w:r w:rsidR="007A7ED9">
        <w:rPr>
          <w:u w:color="1C1E29"/>
          <w:lang w:val="en-CA"/>
        </w:rPr>
        <w:t>safely and reliably deliver</w:t>
      </w:r>
      <w:r w:rsidR="00EA0F17">
        <w:rPr>
          <w:u w:color="1C1E29"/>
          <w:lang w:val="en-CA"/>
        </w:rPr>
        <w:t xml:space="preserve"> </w:t>
      </w:r>
      <w:r w:rsidR="00875266">
        <w:rPr>
          <w:u w:color="1C1E29"/>
          <w:lang w:val="en-CA"/>
        </w:rPr>
        <w:t xml:space="preserve">medical </w:t>
      </w:r>
      <w:r w:rsidR="00EA0F17">
        <w:rPr>
          <w:u w:color="1C1E29"/>
          <w:lang w:val="en-CA"/>
        </w:rPr>
        <w:t xml:space="preserve">cannabis </w:t>
      </w:r>
      <w:r w:rsidR="00566296">
        <w:rPr>
          <w:u w:color="1C1E29"/>
          <w:lang w:val="en-CA"/>
        </w:rPr>
        <w:t>treatments</w:t>
      </w:r>
      <w:r w:rsidR="00F5112E">
        <w:rPr>
          <w:u w:color="1C1E29"/>
          <w:lang w:val="en-CA"/>
        </w:rPr>
        <w:t>.</w:t>
      </w:r>
    </w:p>
    <w:p w14:paraId="3A9541A5" w14:textId="77777777" w:rsidR="00F63C31" w:rsidRDefault="00412DCE" w:rsidP="00F5112E">
      <w:pPr>
        <w:jc w:val="both"/>
        <w:rPr>
          <w:u w:color="1C1E29"/>
          <w:lang w:val="en-CA"/>
        </w:rPr>
      </w:pPr>
      <w:r>
        <w:rPr>
          <w:u w:color="1C1E29"/>
          <w:lang w:val="en-CA"/>
        </w:rPr>
        <w:t xml:space="preserve">GCAC </w:t>
      </w:r>
      <w:r w:rsidRPr="00CE108D">
        <w:rPr>
          <w:u w:color="1C1E29"/>
          <w:lang w:val="en-CA"/>
        </w:rPr>
        <w:t>provide</w:t>
      </w:r>
      <w:r w:rsidR="003B1B5F">
        <w:rPr>
          <w:u w:color="1C1E29"/>
          <w:lang w:val="en-CA"/>
        </w:rPr>
        <w:t>s</w:t>
      </w:r>
      <w:r w:rsidRPr="00CE108D">
        <w:rPr>
          <w:u w:color="1C1E29"/>
          <w:lang w:val="en-CA"/>
        </w:rPr>
        <w:t xml:space="preserve"> </w:t>
      </w:r>
      <w:r>
        <w:rPr>
          <w:u w:color="1C1E29"/>
          <w:lang w:val="en-CA"/>
        </w:rPr>
        <w:t>a</w:t>
      </w:r>
      <w:r w:rsidRPr="00CE108D">
        <w:rPr>
          <w:u w:color="1C1E29"/>
          <w:lang w:val="en-CA"/>
        </w:rPr>
        <w:t xml:space="preserve"> unique and engaging retail </w:t>
      </w:r>
      <w:r>
        <w:rPr>
          <w:u w:color="1C1E29"/>
          <w:lang w:val="en-CA"/>
        </w:rPr>
        <w:t>experience with blockchain truths underpinning the provenance</w:t>
      </w:r>
      <w:r w:rsidR="004C0434">
        <w:rPr>
          <w:u w:color="1C1E29"/>
          <w:lang w:val="en-CA"/>
        </w:rPr>
        <w:t xml:space="preserve">, </w:t>
      </w:r>
      <w:r>
        <w:rPr>
          <w:u w:color="1C1E29"/>
          <w:lang w:val="en-CA"/>
        </w:rPr>
        <w:t>quality</w:t>
      </w:r>
      <w:r w:rsidR="00E6653E">
        <w:rPr>
          <w:u w:color="1C1E29"/>
          <w:lang w:val="en-CA"/>
        </w:rPr>
        <w:t>,</w:t>
      </w:r>
      <w:r>
        <w:rPr>
          <w:u w:color="1C1E29"/>
          <w:lang w:val="en-CA"/>
        </w:rPr>
        <w:t xml:space="preserve"> </w:t>
      </w:r>
      <w:r w:rsidR="004C0434">
        <w:rPr>
          <w:u w:color="1C1E29"/>
          <w:lang w:val="en-CA"/>
        </w:rPr>
        <w:t>and accura</w:t>
      </w:r>
      <w:r w:rsidR="00D31044">
        <w:rPr>
          <w:u w:color="1C1E29"/>
          <w:lang w:val="en-CA"/>
        </w:rPr>
        <w:t>cy</w:t>
      </w:r>
      <w:r w:rsidR="00E6653E">
        <w:rPr>
          <w:u w:color="1C1E29"/>
          <w:lang w:val="en-CA"/>
        </w:rPr>
        <w:t xml:space="preserve"> of</w:t>
      </w:r>
      <w:r w:rsidR="004C0434">
        <w:rPr>
          <w:u w:color="1C1E29"/>
          <w:lang w:val="en-CA"/>
        </w:rPr>
        <w:t xml:space="preserve"> potency disclosures </w:t>
      </w:r>
      <w:r>
        <w:rPr>
          <w:u w:color="1C1E29"/>
          <w:lang w:val="en-CA"/>
        </w:rPr>
        <w:t>of medical cannabis</w:t>
      </w:r>
      <w:r w:rsidR="004C0434">
        <w:rPr>
          <w:u w:color="1C1E29"/>
          <w:lang w:val="en-CA"/>
        </w:rPr>
        <w:t xml:space="preserve"> [1]</w:t>
      </w:r>
      <w:r>
        <w:rPr>
          <w:u w:color="1C1E29"/>
          <w:lang w:val="en-CA"/>
        </w:rPr>
        <w:t xml:space="preserve">. </w:t>
      </w:r>
      <w:r w:rsidRPr="00CE108D">
        <w:rPr>
          <w:u w:color="1C1E29"/>
          <w:lang w:val="en-CA"/>
        </w:rPr>
        <w:t xml:space="preserve">The </w:t>
      </w:r>
      <w:r>
        <w:rPr>
          <w:u w:color="1C1E29"/>
          <w:lang w:val="en-CA"/>
        </w:rPr>
        <w:t>store</w:t>
      </w:r>
      <w:r w:rsidRPr="00CE108D">
        <w:rPr>
          <w:u w:color="1C1E29"/>
          <w:lang w:val="en-CA"/>
        </w:rPr>
        <w:t xml:space="preserve"> </w:t>
      </w:r>
      <w:r w:rsidR="003B1B5F">
        <w:rPr>
          <w:u w:color="1C1E29"/>
          <w:lang w:val="en-CA"/>
        </w:rPr>
        <w:t>expects to</w:t>
      </w:r>
      <w:r w:rsidRPr="00CE108D">
        <w:rPr>
          <w:u w:color="1C1E29"/>
          <w:lang w:val="en-CA"/>
        </w:rPr>
        <w:t xml:space="preserve"> provide a wide selection of therapeutic products for patients, including the Company's own line of branded </w:t>
      </w:r>
      <w:r w:rsidR="00E6653E">
        <w:rPr>
          <w:u w:color="1C1E29"/>
          <w:lang w:val="en-CA"/>
        </w:rPr>
        <w:t>cannabis</w:t>
      </w:r>
      <w:r w:rsidR="007E5871">
        <w:rPr>
          <w:u w:color="1C1E29"/>
          <w:lang w:val="en-CA"/>
        </w:rPr>
        <w:t>,</w:t>
      </w:r>
      <w:r w:rsidRPr="00F63C31">
        <w:t xml:space="preserve"> </w:t>
      </w:r>
      <w:r>
        <w:t xml:space="preserve">as well as a </w:t>
      </w:r>
      <w:r w:rsidRPr="00F63C31">
        <w:rPr>
          <w:u w:color="1C1E29"/>
          <w:lang w:val="en-CA"/>
        </w:rPr>
        <w:t xml:space="preserve">comprehensive offering of </w:t>
      </w:r>
      <w:r w:rsidR="000F6982">
        <w:rPr>
          <w:u w:color="1C1E29"/>
          <w:lang w:val="en-CA"/>
        </w:rPr>
        <w:t xml:space="preserve">medical </w:t>
      </w:r>
      <w:r w:rsidRPr="00F63C31">
        <w:rPr>
          <w:u w:color="1C1E29"/>
          <w:lang w:val="en-CA"/>
        </w:rPr>
        <w:t>cannabis, including whole flower, oils, vapes, and pre-rolls</w:t>
      </w:r>
      <w:r w:rsidR="00784130">
        <w:rPr>
          <w:u w:color="1C1E29"/>
          <w:lang w:val="en-CA"/>
        </w:rPr>
        <w:t>, all</w:t>
      </w:r>
      <w:r w:rsidRPr="00F63C31">
        <w:rPr>
          <w:u w:color="1C1E29"/>
          <w:lang w:val="en-CA"/>
        </w:rPr>
        <w:t xml:space="preserve"> </w:t>
      </w:r>
      <w:r w:rsidR="00631CD5">
        <w:rPr>
          <w:u w:color="1C1E29"/>
          <w:lang w:val="en-CA"/>
        </w:rPr>
        <w:t>offered</w:t>
      </w:r>
      <w:r w:rsidRPr="00F63C31">
        <w:rPr>
          <w:u w:color="1C1E29"/>
          <w:lang w:val="en-CA"/>
        </w:rPr>
        <w:t xml:space="preserve"> with patient health and wellbeing in mind</w:t>
      </w:r>
      <w:r>
        <w:rPr>
          <w:u w:color="1C1E29"/>
          <w:lang w:val="en-CA"/>
        </w:rPr>
        <w:t xml:space="preserve">. </w:t>
      </w:r>
    </w:p>
    <w:p w14:paraId="0B041C7A" w14:textId="77777777" w:rsidR="00CE108D" w:rsidRDefault="00412DCE" w:rsidP="00F5112E">
      <w:pPr>
        <w:jc w:val="both"/>
        <w:rPr>
          <w:u w:color="1C1E29"/>
          <w:lang w:val="en-CA"/>
        </w:rPr>
      </w:pPr>
      <w:r>
        <w:rPr>
          <w:u w:color="1C1E29"/>
          <w:lang w:val="en-CA"/>
        </w:rPr>
        <w:t xml:space="preserve">Unique to GCAC, patients </w:t>
      </w:r>
      <w:r w:rsidR="000C4B96">
        <w:rPr>
          <w:u w:color="1C1E29"/>
          <w:lang w:val="en-CA"/>
        </w:rPr>
        <w:t>may</w:t>
      </w:r>
      <w:r>
        <w:rPr>
          <w:u w:color="1C1E29"/>
          <w:lang w:val="en-CA"/>
        </w:rPr>
        <w:t xml:space="preserve"> anonymously </w:t>
      </w:r>
      <w:r w:rsidR="00C52572">
        <w:rPr>
          <w:u w:color="1C1E29"/>
          <w:lang w:val="en-CA"/>
        </w:rPr>
        <w:t xml:space="preserve">provide </w:t>
      </w:r>
      <w:r w:rsidR="00173E7F">
        <w:rPr>
          <w:u w:color="1C1E29"/>
          <w:lang w:val="en-CA"/>
        </w:rPr>
        <w:t xml:space="preserve">efficacy </w:t>
      </w:r>
      <w:r>
        <w:rPr>
          <w:u w:color="1C1E29"/>
          <w:lang w:val="en-CA"/>
        </w:rPr>
        <w:t>feedback o</w:t>
      </w:r>
      <w:r w:rsidR="00173E7F">
        <w:rPr>
          <w:u w:color="1C1E29"/>
          <w:lang w:val="en-CA"/>
        </w:rPr>
        <w:t>n</w:t>
      </w:r>
      <w:r>
        <w:rPr>
          <w:u w:color="1C1E29"/>
          <w:lang w:val="en-CA"/>
        </w:rPr>
        <w:t xml:space="preserve"> cannabis treatment</w:t>
      </w:r>
      <w:r w:rsidR="00C52572">
        <w:rPr>
          <w:u w:color="1C1E29"/>
          <w:lang w:val="en-CA"/>
        </w:rPr>
        <w:t>s</w:t>
      </w:r>
      <w:r>
        <w:rPr>
          <w:u w:color="1C1E29"/>
          <w:lang w:val="en-CA"/>
        </w:rPr>
        <w:t xml:space="preserve"> using the Efixii app</w:t>
      </w:r>
      <w:r w:rsidR="002017A3">
        <w:rPr>
          <w:u w:color="1C1E29"/>
          <w:lang w:val="en-CA"/>
        </w:rPr>
        <w:t xml:space="preserve"> [2]</w:t>
      </w:r>
      <w:r>
        <w:rPr>
          <w:u w:color="1C1E29"/>
          <w:lang w:val="en-CA"/>
        </w:rPr>
        <w:t xml:space="preserve">, thereby helping to improve the health of </w:t>
      </w:r>
      <w:r w:rsidR="005375D1">
        <w:rPr>
          <w:u w:color="1C1E29"/>
          <w:lang w:val="en-CA"/>
        </w:rPr>
        <w:t>other</w:t>
      </w:r>
      <w:r w:rsidR="007E7B01">
        <w:rPr>
          <w:u w:color="1C1E29"/>
          <w:lang w:val="en-CA"/>
        </w:rPr>
        <w:t>s in the Efixii community</w:t>
      </w:r>
      <w:r>
        <w:rPr>
          <w:u w:color="1C1E29"/>
          <w:lang w:val="en-CA"/>
        </w:rPr>
        <w:t>.</w:t>
      </w:r>
    </w:p>
    <w:p w14:paraId="37C53D60" w14:textId="77777777" w:rsidR="00F67B8B" w:rsidRDefault="00412DCE" w:rsidP="00F67B8B">
      <w:pPr>
        <w:jc w:val="both"/>
        <w:rPr>
          <w:u w:color="1C1E29"/>
        </w:rPr>
      </w:pPr>
      <w:r>
        <w:rPr>
          <w:u w:color="1C1E29"/>
        </w:rPr>
        <w:t>"</w:t>
      </w:r>
      <w:r w:rsidR="008757CA">
        <w:rPr>
          <w:u w:color="1C1E29"/>
        </w:rPr>
        <w:t xml:space="preserve">We applied for </w:t>
      </w:r>
      <w:r w:rsidR="003E4DCA">
        <w:rPr>
          <w:u w:color="1C1E29"/>
        </w:rPr>
        <w:t>our</w:t>
      </w:r>
      <w:r w:rsidR="003C66BE">
        <w:rPr>
          <w:u w:color="1C1E29"/>
        </w:rPr>
        <w:t xml:space="preserve"> </w:t>
      </w:r>
      <w:r w:rsidR="008757CA">
        <w:rPr>
          <w:u w:color="1C1E29"/>
        </w:rPr>
        <w:t xml:space="preserve">license </w:t>
      </w:r>
      <w:r w:rsidR="003043A1">
        <w:rPr>
          <w:u w:color="1C1E29"/>
        </w:rPr>
        <w:t>last</w:t>
      </w:r>
      <w:r w:rsidR="008757CA">
        <w:rPr>
          <w:u w:color="1C1E29"/>
        </w:rPr>
        <w:t xml:space="preserve"> year [</w:t>
      </w:r>
      <w:r w:rsidR="0091006C">
        <w:rPr>
          <w:u w:color="1C1E29"/>
        </w:rPr>
        <w:t>3</w:t>
      </w:r>
      <w:r w:rsidR="008757CA">
        <w:rPr>
          <w:u w:color="1C1E29"/>
        </w:rPr>
        <w:t xml:space="preserve">] and </w:t>
      </w:r>
      <w:r w:rsidR="003043A1">
        <w:rPr>
          <w:u w:color="1C1E29"/>
        </w:rPr>
        <w:t xml:space="preserve">have since </w:t>
      </w:r>
      <w:r w:rsidR="008757CA">
        <w:rPr>
          <w:u w:color="1C1E29"/>
        </w:rPr>
        <w:t xml:space="preserve">worked </w:t>
      </w:r>
      <w:r w:rsidR="003043A1">
        <w:rPr>
          <w:u w:color="1C1E29"/>
        </w:rPr>
        <w:t xml:space="preserve">with Health Canada </w:t>
      </w:r>
      <w:r w:rsidR="008757CA">
        <w:rPr>
          <w:u w:color="1C1E29"/>
        </w:rPr>
        <w:t xml:space="preserve">to meet the strict conditions </w:t>
      </w:r>
      <w:r w:rsidR="003C66BE">
        <w:rPr>
          <w:u w:color="1C1E29"/>
        </w:rPr>
        <w:t>of such an incredible</w:t>
      </w:r>
      <w:r w:rsidR="008757CA">
        <w:rPr>
          <w:u w:color="1C1E29"/>
        </w:rPr>
        <w:t xml:space="preserve"> responsibility. </w:t>
      </w:r>
      <w:r w:rsidR="00684EBE">
        <w:rPr>
          <w:u w:color="1C1E29"/>
        </w:rPr>
        <w:t>In parallel, we</w:t>
      </w:r>
      <w:r w:rsidR="004B6EA4">
        <w:rPr>
          <w:u w:color="1C1E29"/>
        </w:rPr>
        <w:t>’</w:t>
      </w:r>
      <w:r w:rsidR="00684EBE">
        <w:rPr>
          <w:u w:color="1C1E29"/>
        </w:rPr>
        <w:t>ve been w</w:t>
      </w:r>
      <w:r w:rsidR="002F58CA">
        <w:rPr>
          <w:u w:color="1C1E29"/>
        </w:rPr>
        <w:t xml:space="preserve">orking with </w:t>
      </w:r>
      <w:r w:rsidR="00684EBE">
        <w:rPr>
          <w:u w:color="1C1E29"/>
        </w:rPr>
        <w:t xml:space="preserve">some </w:t>
      </w:r>
      <w:r w:rsidR="002F58CA">
        <w:rPr>
          <w:u w:color="1C1E29"/>
        </w:rPr>
        <w:t>amazing micro-cultivators during the pandemic</w:t>
      </w:r>
      <w:r w:rsidR="00684EBE">
        <w:rPr>
          <w:u w:color="1C1E29"/>
        </w:rPr>
        <w:t>, and while</w:t>
      </w:r>
      <w:r w:rsidR="002F58CA">
        <w:rPr>
          <w:u w:color="1C1E29"/>
        </w:rPr>
        <w:t xml:space="preserve"> challenging</w:t>
      </w:r>
      <w:r w:rsidR="00684EBE">
        <w:rPr>
          <w:u w:color="1C1E29"/>
        </w:rPr>
        <w:t>,</w:t>
      </w:r>
      <w:r w:rsidR="002F58CA">
        <w:rPr>
          <w:u w:color="1C1E29"/>
        </w:rPr>
        <w:t xml:space="preserve"> </w:t>
      </w:r>
      <w:r w:rsidR="00684EBE">
        <w:rPr>
          <w:u w:color="1C1E29"/>
        </w:rPr>
        <w:t xml:space="preserve">it has helped us to better </w:t>
      </w:r>
      <w:r w:rsidR="00050365">
        <w:rPr>
          <w:u w:color="1C1E29"/>
        </w:rPr>
        <w:t>learn of</w:t>
      </w:r>
      <w:r w:rsidR="002F58CA">
        <w:rPr>
          <w:u w:color="1C1E29"/>
        </w:rPr>
        <w:t xml:space="preserve"> </w:t>
      </w:r>
      <w:r w:rsidR="00684EBE">
        <w:rPr>
          <w:u w:color="1C1E29"/>
        </w:rPr>
        <w:t xml:space="preserve">the </w:t>
      </w:r>
      <w:r w:rsidR="002F58CA">
        <w:rPr>
          <w:u w:color="1C1E29"/>
        </w:rPr>
        <w:t xml:space="preserve">environmental concerns </w:t>
      </w:r>
      <w:r w:rsidR="00062BB5">
        <w:rPr>
          <w:u w:color="1C1E29"/>
        </w:rPr>
        <w:t>in the</w:t>
      </w:r>
      <w:r w:rsidR="00684EBE">
        <w:rPr>
          <w:u w:color="1C1E29"/>
        </w:rPr>
        <w:t xml:space="preserve"> cannabis </w:t>
      </w:r>
      <w:r w:rsidR="00062BB5">
        <w:rPr>
          <w:u w:color="1C1E29"/>
        </w:rPr>
        <w:t>space</w:t>
      </w:r>
      <w:r w:rsidR="002F58CA">
        <w:rPr>
          <w:u w:color="1C1E29"/>
        </w:rPr>
        <w:t xml:space="preserve">. </w:t>
      </w:r>
      <w:r w:rsidR="00684EBE">
        <w:rPr>
          <w:u w:color="1C1E29"/>
        </w:rPr>
        <w:t>We believe c</w:t>
      </w:r>
      <w:r w:rsidR="002F58CA">
        <w:rPr>
          <w:u w:color="1C1E29"/>
        </w:rPr>
        <w:t>onsumers</w:t>
      </w:r>
      <w:r w:rsidR="00684EBE">
        <w:rPr>
          <w:u w:color="1C1E29"/>
        </w:rPr>
        <w:t xml:space="preserve"> </w:t>
      </w:r>
      <w:r w:rsidR="002F58CA">
        <w:rPr>
          <w:u w:color="1C1E29"/>
        </w:rPr>
        <w:t xml:space="preserve">want to know about the </w:t>
      </w:r>
      <w:r w:rsidR="008F0532">
        <w:rPr>
          <w:u w:color="1C1E29"/>
        </w:rPr>
        <w:t>Environmental, Social</w:t>
      </w:r>
      <w:r w:rsidR="002F58CA">
        <w:rPr>
          <w:u w:color="1C1E29"/>
        </w:rPr>
        <w:t xml:space="preserve"> and</w:t>
      </w:r>
      <w:r w:rsidR="008F0532">
        <w:rPr>
          <w:u w:color="1C1E29"/>
        </w:rPr>
        <w:t xml:space="preserve"> Governance </w:t>
      </w:r>
      <w:r w:rsidR="002F58CA">
        <w:rPr>
          <w:u w:color="1C1E29"/>
        </w:rPr>
        <w:t>policies that cultivators follow</w:t>
      </w:r>
      <w:r w:rsidR="00684EBE">
        <w:rPr>
          <w:u w:color="1C1E29"/>
        </w:rPr>
        <w:t>,</w:t>
      </w:r>
      <w:r w:rsidR="002F58CA">
        <w:rPr>
          <w:u w:color="1C1E29"/>
        </w:rPr>
        <w:t xml:space="preserve"> and we listened</w:t>
      </w:r>
      <w:r w:rsidR="00327F18">
        <w:rPr>
          <w:u w:color="1C1E29"/>
        </w:rPr>
        <w:t>, invested,</w:t>
      </w:r>
      <w:r w:rsidR="002F58CA">
        <w:rPr>
          <w:u w:color="1C1E29"/>
        </w:rPr>
        <w:t xml:space="preserve"> and upgraded Efixii </w:t>
      </w:r>
      <w:r w:rsidR="00684EBE">
        <w:rPr>
          <w:u w:color="1C1E29"/>
        </w:rPr>
        <w:t xml:space="preserve">to allow </w:t>
      </w:r>
      <w:r w:rsidR="0054535F">
        <w:rPr>
          <w:u w:color="1C1E29"/>
        </w:rPr>
        <w:t xml:space="preserve">our </w:t>
      </w:r>
      <w:r w:rsidR="00684EBE">
        <w:rPr>
          <w:u w:color="1C1E29"/>
        </w:rPr>
        <w:t xml:space="preserve">cultivators to tell their ESG story </w:t>
      </w:r>
      <w:r w:rsidR="002F58CA">
        <w:rPr>
          <w:u w:color="1C1E29"/>
        </w:rPr>
        <w:t xml:space="preserve">before the launch of our retail </w:t>
      </w:r>
      <w:r w:rsidR="007572C4">
        <w:rPr>
          <w:u w:color="1C1E29"/>
        </w:rPr>
        <w:t>store</w:t>
      </w:r>
      <w:r w:rsidR="002F58CA">
        <w:rPr>
          <w:u w:color="1C1E29"/>
        </w:rPr>
        <w:t xml:space="preserve"> </w:t>
      </w:r>
      <w:r w:rsidR="008F0532">
        <w:rPr>
          <w:u w:color="1C1E29"/>
        </w:rPr>
        <w:t>[</w:t>
      </w:r>
      <w:r w:rsidR="00B828CD">
        <w:rPr>
          <w:u w:color="1C1E29"/>
        </w:rPr>
        <w:t>4</w:t>
      </w:r>
      <w:r w:rsidR="008F0532">
        <w:rPr>
          <w:u w:color="1C1E29"/>
        </w:rPr>
        <w:t>].</w:t>
      </w:r>
      <w:r w:rsidR="00DC64F9">
        <w:rPr>
          <w:u w:color="1C1E29"/>
        </w:rPr>
        <w:t xml:space="preserve">” </w:t>
      </w:r>
      <w:r w:rsidR="002236AB">
        <w:rPr>
          <w:u w:color="1C1E29"/>
        </w:rPr>
        <w:t>s</w:t>
      </w:r>
      <w:r w:rsidR="00DC64F9">
        <w:rPr>
          <w:u w:color="1C1E29"/>
        </w:rPr>
        <w:t>ays GCAC's CEO, Brad Moore</w:t>
      </w:r>
      <w:r w:rsidR="00684EBE">
        <w:rPr>
          <w:u w:color="1C1E29"/>
        </w:rPr>
        <w:t>.</w:t>
      </w:r>
    </w:p>
    <w:p w14:paraId="24D0698A" w14:textId="77777777" w:rsidR="00F5112E" w:rsidRPr="00A8587F" w:rsidRDefault="00412DCE" w:rsidP="00F67B8B">
      <w:pPr>
        <w:jc w:val="both"/>
        <w:rPr>
          <w:u w:color="1C1E29"/>
          <w:lang w:val="en-CA"/>
        </w:rPr>
      </w:pPr>
      <w:r>
        <w:rPr>
          <w:u w:color="1C1E29"/>
          <w:lang w:val="en-CA"/>
        </w:rPr>
        <w:t xml:space="preserve">The addressable market for GCAC’s medical cannabis sales in Canada </w:t>
      </w:r>
      <w:r w:rsidR="001367CD">
        <w:rPr>
          <w:u w:color="1C1E29"/>
          <w:lang w:val="en-CA"/>
        </w:rPr>
        <w:t xml:space="preserve">is </w:t>
      </w:r>
      <w:r w:rsidR="00050365">
        <w:rPr>
          <w:u w:color="1C1E29"/>
          <w:lang w:val="en-CA"/>
        </w:rPr>
        <w:t>C</w:t>
      </w:r>
      <w:r w:rsidR="001367CD">
        <w:rPr>
          <w:u w:color="1C1E29"/>
          <w:lang w:val="en-CA"/>
        </w:rPr>
        <w:t xml:space="preserve">$2 billion, which </w:t>
      </w:r>
      <w:r>
        <w:rPr>
          <w:u w:color="1C1E29"/>
          <w:lang w:val="en-CA"/>
        </w:rPr>
        <w:t>comprises 292,000 registered patients, consuming an average of 2 grams a day</w:t>
      </w:r>
      <w:r w:rsidR="00FC5310">
        <w:rPr>
          <w:u w:color="1C1E29"/>
          <w:lang w:val="en-CA"/>
        </w:rPr>
        <w:t xml:space="preserve"> each</w:t>
      </w:r>
      <w:r w:rsidR="0097498D">
        <w:rPr>
          <w:u w:color="1C1E29"/>
          <w:lang w:val="en-CA"/>
        </w:rPr>
        <w:t xml:space="preserve"> [5]</w:t>
      </w:r>
      <w:r>
        <w:rPr>
          <w:u w:color="1C1E29"/>
          <w:lang w:val="en-CA"/>
        </w:rPr>
        <w:t xml:space="preserve">, </w:t>
      </w:r>
      <w:r w:rsidR="0037547F">
        <w:rPr>
          <w:u w:color="1C1E29"/>
          <w:lang w:val="en-CA"/>
        </w:rPr>
        <w:t xml:space="preserve">with an average </w:t>
      </w:r>
      <w:r w:rsidR="001D729A">
        <w:rPr>
          <w:u w:color="1C1E29"/>
          <w:lang w:val="en-CA"/>
        </w:rPr>
        <w:t xml:space="preserve">price </w:t>
      </w:r>
      <w:r w:rsidR="0037547F">
        <w:rPr>
          <w:u w:color="1C1E29"/>
          <w:lang w:val="en-CA"/>
        </w:rPr>
        <w:t>of C$9.81 gram [6</w:t>
      </w:r>
      <w:r w:rsidR="001367CD">
        <w:rPr>
          <w:u w:color="1C1E29"/>
          <w:lang w:val="en-CA"/>
        </w:rPr>
        <w:t>]</w:t>
      </w:r>
      <w:r w:rsidR="000A0AAF" w:rsidRPr="000A0AAF">
        <w:rPr>
          <w:u w:color="1C1E29"/>
        </w:rPr>
        <w:t>.</w:t>
      </w:r>
      <w:r w:rsidR="00CB59DF">
        <w:rPr>
          <w:u w:color="1C1E29"/>
        </w:rPr>
        <w:t xml:space="preserve"> </w:t>
      </w:r>
      <w:r w:rsidR="00AC6E48">
        <w:rPr>
          <w:u w:color="1C1E29"/>
        </w:rPr>
        <w:t xml:space="preserve">In addition, </w:t>
      </w:r>
      <w:r w:rsidR="00CB59DF">
        <w:rPr>
          <w:u w:color="1C1E29"/>
        </w:rPr>
        <w:t>GCAC is the only national vendor to demonstrate the entire lifecycle of each pla</w:t>
      </w:r>
      <w:r w:rsidR="0083298D">
        <w:rPr>
          <w:u w:color="1C1E29"/>
        </w:rPr>
        <w:t>n</w:t>
      </w:r>
      <w:r w:rsidR="00CB59DF">
        <w:rPr>
          <w:u w:color="1C1E29"/>
        </w:rPr>
        <w:t xml:space="preserve">t consumed </w:t>
      </w:r>
      <w:r w:rsidR="006D0101">
        <w:rPr>
          <w:u w:color="1C1E29"/>
        </w:rPr>
        <w:t>which</w:t>
      </w:r>
      <w:r w:rsidR="00CB59DF">
        <w:rPr>
          <w:u w:color="1C1E29"/>
        </w:rPr>
        <w:t xml:space="preserve"> gives patients much comfort in their treatment. </w:t>
      </w:r>
    </w:p>
    <w:p w14:paraId="6A6D888E" w14:textId="77777777" w:rsidR="005025F4" w:rsidRDefault="00412DCE" w:rsidP="00797D43">
      <w:pPr>
        <w:jc w:val="both"/>
        <w:rPr>
          <w:u w:color="1C1E29"/>
        </w:rPr>
      </w:pPr>
      <w:r w:rsidRPr="00F67B8B">
        <w:rPr>
          <w:u w:color="1C1E29"/>
        </w:rPr>
        <w:t xml:space="preserve">Efixii is licensed to cultivators in a SaaS model and is a free-to-use app for cannabis consumers. </w:t>
      </w:r>
      <w:r w:rsidR="00A536C4">
        <w:rPr>
          <w:u w:color="1C1E29"/>
        </w:rPr>
        <w:t>C</w:t>
      </w:r>
      <w:r w:rsidRPr="00F67B8B">
        <w:rPr>
          <w:u w:color="1C1E29"/>
        </w:rPr>
        <w:t xml:space="preserve">annabis sold through </w:t>
      </w:r>
      <w:r w:rsidR="008E09C0">
        <w:rPr>
          <w:u w:color="1C1E29"/>
        </w:rPr>
        <w:t xml:space="preserve">the </w:t>
      </w:r>
      <w:r w:rsidR="00067345">
        <w:rPr>
          <w:u w:color="1C1E29"/>
        </w:rPr>
        <w:t xml:space="preserve">licensed </w:t>
      </w:r>
      <w:r w:rsidR="008E09C0">
        <w:rPr>
          <w:u w:color="1C1E29"/>
        </w:rPr>
        <w:t>GCAC</w:t>
      </w:r>
      <w:r w:rsidR="008E09C0" w:rsidRPr="00F67B8B">
        <w:rPr>
          <w:u w:color="1C1E29"/>
        </w:rPr>
        <w:t xml:space="preserve"> </w:t>
      </w:r>
      <w:r w:rsidR="00424B27">
        <w:rPr>
          <w:u w:color="1C1E29"/>
        </w:rPr>
        <w:t>p</w:t>
      </w:r>
      <w:r w:rsidRPr="00F67B8B">
        <w:rPr>
          <w:u w:color="1C1E29"/>
        </w:rPr>
        <w:t xml:space="preserve">ortal generates </w:t>
      </w:r>
      <w:r w:rsidR="00EF5528">
        <w:rPr>
          <w:u w:color="1C1E29"/>
        </w:rPr>
        <w:t xml:space="preserve">sustainable </w:t>
      </w:r>
      <w:r w:rsidRPr="00F67B8B">
        <w:rPr>
          <w:u w:color="1C1E29"/>
        </w:rPr>
        <w:t>revenue</w:t>
      </w:r>
      <w:r w:rsidR="007C2778">
        <w:rPr>
          <w:u w:color="1C1E29"/>
        </w:rPr>
        <w:t>s</w:t>
      </w:r>
      <w:r w:rsidRPr="00F67B8B">
        <w:rPr>
          <w:u w:color="1C1E29"/>
        </w:rPr>
        <w:t xml:space="preserve">. Efixii’s cannabis data is the intellectual property (“IP”) of GCAC. This IP creates an inherent difficulty in replicating or competing with GCAC’s cannabis </w:t>
      </w:r>
      <w:r w:rsidR="006F72BC">
        <w:rPr>
          <w:u w:color="1C1E29"/>
        </w:rPr>
        <w:t xml:space="preserve">sales and </w:t>
      </w:r>
      <w:r w:rsidRPr="00F67B8B">
        <w:rPr>
          <w:u w:color="1C1E29"/>
        </w:rPr>
        <w:t>datasets. GCAC defined their protocols in a provisional U.S. patent application, 'System of Process and Tracking Cannabis Products and Associated Method Using Blockchain' filed with the USPTO on December 17, 2020.</w:t>
      </w:r>
    </w:p>
    <w:p w14:paraId="071C9CFC" w14:textId="77777777" w:rsidR="007968E7" w:rsidRDefault="007968E7" w:rsidP="00F5112E">
      <w:pPr>
        <w:spacing w:before="0"/>
        <w:rPr>
          <w:sz w:val="18"/>
          <w:szCs w:val="18"/>
          <w:u w:color="1C1E29"/>
        </w:rPr>
      </w:pPr>
    </w:p>
    <w:p w14:paraId="6FBF2A83" w14:textId="13960385" w:rsidR="00F5112E" w:rsidRDefault="00412DCE" w:rsidP="00F5112E">
      <w:pPr>
        <w:spacing w:before="0"/>
        <w:rPr>
          <w:sz w:val="18"/>
          <w:szCs w:val="18"/>
          <w:u w:color="1C1E29"/>
        </w:rPr>
      </w:pPr>
      <w:r w:rsidRPr="005025F4">
        <w:rPr>
          <w:sz w:val="18"/>
          <w:szCs w:val="18"/>
          <w:u w:color="1C1E29"/>
        </w:rPr>
        <w:t>[</w:t>
      </w:r>
      <w:r>
        <w:rPr>
          <w:sz w:val="18"/>
          <w:szCs w:val="18"/>
          <w:u w:color="1C1E29"/>
        </w:rPr>
        <w:t>1</w:t>
      </w:r>
      <w:r w:rsidRPr="005025F4">
        <w:rPr>
          <w:sz w:val="18"/>
          <w:szCs w:val="18"/>
          <w:u w:color="1C1E29"/>
        </w:rPr>
        <w:t xml:space="preserve">] </w:t>
      </w:r>
      <w:r>
        <w:rPr>
          <w:sz w:val="18"/>
          <w:szCs w:val="18"/>
          <w:u w:color="1C1E29"/>
        </w:rPr>
        <w:t xml:space="preserve">    </w:t>
      </w:r>
      <w:hyperlink r:id="rId6" w:history="1">
        <w:r w:rsidR="004C0434" w:rsidRPr="009373EF">
          <w:rPr>
            <w:rStyle w:val="Hyperlink"/>
            <w:sz w:val="18"/>
            <w:szCs w:val="18"/>
          </w:rPr>
          <w:t>https://weedlegal.com/health-canada-issues-reminder-on-cannabis-potency-labeling-after-pure-sunfarms-complaint/</w:t>
        </w:r>
      </w:hyperlink>
      <w:r w:rsidRPr="00F5112E">
        <w:rPr>
          <w:sz w:val="18"/>
          <w:szCs w:val="18"/>
          <w:u w:color="1C1E29"/>
        </w:rPr>
        <w:t xml:space="preserve"> </w:t>
      </w:r>
    </w:p>
    <w:p w14:paraId="13CEE1EC" w14:textId="566C3205" w:rsidR="002017A3" w:rsidRDefault="00412DCE" w:rsidP="005025F4">
      <w:pPr>
        <w:spacing w:before="0"/>
        <w:jc w:val="both"/>
        <w:rPr>
          <w:sz w:val="18"/>
          <w:szCs w:val="18"/>
          <w:u w:color="1C1E29"/>
        </w:rPr>
      </w:pPr>
      <w:r>
        <w:rPr>
          <w:sz w:val="18"/>
          <w:szCs w:val="18"/>
          <w:u w:color="1C1E29"/>
        </w:rPr>
        <w:t xml:space="preserve">[2]     </w:t>
      </w:r>
      <w:hyperlink r:id="rId7" w:history="1">
        <w:r w:rsidRPr="009373EF">
          <w:rPr>
            <w:rStyle w:val="Hyperlink"/>
            <w:sz w:val="18"/>
            <w:szCs w:val="18"/>
          </w:rPr>
          <w:t>https://cannappscorp.com/</w:t>
        </w:r>
      </w:hyperlink>
    </w:p>
    <w:p w14:paraId="02BDD7CE" w14:textId="14D22C76" w:rsidR="005724A7" w:rsidRPr="005025F4" w:rsidRDefault="00412DCE" w:rsidP="005025F4">
      <w:pPr>
        <w:spacing w:before="0"/>
        <w:jc w:val="both"/>
        <w:rPr>
          <w:sz w:val="18"/>
          <w:szCs w:val="18"/>
          <w:u w:color="1C1E29"/>
        </w:rPr>
      </w:pPr>
      <w:r w:rsidRPr="005025F4">
        <w:rPr>
          <w:sz w:val="18"/>
          <w:szCs w:val="18"/>
          <w:u w:color="1C1E29"/>
        </w:rPr>
        <w:t>[</w:t>
      </w:r>
      <w:r w:rsidR="00AA12B5">
        <w:rPr>
          <w:sz w:val="18"/>
          <w:szCs w:val="18"/>
          <w:u w:color="1C1E29"/>
        </w:rPr>
        <w:t>3</w:t>
      </w:r>
      <w:r w:rsidRPr="005025F4">
        <w:rPr>
          <w:sz w:val="18"/>
          <w:szCs w:val="18"/>
          <w:u w:color="1C1E29"/>
        </w:rPr>
        <w:t>]</w:t>
      </w:r>
      <w:r w:rsidR="008F5A25">
        <w:rPr>
          <w:sz w:val="18"/>
          <w:szCs w:val="18"/>
          <w:u w:color="1C1E29"/>
        </w:rPr>
        <w:t xml:space="preserve"> </w:t>
      </w:r>
      <w:r w:rsidR="008757CA">
        <w:rPr>
          <w:sz w:val="18"/>
          <w:szCs w:val="18"/>
          <w:u w:color="1C1E29"/>
        </w:rPr>
        <w:t xml:space="preserve">    </w:t>
      </w:r>
      <w:hyperlink r:id="rId8" w:history="1">
        <w:r w:rsidR="008757CA" w:rsidRPr="009373EF">
          <w:rPr>
            <w:rStyle w:val="Hyperlink"/>
            <w:sz w:val="18"/>
            <w:szCs w:val="18"/>
          </w:rPr>
          <w:t>https://newsroom.cannappscorp.com/197973-gcac-announces-health-canada-medical-cannabis-sales-license</w:t>
        </w:r>
      </w:hyperlink>
    </w:p>
    <w:p w14:paraId="480CAEBC" w14:textId="1FBF46BE" w:rsidR="00DD6DC6" w:rsidRDefault="00412DCE" w:rsidP="00A8587F">
      <w:pPr>
        <w:spacing w:before="0"/>
        <w:jc w:val="both"/>
        <w:rPr>
          <w:sz w:val="18"/>
          <w:szCs w:val="18"/>
          <w:u w:color="1C1E29"/>
        </w:rPr>
      </w:pPr>
      <w:r>
        <w:rPr>
          <w:sz w:val="18"/>
          <w:szCs w:val="18"/>
          <w:u w:color="1C1E29"/>
        </w:rPr>
        <w:t>[</w:t>
      </w:r>
      <w:r w:rsidR="00AA12B5">
        <w:rPr>
          <w:sz w:val="18"/>
          <w:szCs w:val="18"/>
          <w:u w:color="1C1E29"/>
        </w:rPr>
        <w:t>4</w:t>
      </w:r>
      <w:r>
        <w:rPr>
          <w:sz w:val="18"/>
          <w:szCs w:val="18"/>
          <w:u w:color="1C1E29"/>
        </w:rPr>
        <w:t xml:space="preserve">]     </w:t>
      </w:r>
      <w:hyperlink r:id="rId9" w:history="1">
        <w:r w:rsidRPr="009373EF">
          <w:rPr>
            <w:rStyle w:val="Hyperlink"/>
            <w:sz w:val="18"/>
            <w:szCs w:val="18"/>
          </w:rPr>
          <w:t>https://newsroom.cannappscorp.com/208719-gcac-helping-cannabis-companies-share-esg</w:t>
        </w:r>
      </w:hyperlink>
    </w:p>
    <w:p w14:paraId="29984548" w14:textId="77777777" w:rsidR="005025F4" w:rsidRDefault="00412DCE" w:rsidP="00A8587F">
      <w:pPr>
        <w:spacing w:before="0"/>
        <w:jc w:val="both"/>
        <w:rPr>
          <w:sz w:val="18"/>
          <w:szCs w:val="18"/>
          <w:u w:color="1C1E29"/>
        </w:rPr>
      </w:pPr>
      <w:r w:rsidRPr="005025F4">
        <w:rPr>
          <w:sz w:val="18"/>
          <w:szCs w:val="18"/>
          <w:u w:color="1C1E29"/>
        </w:rPr>
        <w:t>[</w:t>
      </w:r>
      <w:r w:rsidR="00AA12B5">
        <w:rPr>
          <w:sz w:val="18"/>
          <w:szCs w:val="18"/>
          <w:u w:color="1C1E29"/>
        </w:rPr>
        <w:t>5</w:t>
      </w:r>
      <w:r w:rsidRPr="005025F4">
        <w:rPr>
          <w:sz w:val="18"/>
          <w:szCs w:val="18"/>
          <w:u w:color="1C1E29"/>
        </w:rPr>
        <w:t xml:space="preserve">] </w:t>
      </w:r>
      <w:r>
        <w:rPr>
          <w:sz w:val="18"/>
          <w:szCs w:val="18"/>
          <w:u w:color="1C1E29"/>
        </w:rPr>
        <w:t xml:space="preserve">   </w:t>
      </w:r>
      <w:r w:rsidR="008F5A25">
        <w:rPr>
          <w:sz w:val="18"/>
          <w:szCs w:val="18"/>
          <w:u w:color="1C1E29"/>
        </w:rPr>
        <w:t xml:space="preserve"> </w:t>
      </w:r>
      <w:hyperlink r:id="rId10" w:history="1">
        <w:r w:rsidR="00764568" w:rsidRPr="00BE0973">
          <w:rPr>
            <w:rStyle w:val="Hyperlink"/>
            <w:sz w:val="18"/>
            <w:szCs w:val="18"/>
          </w:rPr>
          <w:t>https://www.canada.ca/en/health-canada/services/drugs-medication/cannabis/research-data/medical-purpose.html</w:t>
        </w:r>
      </w:hyperlink>
    </w:p>
    <w:p w14:paraId="51A6A39C" w14:textId="18F33D8C" w:rsidR="00764568" w:rsidRPr="005025F4" w:rsidRDefault="00412DCE" w:rsidP="00A8587F">
      <w:pPr>
        <w:spacing w:before="0"/>
        <w:jc w:val="both"/>
        <w:rPr>
          <w:sz w:val="20"/>
          <w:szCs w:val="20"/>
          <w:u w:color="1C1E29"/>
        </w:rPr>
      </w:pPr>
      <w:r>
        <w:rPr>
          <w:sz w:val="18"/>
          <w:szCs w:val="18"/>
          <w:u w:color="1C1E29"/>
        </w:rPr>
        <w:t>[6]</w:t>
      </w:r>
      <w:r w:rsidR="001B5C49">
        <w:rPr>
          <w:sz w:val="18"/>
          <w:szCs w:val="18"/>
          <w:u w:color="1C1E29"/>
        </w:rPr>
        <w:t xml:space="preserve"> </w:t>
      </w:r>
      <w:r>
        <w:rPr>
          <w:sz w:val="18"/>
          <w:szCs w:val="18"/>
          <w:u w:color="1C1E29"/>
        </w:rPr>
        <w:t xml:space="preserve">      </w:t>
      </w:r>
      <w:hyperlink r:id="rId11" w:history="1">
        <w:r w:rsidRPr="009373EF">
          <w:rPr>
            <w:rStyle w:val="Hyperlink"/>
            <w:sz w:val="18"/>
            <w:szCs w:val="18"/>
          </w:rPr>
          <w:t>https://stratcann.com/2021/07/07/more-than-two-years-after-legalization-the-average-price-of-cannabis-in-canada-is-lower-than-ever/</w:t>
        </w:r>
      </w:hyperlink>
    </w:p>
    <w:p w14:paraId="00DF8A51" w14:textId="77777777" w:rsidR="002F3227" w:rsidRDefault="002F3227" w:rsidP="006C6B46">
      <w:pPr>
        <w:rPr>
          <w:b/>
          <w:bCs/>
          <w:u w:color="1C1E29"/>
        </w:rPr>
      </w:pPr>
    </w:p>
    <w:p w14:paraId="1AC9F575" w14:textId="77777777" w:rsidR="00283F4E" w:rsidRPr="006C6B46" w:rsidRDefault="00412DCE" w:rsidP="006C6B46">
      <w:pPr>
        <w:rPr>
          <w:b/>
          <w:bCs/>
          <w:u w:color="1C1E29"/>
        </w:rPr>
      </w:pPr>
      <w:r>
        <w:rPr>
          <w:b/>
          <w:bCs/>
          <w:u w:color="1C1E29"/>
        </w:rPr>
        <w:t>About Global Cannabis Applications Corp.</w:t>
      </w:r>
      <w:r w:rsidR="00E32A50">
        <w:rPr>
          <w:b/>
          <w:bCs/>
          <w:u w:color="1C1E29"/>
        </w:rPr>
        <w:t xml:space="preserve"> “GCAC”</w:t>
      </w:r>
    </w:p>
    <w:p w14:paraId="50DA4D8A" w14:textId="77777777" w:rsidR="00283F4E" w:rsidRDefault="00412DCE">
      <w:pPr>
        <w:pStyle w:val="NormalWeb"/>
        <w:spacing w:after="160"/>
        <w:jc w:val="both"/>
      </w:pPr>
      <w:r>
        <w:rPr>
          <w:u w:color="1C1E29"/>
        </w:rPr>
        <w:t>GCAC</w:t>
      </w:r>
      <w:r w:rsidR="00882F26">
        <w:rPr>
          <w:u w:color="1C1E29"/>
        </w:rPr>
        <w:t xml:space="preserve"> </w:t>
      </w:r>
      <w:r w:rsidR="006A7BA8">
        <w:rPr>
          <w:u w:color="1C1E29"/>
        </w:rPr>
        <w:t xml:space="preserve">holds a </w:t>
      </w:r>
      <w:r w:rsidR="006A7BA8" w:rsidRPr="009B7A79">
        <w:rPr>
          <w:u w:color="1C1E29"/>
        </w:rPr>
        <w:t xml:space="preserve">Health Canada Medical Cannabis Sales </w:t>
      </w:r>
      <w:r w:rsidR="006A7BA8">
        <w:rPr>
          <w:u w:color="1C1E29"/>
        </w:rPr>
        <w:t>l</w:t>
      </w:r>
      <w:r w:rsidR="006A7BA8" w:rsidRPr="009B7A79">
        <w:rPr>
          <w:u w:color="1C1E29"/>
        </w:rPr>
        <w:t>icense</w:t>
      </w:r>
      <w:r w:rsidR="006A7BA8">
        <w:rPr>
          <w:u w:color="1C1E29"/>
        </w:rPr>
        <w:t xml:space="preserve"> and </w:t>
      </w:r>
      <w:r w:rsidR="00882F26">
        <w:rPr>
          <w:u w:color="1C1E29"/>
        </w:rPr>
        <w:t xml:space="preserve">is a global leader in designing, developing, SaaS licensing and acquiring innovative data technologies for the medical cannabis industry. The Citizen Green and Efixii platforms are the world's first end-to-end - from patient to regulator - medical cannabis </w:t>
      </w:r>
      <w:r w:rsidR="005B3A2B">
        <w:rPr>
          <w:u w:color="1C1E29"/>
        </w:rPr>
        <w:t xml:space="preserve">sales and </w:t>
      </w:r>
      <w:r w:rsidR="00882F26">
        <w:rPr>
          <w:u w:color="1C1E29"/>
        </w:rPr>
        <w:t xml:space="preserve">data solutions. They use six core technologies: mobile applications, artificial intelligence, RegTech, smart databases, Ethereum blockchain and GCAC smart rewards. These technologies transparently disclose cannabis chain-of-custody events, thereby enabling patients to provide crowd-sourced medical cannabis efficacy data. Driven by digital and cannabis industry experts, GCAC generates revenues from </w:t>
      </w:r>
      <w:r w:rsidR="00785FF1">
        <w:rPr>
          <w:u w:color="1C1E29"/>
        </w:rPr>
        <w:t xml:space="preserve">medical cannabis sales, </w:t>
      </w:r>
      <w:r w:rsidR="00882F26">
        <w:rPr>
          <w:u w:color="1C1E29"/>
        </w:rPr>
        <w:t>SaaS technology</w:t>
      </w:r>
      <w:r w:rsidR="00D43CD2">
        <w:rPr>
          <w:u w:color="1C1E29"/>
        </w:rPr>
        <w:t xml:space="preserve"> licencing,</w:t>
      </w:r>
      <w:r w:rsidR="00882F26">
        <w:rPr>
          <w:u w:color="1C1E29"/>
        </w:rPr>
        <w:t xml:space="preserve"> and the sale of high-quality cannabis datasets. GCAC will become the world's largest cannabis efficacy data provider by using technology to improve patient outcomes.</w:t>
      </w:r>
    </w:p>
    <w:p w14:paraId="61DD89C6" w14:textId="77777777" w:rsidR="00283F4E" w:rsidRDefault="00412DCE">
      <w:pPr>
        <w:pStyle w:val="NormalWeb"/>
        <w:spacing w:after="0"/>
        <w:rPr>
          <w:rStyle w:val="None"/>
        </w:rPr>
      </w:pPr>
      <w:r>
        <w:t xml:space="preserve">For more Company information, please visit </w:t>
      </w:r>
      <w:hyperlink r:id="rId12" w:history="1">
        <w:r>
          <w:rPr>
            <w:rStyle w:val="Hyperlink0"/>
          </w:rPr>
          <w:t>www.cannappscorp.com</w:t>
        </w:r>
      </w:hyperlink>
      <w:r>
        <w:rPr>
          <w:rStyle w:val="None"/>
        </w:rPr>
        <w:t>, or review its profiles on </w:t>
      </w:r>
      <w:hyperlink r:id="rId13" w:history="1">
        <w:r>
          <w:rPr>
            <w:rStyle w:val="Hyperlink0"/>
          </w:rPr>
          <w:t>www.sedar.com</w:t>
        </w:r>
      </w:hyperlink>
      <w:r>
        <w:rPr>
          <w:rStyle w:val="None"/>
        </w:rPr>
        <w:t xml:space="preserve"> and the Canadian Securities Exchange's website </w:t>
      </w:r>
      <w:hyperlink r:id="rId14" w:history="1">
        <w:r>
          <w:rPr>
            <w:rStyle w:val="Hyperlink0"/>
          </w:rPr>
          <w:t>www.thecse.com</w:t>
        </w:r>
      </w:hyperlink>
      <w:r>
        <w:rPr>
          <w:rStyle w:val="None"/>
        </w:rPr>
        <w:t>.</w:t>
      </w:r>
    </w:p>
    <w:p w14:paraId="0AFB62F9" w14:textId="77777777" w:rsidR="006301F6" w:rsidRDefault="00412DCE" w:rsidP="00444BB3">
      <w:pPr>
        <w:pStyle w:val="NormalWeb"/>
        <w:spacing w:after="0"/>
      </w:pPr>
      <w:r>
        <w:rPr>
          <w:rStyle w:val="None"/>
        </w:rPr>
        <w:t> </w:t>
      </w:r>
    </w:p>
    <w:p w14:paraId="6910AF77" w14:textId="77777777" w:rsidR="00283F4E" w:rsidRDefault="00412DCE">
      <w:pPr>
        <w:pStyle w:val="NormalWeb"/>
        <w:spacing w:after="0"/>
        <w:rPr>
          <w:rStyle w:val="None"/>
          <w:b/>
          <w:bCs/>
        </w:rPr>
      </w:pPr>
      <w:r>
        <w:rPr>
          <w:rStyle w:val="None"/>
          <w:b/>
          <w:bCs/>
        </w:rPr>
        <w:t>Press Contact</w:t>
      </w:r>
    </w:p>
    <w:p w14:paraId="40284D3C" w14:textId="77777777" w:rsidR="00283F4E" w:rsidRDefault="00412DCE">
      <w:pPr>
        <w:pStyle w:val="NormalWeb"/>
        <w:spacing w:after="0"/>
        <w:rPr>
          <w:rStyle w:val="None"/>
        </w:rPr>
      </w:pPr>
      <w:r>
        <w:rPr>
          <w:rStyle w:val="None"/>
        </w:rPr>
        <w:t xml:space="preserve"> Phone: +1 (800) 409-5679</w:t>
      </w:r>
    </w:p>
    <w:p w14:paraId="6527CAF0" w14:textId="77777777" w:rsidR="00283F4E" w:rsidRDefault="00412DCE">
      <w:pPr>
        <w:pStyle w:val="NormalWeb"/>
        <w:spacing w:after="0"/>
        <w:rPr>
          <w:rStyle w:val="None"/>
        </w:rPr>
      </w:pPr>
      <w:r>
        <w:rPr>
          <w:rStyle w:val="None"/>
        </w:rPr>
        <w:t xml:space="preserve"> Email: </w:t>
      </w:r>
      <w:hyperlink r:id="rId15" w:history="1">
        <w:r>
          <w:rPr>
            <w:rStyle w:val="Hyperlink0"/>
          </w:rPr>
          <w:t>info@cannappscorp.com</w:t>
        </w:r>
      </w:hyperlink>
      <w:r>
        <w:rPr>
          <w:rStyle w:val="Hyperlink2"/>
        </w:rPr>
        <w:t xml:space="preserve"> </w:t>
      </w:r>
    </w:p>
    <w:p w14:paraId="42A158B7" w14:textId="77777777" w:rsidR="00283F4E" w:rsidRDefault="00283F4E">
      <w:pPr>
        <w:pStyle w:val="NormalWeb"/>
        <w:spacing w:after="0"/>
        <w:rPr>
          <w:rStyle w:val="None"/>
          <w:b/>
          <w:bCs/>
          <w:i/>
          <w:iCs/>
          <w:u w:color="1C1E29"/>
        </w:rPr>
      </w:pPr>
    </w:p>
    <w:p w14:paraId="42D5442A" w14:textId="77777777" w:rsidR="00283F4E" w:rsidRDefault="00412DCE">
      <w:pPr>
        <w:pStyle w:val="NormalWeb"/>
        <w:spacing w:after="0"/>
        <w:rPr>
          <w:rStyle w:val="None"/>
          <w:u w:color="1C1E29"/>
        </w:rPr>
      </w:pPr>
      <w:r>
        <w:rPr>
          <w:rStyle w:val="None"/>
          <w:b/>
          <w:bCs/>
          <w:i/>
          <w:iCs/>
          <w:u w:color="1C1E29"/>
        </w:rPr>
        <w:t>Forward-Looking Information</w:t>
      </w:r>
      <w:r>
        <w:rPr>
          <w:rStyle w:val="None"/>
          <w:i/>
          <w:iCs/>
          <w:u w:color="1C1E29"/>
        </w:rPr>
        <w:t> </w:t>
      </w:r>
    </w:p>
    <w:p w14:paraId="0AA4D761" w14:textId="77777777" w:rsidR="00283F4E" w:rsidRDefault="00412DCE">
      <w:pPr>
        <w:pStyle w:val="NormalWeb"/>
        <w:spacing w:after="0"/>
        <w:rPr>
          <w:rStyle w:val="None"/>
          <w:u w:color="1C1E29"/>
        </w:rPr>
      </w:pPr>
      <w:r>
        <w:rPr>
          <w:rStyle w:val="None"/>
          <w:i/>
          <w:iCs/>
          <w:u w:color="1C1E29"/>
        </w:rPr>
        <w:t>This news release may include forward-looking information within the meaning of Canadian securities legislation concerning the business of GCAC. Forward-looking information is based on certain key expectations and assumptions made by the management of GCAC. Although management of the Company believes that the expectations and assumptions on which such forward-looking information is based are reasonable, undue reliance should not be placed on the forward-looking information because GCAC can give no assurance that they will prove to be correct. Forward-looking statements contained in this news release are made as of the date of this news release. GCAC disclaims any intent or obligation to update publicly any forward-looking information, whether as a result of new information, future events or results or otherwise, other than as required by applicable securities laws.</w:t>
      </w:r>
    </w:p>
    <w:p w14:paraId="70E748BA" w14:textId="77777777" w:rsidR="00283F4E" w:rsidRDefault="00412DCE">
      <w:pPr>
        <w:pStyle w:val="NormalWeb"/>
        <w:spacing w:after="0"/>
        <w:rPr>
          <w:rStyle w:val="None"/>
          <w:u w:color="1C1E29"/>
        </w:rPr>
      </w:pPr>
      <w:r>
        <w:rPr>
          <w:rStyle w:val="None"/>
          <w:u w:color="1C1E29"/>
        </w:rPr>
        <w:t> </w:t>
      </w:r>
    </w:p>
    <w:p w14:paraId="73DDF304" w14:textId="77777777" w:rsidR="00283F4E" w:rsidRDefault="00412DCE">
      <w:pPr>
        <w:pStyle w:val="NormalWeb"/>
        <w:rPr>
          <w:rStyle w:val="None"/>
          <w:rFonts w:eastAsia="Arial Unicode MS" w:cs="Arial Unicode MS"/>
          <w:i/>
          <w:iCs/>
          <w:u w:color="1C1E29"/>
        </w:rPr>
      </w:pPr>
      <w:r>
        <w:rPr>
          <w:rStyle w:val="None"/>
          <w:rFonts w:eastAsia="Arial Unicode MS" w:cs="Arial Unicode MS"/>
          <w:i/>
          <w:iCs/>
          <w:u w:color="1C1E29"/>
        </w:rPr>
        <w:t>The Canadian Securities Exchange has not reviewed and does not accept responsibility for the adequacy and accuracy of this information.</w:t>
      </w:r>
    </w:p>
    <w:p w14:paraId="24C0CC94" w14:textId="77777777" w:rsidR="003917CF" w:rsidRDefault="00412DCE" w:rsidP="003917CF">
      <w:pPr>
        <w:pStyle w:val="NormalWeb"/>
        <w:jc w:val="center"/>
      </w:pPr>
      <w:r>
        <w:rPr>
          <w:rStyle w:val="None"/>
          <w:rFonts w:eastAsia="Arial Unicode MS" w:cs="Arial Unicode MS"/>
          <w:i/>
          <w:iCs/>
          <w:u w:color="1C1E29"/>
        </w:rPr>
        <w:t>###</w:t>
      </w:r>
    </w:p>
    <w:sectPr w:rsidR="003917CF">
      <w:headerReference w:type="even" r:id="rId16"/>
      <w:headerReference w:type="default" r:id="rId17"/>
      <w:footerReference w:type="even" r:id="rId18"/>
      <w:footerReference w:type="default" r:id="rId19"/>
      <w:headerReference w:type="first" r:id="rId20"/>
      <w:footerReference w:type="first" r:id="rId21"/>
      <w:pgSz w:w="12240" w:h="15840"/>
      <w:pgMar w:top="2647" w:right="1440" w:bottom="1285"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337C3" w14:textId="77777777" w:rsidR="00BA62A6" w:rsidRDefault="00BA62A6">
      <w:pPr>
        <w:spacing w:before="0"/>
      </w:pPr>
      <w:r>
        <w:separator/>
      </w:r>
    </w:p>
  </w:endnote>
  <w:endnote w:type="continuationSeparator" w:id="0">
    <w:p w14:paraId="1504959C" w14:textId="77777777" w:rsidR="00BA62A6" w:rsidRDefault="00BA62A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FE29" w14:textId="77777777" w:rsidR="004B2A89" w:rsidRDefault="004B2A89">
    <w:pPr>
      <w:pStyle w:val="Foo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7E13" w14:textId="77777777" w:rsidR="00283F4E" w:rsidRDefault="00412DCE">
    <w:pPr>
      <w:pStyle w:val="Footer"/>
      <w:tabs>
        <w:tab w:val="clear" w:pos="9360"/>
        <w:tab w:val="right" w:pos="9340"/>
      </w:tabs>
      <w:jc w:val="center"/>
      <w:rPr>
        <w:color w:val="000000"/>
      </w:rPr>
    </w:pPr>
    <w:r>
      <w:fldChar w:fldCharType="begin"/>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ED828" w14:textId="77777777" w:rsidR="004B2A89" w:rsidRDefault="004B2A89">
    <w:pPr>
      <w:pStyle w:val="Foo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6C90C" w14:textId="77777777" w:rsidR="00BA62A6" w:rsidRDefault="00BA62A6">
      <w:pPr>
        <w:spacing w:before="0"/>
      </w:pPr>
      <w:r>
        <w:separator/>
      </w:r>
    </w:p>
  </w:footnote>
  <w:footnote w:type="continuationSeparator" w:id="0">
    <w:p w14:paraId="56E00D70" w14:textId="77777777" w:rsidR="00BA62A6" w:rsidRDefault="00BA62A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CAD0A" w14:textId="77777777" w:rsidR="008D6AF4" w:rsidRDefault="008D6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11EA9" w14:textId="77777777" w:rsidR="00283F4E" w:rsidRDefault="00412DCE" w:rsidP="000E79CE">
    <w:pPr>
      <w:pStyle w:val="Header"/>
      <w:tabs>
        <w:tab w:val="clear" w:pos="9360"/>
        <w:tab w:val="right" w:pos="9340"/>
      </w:tabs>
      <w:jc w:val="both"/>
    </w:pPr>
    <w:r>
      <w:rPr>
        <w:noProof/>
      </w:rPr>
      <w:drawing>
        <wp:inline distT="0" distB="0" distL="0" distR="0" wp14:anchorId="512146A6" wp14:editId="04A031D0">
          <wp:extent cx="2032000" cy="718634"/>
          <wp:effectExtent l="0" t="0" r="0" b="0"/>
          <wp:docPr id="1073741825" name="officeArt object" descr="GCAC.png"/>
          <wp:cNvGraphicFramePr/>
          <a:graphic xmlns:a="http://schemas.openxmlformats.org/drawingml/2006/main">
            <a:graphicData uri="http://schemas.openxmlformats.org/drawingml/2006/picture">
              <pic:pic xmlns:pic="http://schemas.openxmlformats.org/drawingml/2006/picture">
                <pic:nvPicPr>
                  <pic:cNvPr id="1073741825" name="GCAC.png" descr="GCAC.png"/>
                  <pic:cNvPicPr>
                    <a:picLocks noChangeAspect="1"/>
                  </pic:cNvPicPr>
                </pic:nvPicPr>
                <pic:blipFill>
                  <a:blip r:embed="rId1"/>
                  <a:stretch>
                    <a:fillRect/>
                  </a:stretch>
                </pic:blipFill>
                <pic:spPr>
                  <a:xfrm>
                    <a:off x="0" y="0"/>
                    <a:ext cx="2032000" cy="718634"/>
                  </a:xfrm>
                  <a:prstGeom prst="rect">
                    <a:avLst/>
                  </a:prstGeom>
                  <a:ln w="12700">
                    <a:noFill/>
                    <a:miter lim="400000"/>
                  </a:ln>
                  <a:effectLst/>
                </pic:spPr>
              </pic:pic>
            </a:graphicData>
          </a:graphic>
        </wp:inline>
      </w:drawing>
    </w:r>
    <w:r>
      <w:rPr>
        <w:noProof/>
      </w:rPr>
      <mc:AlternateContent>
        <mc:Choice Requires="wps">
          <w:drawing>
            <wp:anchor distT="152400" distB="152400" distL="152400" distR="152400" simplePos="0" relativeHeight="251658240" behindDoc="1" locked="0" layoutInCell="1" allowOverlap="1" wp14:anchorId="10A3B46F" wp14:editId="734DBED1">
              <wp:simplePos x="0" y="0"/>
              <wp:positionH relativeFrom="page">
                <wp:posOffset>3881120</wp:posOffset>
              </wp:positionH>
              <wp:positionV relativeFrom="page">
                <wp:posOffset>923574</wp:posOffset>
              </wp:positionV>
              <wp:extent cx="3076575" cy="485775"/>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3076575" cy="485775"/>
                      </a:xfrm>
                      <a:prstGeom prst="rect">
                        <a:avLst/>
                      </a:prstGeom>
                      <a:solidFill>
                        <a:srgbClr val="FFFFFF"/>
                      </a:solidFill>
                      <a:ln w="9525">
                        <a:solidFill>
                          <a:srgbClr val="FFFFFF"/>
                        </a:solidFill>
                        <a:miter lim="800000"/>
                      </a:ln>
                      <a:effectLst/>
                    </wps:spPr>
                    <wps:txbx>
                      <w:txbxContent>
                        <w:p w14:paraId="2CB6A1B3" w14:textId="77777777" w:rsidR="00283F4E" w:rsidRPr="00064BC0" w:rsidRDefault="00412DCE">
                          <w:pPr>
                            <w:pStyle w:val="Body"/>
                            <w:jc w:val="right"/>
                            <w:rPr>
                              <w:rFonts w:ascii="Calibri" w:eastAsia="Calibri" w:hAnsi="Calibri" w:cs="Calibri"/>
                              <w:color w:val="808080"/>
                              <w:u w:color="808080"/>
                              <w:lang w:val="en-IE"/>
                            </w:rPr>
                          </w:pPr>
                          <w:r w:rsidRPr="00064BC0">
                            <w:rPr>
                              <w:rFonts w:ascii="Calibri" w:eastAsia="Calibri" w:hAnsi="Calibri" w:cs="Calibri"/>
                              <w:color w:val="808080"/>
                              <w:u w:color="808080"/>
                              <w:lang w:val="en-IE"/>
                            </w:rPr>
                            <w:t>PO Box 43, Suite 830, 1100 Melville Street</w:t>
                          </w:r>
                        </w:p>
                        <w:p w14:paraId="75662B70" w14:textId="77777777" w:rsidR="00283F4E" w:rsidRPr="00064BC0" w:rsidRDefault="00412DCE">
                          <w:pPr>
                            <w:pStyle w:val="Body"/>
                            <w:jc w:val="right"/>
                            <w:rPr>
                              <w:color w:val="808080"/>
                              <w:lang w:val="en-IE"/>
                            </w:rPr>
                          </w:pPr>
                          <w:r>
                            <w:rPr>
                              <w:rFonts w:ascii="Calibri" w:eastAsia="Calibri" w:hAnsi="Calibri" w:cs="Calibri"/>
                              <w:color w:val="808080"/>
                              <w:u w:color="808080"/>
                              <w:lang w:val="fr-FR"/>
                            </w:rPr>
                            <w:t>Vancouver, BC Canada V6E 4A6</w:t>
                          </w:r>
                        </w:p>
                      </w:txbxContent>
                    </wps:txbx>
                    <wps:bodyPr wrap="square" lIns="45719" tIns="45719" rIns="45719" bIns="45719" numCol="1" anchor="t"/>
                  </wps:wsp>
                </a:graphicData>
              </a:graphic>
            </wp:anchor>
          </w:drawing>
        </mc:Choice>
        <mc:Fallback>
          <w:pict>
            <v:shapetype w14:anchorId="10A3B46F" id="_x0000_t202" coordsize="21600,21600" o:spt="202" path="m,l,21600r21600,l21600,xe">
              <v:stroke joinstyle="miter"/>
              <v:path gradientshapeok="t" o:connecttype="rect"/>
            </v:shapetype>
            <v:shape id="officeArt object" o:spid="_x0000_s1026" type="#_x0000_t202" alt="Text Box 2" style="position:absolute;left:0;text-align:left;margin-left:305.6pt;margin-top:72.7pt;width:242.25pt;height:38.2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" strokecolor="white">
              <v:textbox inset="1.27mm,1.27mm,1.27mm,1.27mm">
                <w:txbxContent>
                  <w:p w14:paraId="2CB6A1B3" w14:textId="77777777" w:rsidR="00283F4E" w:rsidRPr="00064BC0" w:rsidRDefault="00412DCE">
                    <w:pPr>
                      <w:pStyle w:val="Body"/>
                      <w:jc w:val="right"/>
                      <w:rPr>
                        <w:rFonts w:ascii="Calibri" w:eastAsia="Calibri" w:hAnsi="Calibri" w:cs="Calibri"/>
                        <w:color w:val="808080"/>
                        <w:u w:color="808080"/>
                        <w:lang w:val="en-IE"/>
                      </w:rPr>
                    </w:pPr>
                    <w:r w:rsidRPr="00064BC0">
                      <w:rPr>
                        <w:rFonts w:ascii="Calibri" w:eastAsia="Calibri" w:hAnsi="Calibri" w:cs="Calibri"/>
                        <w:color w:val="808080"/>
                        <w:u w:color="808080"/>
                        <w:lang w:val="en-IE"/>
                      </w:rPr>
                      <w:t>PO Box 43, Suite 830, 1100 Melville Street</w:t>
                    </w:r>
                  </w:p>
                  <w:p w14:paraId="75662B70" w14:textId="77777777" w:rsidR="00283F4E" w:rsidRPr="00064BC0" w:rsidRDefault="00412DCE">
                    <w:pPr>
                      <w:pStyle w:val="Body"/>
                      <w:jc w:val="right"/>
                      <w:rPr>
                        <w:color w:val="808080"/>
                        <w:lang w:val="en-IE"/>
                      </w:rPr>
                    </w:pPr>
                    <w:r>
                      <w:rPr>
                        <w:rFonts w:ascii="Calibri" w:eastAsia="Calibri" w:hAnsi="Calibri" w:cs="Calibri"/>
                        <w:color w:val="808080"/>
                        <w:u w:color="808080"/>
                        <w:lang w:val="fr-FR"/>
                      </w:rPr>
                      <w:t xml:space="preserve">Vancouver, BC Canada V6E </w:t>
                    </w:r>
                    <w:r>
                      <w:rPr>
                        <w:rFonts w:ascii="Calibri" w:eastAsia="Calibri" w:hAnsi="Calibri" w:cs="Calibri"/>
                        <w:color w:val="808080"/>
                        <w:u w:color="808080"/>
                        <w:lang w:val="fr-FR"/>
                      </w:rPr>
                      <w:t>4A6</w:t>
                    </w:r>
                  </w:p>
                </w:txbxContent>
              </v:textbox>
              <w10:wrap anchorx="page" anchory="page"/>
            </v:shape>
          </w:pict>
        </mc:Fallback>
      </mc:AlternateContent>
    </w:r>
    <w:r>
      <w:rPr>
        <w:noProof/>
      </w:rPr>
      <mc:AlternateContent>
        <mc:Choice Requires="wps">
          <w:drawing>
            <wp:anchor distT="152400" distB="152400" distL="152400" distR="152400" simplePos="0" relativeHeight="251660288" behindDoc="1" locked="0" layoutInCell="1" allowOverlap="1" wp14:anchorId="089E567C" wp14:editId="3D687E95">
              <wp:simplePos x="0" y="0"/>
              <wp:positionH relativeFrom="page">
                <wp:posOffset>0</wp:posOffset>
              </wp:positionH>
              <wp:positionV relativeFrom="page">
                <wp:posOffset>9296565</wp:posOffset>
              </wp:positionV>
              <wp:extent cx="7762241" cy="757211"/>
              <wp:effectExtent l="0" t="0" r="0" b="0"/>
              <wp:wrapNone/>
              <wp:docPr id="1073741827" name="officeArt object" descr="Rectangle 3"/>
              <wp:cNvGraphicFramePr/>
              <a:graphic xmlns:a="http://schemas.openxmlformats.org/drawingml/2006/main">
                <a:graphicData uri="http://schemas.microsoft.com/office/word/2010/wordprocessingShape">
                  <wps:wsp>
                    <wps:cNvSpPr/>
                    <wps:spPr>
                      <a:xfrm>
                        <a:off x="0" y="0"/>
                        <a:ext cx="7762241" cy="757211"/>
                      </a:xfrm>
                      <a:prstGeom prst="rect">
                        <a:avLst/>
                      </a:prstGeom>
                      <a:solidFill>
                        <a:srgbClr val="5B5D5B"/>
                      </a:solidFill>
                      <a:ln w="12700">
                        <a:noFill/>
                        <a:miter lim="400000"/>
                      </a:ln>
                      <a:effectLst/>
                    </wps:spPr>
                    <wps:bodyPr/>
                  </wps:wsp>
                </a:graphicData>
              </a:graphic>
            </wp:anchor>
          </w:drawing>
        </mc:Choice>
        <mc:Fallback>
          <w:pict>
            <v:rect id="officeArt object" o:spid="_x0000_s2050" alt="Rectangle 3" style="width:611.2pt;height:59.6pt;margin-top:732pt;margin-left:0;mso-position-horizontal-relative:page;mso-position-vertical-relative:page;mso-wrap-distance-bottom:12pt;mso-wrap-distance-left:12pt;mso-wrap-distance-right:12pt;mso-wrap-distance-top:12pt;mso-wrap-style:square;position:absolute;visibility:visible;v-text-anchor:top;z-index:-251655168" fillcolor="#5b5d5b" stroked="f" strokeweight="1pt"/>
          </w:pict>
        </mc:Fallback>
      </mc:AlternateContent>
    </w:r>
    <w:r>
      <w:rPr>
        <w:noProof/>
      </w:rPr>
      <w:drawing>
        <wp:anchor distT="152400" distB="152400" distL="152400" distR="152400" simplePos="0" relativeHeight="251662336" behindDoc="1" locked="0" layoutInCell="1" allowOverlap="1" wp14:anchorId="6CCCE20F" wp14:editId="0B0941AE">
          <wp:simplePos x="0" y="0"/>
          <wp:positionH relativeFrom="page">
            <wp:posOffset>5806440</wp:posOffset>
          </wp:positionH>
          <wp:positionV relativeFrom="page">
            <wp:posOffset>9504476</wp:posOffset>
          </wp:positionV>
          <wp:extent cx="1040861" cy="260216"/>
          <wp:effectExtent l="0" t="0" r="0" b="0"/>
          <wp:wrapNone/>
          <wp:docPr id="1073741828" name="officeArt object" descr="Asset 3@2x.png"/>
          <wp:cNvGraphicFramePr/>
          <a:graphic xmlns:a="http://schemas.openxmlformats.org/drawingml/2006/main">
            <a:graphicData uri="http://schemas.openxmlformats.org/drawingml/2006/picture">
              <pic:pic xmlns:pic="http://schemas.openxmlformats.org/drawingml/2006/picture">
                <pic:nvPicPr>
                  <pic:cNvPr id="1073741828" name="Asset 3@2x.png" descr="Asset 3@2x.png"/>
                  <pic:cNvPicPr>
                    <a:picLocks noChangeAspect="1"/>
                  </pic:cNvPicPr>
                </pic:nvPicPr>
                <pic:blipFill>
                  <a:blip r:embed="rId2"/>
                  <a:stretch>
                    <a:fillRect/>
                  </a:stretch>
                </pic:blipFill>
                <pic:spPr>
                  <a:xfrm>
                    <a:off x="0" y="0"/>
                    <a:ext cx="1040861" cy="260216"/>
                  </a:xfrm>
                  <a:prstGeom prst="rect">
                    <a:avLst/>
                  </a:prstGeom>
                  <a:ln w="12700">
                    <a:noFill/>
                    <a:miter lim="400000"/>
                  </a:ln>
                  <a:effectLst/>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D7E00" w14:textId="77777777" w:rsidR="008D6AF4" w:rsidRDefault="008D6A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1MDOzMDY2MbcwMbdU0lEKTi0uzszPAykwrQUABbwGdywAAAA="/>
  </w:docVars>
  <w:rsids>
    <w:rsidRoot w:val="00B67055"/>
    <w:rsid w:val="00001783"/>
    <w:rsid w:val="00004080"/>
    <w:rsid w:val="000054C8"/>
    <w:rsid w:val="00015880"/>
    <w:rsid w:val="00015EC4"/>
    <w:rsid w:val="000174FA"/>
    <w:rsid w:val="00021D64"/>
    <w:rsid w:val="00025D9A"/>
    <w:rsid w:val="00026017"/>
    <w:rsid w:val="0002618A"/>
    <w:rsid w:val="00027997"/>
    <w:rsid w:val="00027C10"/>
    <w:rsid w:val="00032B5C"/>
    <w:rsid w:val="000374E4"/>
    <w:rsid w:val="00037812"/>
    <w:rsid w:val="00045E48"/>
    <w:rsid w:val="00050365"/>
    <w:rsid w:val="0005460F"/>
    <w:rsid w:val="0005597B"/>
    <w:rsid w:val="0005708F"/>
    <w:rsid w:val="00062BB5"/>
    <w:rsid w:val="00064BC0"/>
    <w:rsid w:val="00066788"/>
    <w:rsid w:val="00067345"/>
    <w:rsid w:val="00073933"/>
    <w:rsid w:val="000816C7"/>
    <w:rsid w:val="00081963"/>
    <w:rsid w:val="00085573"/>
    <w:rsid w:val="000864B4"/>
    <w:rsid w:val="00086653"/>
    <w:rsid w:val="000869CE"/>
    <w:rsid w:val="000906F6"/>
    <w:rsid w:val="00092172"/>
    <w:rsid w:val="000965C5"/>
    <w:rsid w:val="00096BAB"/>
    <w:rsid w:val="00097588"/>
    <w:rsid w:val="000A0AAF"/>
    <w:rsid w:val="000A2291"/>
    <w:rsid w:val="000A2CC2"/>
    <w:rsid w:val="000A4F94"/>
    <w:rsid w:val="000B3B40"/>
    <w:rsid w:val="000B49B9"/>
    <w:rsid w:val="000B5AB7"/>
    <w:rsid w:val="000B615C"/>
    <w:rsid w:val="000B643D"/>
    <w:rsid w:val="000B67C8"/>
    <w:rsid w:val="000C0A36"/>
    <w:rsid w:val="000C2EBB"/>
    <w:rsid w:val="000C3408"/>
    <w:rsid w:val="000C3D07"/>
    <w:rsid w:val="000C4B96"/>
    <w:rsid w:val="000C5951"/>
    <w:rsid w:val="000C5CC9"/>
    <w:rsid w:val="000C716D"/>
    <w:rsid w:val="000C7EC4"/>
    <w:rsid w:val="000D0050"/>
    <w:rsid w:val="000D0196"/>
    <w:rsid w:val="000D573E"/>
    <w:rsid w:val="000D60FD"/>
    <w:rsid w:val="000E1398"/>
    <w:rsid w:val="000E1F1D"/>
    <w:rsid w:val="000E1F27"/>
    <w:rsid w:val="000E79CE"/>
    <w:rsid w:val="000E7A07"/>
    <w:rsid w:val="000F554B"/>
    <w:rsid w:val="000F6982"/>
    <w:rsid w:val="000F6C01"/>
    <w:rsid w:val="000F71FF"/>
    <w:rsid w:val="00102AA0"/>
    <w:rsid w:val="00106137"/>
    <w:rsid w:val="0011030E"/>
    <w:rsid w:val="00111C2C"/>
    <w:rsid w:val="00114375"/>
    <w:rsid w:val="0012396B"/>
    <w:rsid w:val="00124546"/>
    <w:rsid w:val="00131694"/>
    <w:rsid w:val="0013290D"/>
    <w:rsid w:val="0013354E"/>
    <w:rsid w:val="00133BA6"/>
    <w:rsid w:val="0013508C"/>
    <w:rsid w:val="001351BF"/>
    <w:rsid w:val="001355F6"/>
    <w:rsid w:val="001367CD"/>
    <w:rsid w:val="001440B2"/>
    <w:rsid w:val="00150E67"/>
    <w:rsid w:val="001619AB"/>
    <w:rsid w:val="00164760"/>
    <w:rsid w:val="00166E32"/>
    <w:rsid w:val="00167ED8"/>
    <w:rsid w:val="001704DD"/>
    <w:rsid w:val="00170898"/>
    <w:rsid w:val="0017199B"/>
    <w:rsid w:val="00173E7F"/>
    <w:rsid w:val="0017672E"/>
    <w:rsid w:val="0018076F"/>
    <w:rsid w:val="00180D3D"/>
    <w:rsid w:val="00183EAD"/>
    <w:rsid w:val="0018401D"/>
    <w:rsid w:val="00187C8B"/>
    <w:rsid w:val="00193CA7"/>
    <w:rsid w:val="00194737"/>
    <w:rsid w:val="00197E09"/>
    <w:rsid w:val="001A0075"/>
    <w:rsid w:val="001A0B0E"/>
    <w:rsid w:val="001A15EC"/>
    <w:rsid w:val="001A23A4"/>
    <w:rsid w:val="001A6448"/>
    <w:rsid w:val="001B366F"/>
    <w:rsid w:val="001B5C49"/>
    <w:rsid w:val="001B6D0E"/>
    <w:rsid w:val="001B6EF9"/>
    <w:rsid w:val="001C0166"/>
    <w:rsid w:val="001C045F"/>
    <w:rsid w:val="001C17AA"/>
    <w:rsid w:val="001C28FA"/>
    <w:rsid w:val="001C2E02"/>
    <w:rsid w:val="001C39B3"/>
    <w:rsid w:val="001C70A2"/>
    <w:rsid w:val="001D04EA"/>
    <w:rsid w:val="001D14F2"/>
    <w:rsid w:val="001D66D2"/>
    <w:rsid w:val="001D6CE3"/>
    <w:rsid w:val="001D729A"/>
    <w:rsid w:val="001E36E8"/>
    <w:rsid w:val="001E4B80"/>
    <w:rsid w:val="001E57DA"/>
    <w:rsid w:val="001E6AAF"/>
    <w:rsid w:val="001E6BB9"/>
    <w:rsid w:val="001E7DCE"/>
    <w:rsid w:val="001F7995"/>
    <w:rsid w:val="002017A3"/>
    <w:rsid w:val="0020336E"/>
    <w:rsid w:val="00203D98"/>
    <w:rsid w:val="00203DD1"/>
    <w:rsid w:val="002050A8"/>
    <w:rsid w:val="002072E5"/>
    <w:rsid w:val="002133FE"/>
    <w:rsid w:val="00214A92"/>
    <w:rsid w:val="002171DD"/>
    <w:rsid w:val="00220FA4"/>
    <w:rsid w:val="002236AB"/>
    <w:rsid w:val="00225948"/>
    <w:rsid w:val="0022664D"/>
    <w:rsid w:val="00227613"/>
    <w:rsid w:val="00227ECD"/>
    <w:rsid w:val="00234363"/>
    <w:rsid w:val="002401B1"/>
    <w:rsid w:val="00245E98"/>
    <w:rsid w:val="0024610F"/>
    <w:rsid w:val="002469A0"/>
    <w:rsid w:val="00252008"/>
    <w:rsid w:val="00252E5A"/>
    <w:rsid w:val="00255483"/>
    <w:rsid w:val="002561A4"/>
    <w:rsid w:val="002613F6"/>
    <w:rsid w:val="002616F4"/>
    <w:rsid w:val="00263F49"/>
    <w:rsid w:val="00265729"/>
    <w:rsid w:val="00270131"/>
    <w:rsid w:val="002705A6"/>
    <w:rsid w:val="00270AD9"/>
    <w:rsid w:val="002721CF"/>
    <w:rsid w:val="002759F2"/>
    <w:rsid w:val="00280AC4"/>
    <w:rsid w:val="0028248A"/>
    <w:rsid w:val="00283242"/>
    <w:rsid w:val="00283F4E"/>
    <w:rsid w:val="00285046"/>
    <w:rsid w:val="0028645D"/>
    <w:rsid w:val="002866C1"/>
    <w:rsid w:val="002918D5"/>
    <w:rsid w:val="00293090"/>
    <w:rsid w:val="002931B7"/>
    <w:rsid w:val="002A02D0"/>
    <w:rsid w:val="002A079B"/>
    <w:rsid w:val="002A4239"/>
    <w:rsid w:val="002A7586"/>
    <w:rsid w:val="002B75BB"/>
    <w:rsid w:val="002C2BDA"/>
    <w:rsid w:val="002C3A11"/>
    <w:rsid w:val="002C4659"/>
    <w:rsid w:val="002C5061"/>
    <w:rsid w:val="002C543E"/>
    <w:rsid w:val="002C6E4C"/>
    <w:rsid w:val="002D069B"/>
    <w:rsid w:val="002D0C79"/>
    <w:rsid w:val="002D232F"/>
    <w:rsid w:val="002D25A6"/>
    <w:rsid w:val="002D488E"/>
    <w:rsid w:val="002D59E1"/>
    <w:rsid w:val="002D5FFE"/>
    <w:rsid w:val="002D70AB"/>
    <w:rsid w:val="002E048E"/>
    <w:rsid w:val="002E14E9"/>
    <w:rsid w:val="002E1548"/>
    <w:rsid w:val="002E1E81"/>
    <w:rsid w:val="002E2367"/>
    <w:rsid w:val="002E37F1"/>
    <w:rsid w:val="002E5148"/>
    <w:rsid w:val="002F3227"/>
    <w:rsid w:val="002F454A"/>
    <w:rsid w:val="002F4659"/>
    <w:rsid w:val="002F4FF1"/>
    <w:rsid w:val="002F58CA"/>
    <w:rsid w:val="002F5E5C"/>
    <w:rsid w:val="002F63AD"/>
    <w:rsid w:val="003010F2"/>
    <w:rsid w:val="003011BC"/>
    <w:rsid w:val="003012EE"/>
    <w:rsid w:val="00303FB2"/>
    <w:rsid w:val="003043A1"/>
    <w:rsid w:val="00306597"/>
    <w:rsid w:val="0031024F"/>
    <w:rsid w:val="00311523"/>
    <w:rsid w:val="00312407"/>
    <w:rsid w:val="00314751"/>
    <w:rsid w:val="00315D0E"/>
    <w:rsid w:val="0031719E"/>
    <w:rsid w:val="0032241B"/>
    <w:rsid w:val="00323D6C"/>
    <w:rsid w:val="00324560"/>
    <w:rsid w:val="003249AD"/>
    <w:rsid w:val="00327F18"/>
    <w:rsid w:val="00327F5F"/>
    <w:rsid w:val="00330A4E"/>
    <w:rsid w:val="00330B95"/>
    <w:rsid w:val="0033120B"/>
    <w:rsid w:val="0033234D"/>
    <w:rsid w:val="00333154"/>
    <w:rsid w:val="003341CE"/>
    <w:rsid w:val="00334FD7"/>
    <w:rsid w:val="00336873"/>
    <w:rsid w:val="00336F09"/>
    <w:rsid w:val="00340341"/>
    <w:rsid w:val="00341F36"/>
    <w:rsid w:val="0034539F"/>
    <w:rsid w:val="00345DEF"/>
    <w:rsid w:val="00346078"/>
    <w:rsid w:val="00352717"/>
    <w:rsid w:val="00355497"/>
    <w:rsid w:val="003572AE"/>
    <w:rsid w:val="00357661"/>
    <w:rsid w:val="00360235"/>
    <w:rsid w:val="003612E0"/>
    <w:rsid w:val="00363393"/>
    <w:rsid w:val="0036574D"/>
    <w:rsid w:val="0036769B"/>
    <w:rsid w:val="00370FF6"/>
    <w:rsid w:val="00372F2D"/>
    <w:rsid w:val="0037547F"/>
    <w:rsid w:val="003767D9"/>
    <w:rsid w:val="0037757E"/>
    <w:rsid w:val="0037761E"/>
    <w:rsid w:val="003807EA"/>
    <w:rsid w:val="0038168C"/>
    <w:rsid w:val="00384A8D"/>
    <w:rsid w:val="00385736"/>
    <w:rsid w:val="0039076C"/>
    <w:rsid w:val="0039146A"/>
    <w:rsid w:val="003917C5"/>
    <w:rsid w:val="003917CF"/>
    <w:rsid w:val="00395DB1"/>
    <w:rsid w:val="003A0DBA"/>
    <w:rsid w:val="003A34AF"/>
    <w:rsid w:val="003A36A7"/>
    <w:rsid w:val="003A3F30"/>
    <w:rsid w:val="003A48A2"/>
    <w:rsid w:val="003A578A"/>
    <w:rsid w:val="003A7D8B"/>
    <w:rsid w:val="003B0BC8"/>
    <w:rsid w:val="003B1B5F"/>
    <w:rsid w:val="003B3C6D"/>
    <w:rsid w:val="003B4012"/>
    <w:rsid w:val="003B4C98"/>
    <w:rsid w:val="003B4CCF"/>
    <w:rsid w:val="003B4EB4"/>
    <w:rsid w:val="003B65F3"/>
    <w:rsid w:val="003B6AF2"/>
    <w:rsid w:val="003B7C2F"/>
    <w:rsid w:val="003C08C4"/>
    <w:rsid w:val="003C09E3"/>
    <w:rsid w:val="003C323A"/>
    <w:rsid w:val="003C4163"/>
    <w:rsid w:val="003C6355"/>
    <w:rsid w:val="003C66BE"/>
    <w:rsid w:val="003D238F"/>
    <w:rsid w:val="003D343C"/>
    <w:rsid w:val="003D4D7D"/>
    <w:rsid w:val="003D6443"/>
    <w:rsid w:val="003E0F9D"/>
    <w:rsid w:val="003E129E"/>
    <w:rsid w:val="003E189F"/>
    <w:rsid w:val="003E4DCA"/>
    <w:rsid w:val="003E6915"/>
    <w:rsid w:val="003F08AA"/>
    <w:rsid w:val="003F1558"/>
    <w:rsid w:val="003F257A"/>
    <w:rsid w:val="003F4E88"/>
    <w:rsid w:val="003F5D31"/>
    <w:rsid w:val="003F62C0"/>
    <w:rsid w:val="003F7633"/>
    <w:rsid w:val="003F76AF"/>
    <w:rsid w:val="003F7812"/>
    <w:rsid w:val="00401070"/>
    <w:rsid w:val="00401F99"/>
    <w:rsid w:val="004021F5"/>
    <w:rsid w:val="0040427A"/>
    <w:rsid w:val="00404846"/>
    <w:rsid w:val="00404F06"/>
    <w:rsid w:val="004054E0"/>
    <w:rsid w:val="00406086"/>
    <w:rsid w:val="00407B86"/>
    <w:rsid w:val="00410A4D"/>
    <w:rsid w:val="0041117E"/>
    <w:rsid w:val="00412DB5"/>
    <w:rsid w:val="00412DCE"/>
    <w:rsid w:val="00416739"/>
    <w:rsid w:val="004171E1"/>
    <w:rsid w:val="00417A8A"/>
    <w:rsid w:val="00420EC7"/>
    <w:rsid w:val="00424B27"/>
    <w:rsid w:val="004265DD"/>
    <w:rsid w:val="00437708"/>
    <w:rsid w:val="00437BBE"/>
    <w:rsid w:val="00440355"/>
    <w:rsid w:val="004413BF"/>
    <w:rsid w:val="00442004"/>
    <w:rsid w:val="00443C40"/>
    <w:rsid w:val="00444BB3"/>
    <w:rsid w:val="004465C6"/>
    <w:rsid w:val="00447AF3"/>
    <w:rsid w:val="00450386"/>
    <w:rsid w:val="004558EA"/>
    <w:rsid w:val="0045765E"/>
    <w:rsid w:val="00457B25"/>
    <w:rsid w:val="00461FEC"/>
    <w:rsid w:val="00463F64"/>
    <w:rsid w:val="00464CB5"/>
    <w:rsid w:val="004652F7"/>
    <w:rsid w:val="00466266"/>
    <w:rsid w:val="004669E1"/>
    <w:rsid w:val="00467D6C"/>
    <w:rsid w:val="004712CE"/>
    <w:rsid w:val="004723D5"/>
    <w:rsid w:val="004725EC"/>
    <w:rsid w:val="00473EEE"/>
    <w:rsid w:val="00482D75"/>
    <w:rsid w:val="00490E21"/>
    <w:rsid w:val="00491DBE"/>
    <w:rsid w:val="00491EAD"/>
    <w:rsid w:val="004938D8"/>
    <w:rsid w:val="004944B1"/>
    <w:rsid w:val="00496E08"/>
    <w:rsid w:val="004A0003"/>
    <w:rsid w:val="004A07FA"/>
    <w:rsid w:val="004A3CA4"/>
    <w:rsid w:val="004A54CE"/>
    <w:rsid w:val="004B11E6"/>
    <w:rsid w:val="004B12F1"/>
    <w:rsid w:val="004B2782"/>
    <w:rsid w:val="004B2A89"/>
    <w:rsid w:val="004B3950"/>
    <w:rsid w:val="004B6EA4"/>
    <w:rsid w:val="004B6F88"/>
    <w:rsid w:val="004B74FE"/>
    <w:rsid w:val="004B786B"/>
    <w:rsid w:val="004C0434"/>
    <w:rsid w:val="004C39AD"/>
    <w:rsid w:val="004C3CE5"/>
    <w:rsid w:val="004C5EF3"/>
    <w:rsid w:val="004C6D96"/>
    <w:rsid w:val="004C7178"/>
    <w:rsid w:val="004D16D5"/>
    <w:rsid w:val="004D464A"/>
    <w:rsid w:val="004D4775"/>
    <w:rsid w:val="004D5287"/>
    <w:rsid w:val="004D5A43"/>
    <w:rsid w:val="004E3A8A"/>
    <w:rsid w:val="004E695C"/>
    <w:rsid w:val="004F1A27"/>
    <w:rsid w:val="004F1A95"/>
    <w:rsid w:val="004F2600"/>
    <w:rsid w:val="004F5EEF"/>
    <w:rsid w:val="005011C7"/>
    <w:rsid w:val="005025F4"/>
    <w:rsid w:val="005026D0"/>
    <w:rsid w:val="00503AD0"/>
    <w:rsid w:val="00505553"/>
    <w:rsid w:val="00506A10"/>
    <w:rsid w:val="00521858"/>
    <w:rsid w:val="00522663"/>
    <w:rsid w:val="0052285C"/>
    <w:rsid w:val="005235D1"/>
    <w:rsid w:val="005375D1"/>
    <w:rsid w:val="0054285E"/>
    <w:rsid w:val="005430BF"/>
    <w:rsid w:val="0054535F"/>
    <w:rsid w:val="00551A6F"/>
    <w:rsid w:val="00566296"/>
    <w:rsid w:val="00566D8F"/>
    <w:rsid w:val="00567B01"/>
    <w:rsid w:val="0057207A"/>
    <w:rsid w:val="005724A7"/>
    <w:rsid w:val="00573A8B"/>
    <w:rsid w:val="00576B9C"/>
    <w:rsid w:val="00576C6F"/>
    <w:rsid w:val="00577019"/>
    <w:rsid w:val="00581159"/>
    <w:rsid w:val="0058215D"/>
    <w:rsid w:val="0058303D"/>
    <w:rsid w:val="00586393"/>
    <w:rsid w:val="00586A02"/>
    <w:rsid w:val="00590B3D"/>
    <w:rsid w:val="005932DC"/>
    <w:rsid w:val="00594074"/>
    <w:rsid w:val="00595BD3"/>
    <w:rsid w:val="005A2E74"/>
    <w:rsid w:val="005B0754"/>
    <w:rsid w:val="005B1EAC"/>
    <w:rsid w:val="005B39FE"/>
    <w:rsid w:val="005B3A2B"/>
    <w:rsid w:val="005B4AB1"/>
    <w:rsid w:val="005B6C7C"/>
    <w:rsid w:val="005B72B3"/>
    <w:rsid w:val="005C03EC"/>
    <w:rsid w:val="005C1668"/>
    <w:rsid w:val="005C1BE5"/>
    <w:rsid w:val="005C5741"/>
    <w:rsid w:val="005C70B6"/>
    <w:rsid w:val="005D0A64"/>
    <w:rsid w:val="005D3447"/>
    <w:rsid w:val="005D37CA"/>
    <w:rsid w:val="005D4659"/>
    <w:rsid w:val="005D6478"/>
    <w:rsid w:val="005D684E"/>
    <w:rsid w:val="005D7A13"/>
    <w:rsid w:val="005D7CEB"/>
    <w:rsid w:val="005E0187"/>
    <w:rsid w:val="005F0A2A"/>
    <w:rsid w:val="005F0BD3"/>
    <w:rsid w:val="005F2451"/>
    <w:rsid w:val="0060139A"/>
    <w:rsid w:val="006013BE"/>
    <w:rsid w:val="006026B1"/>
    <w:rsid w:val="00602ED2"/>
    <w:rsid w:val="00604486"/>
    <w:rsid w:val="006068E4"/>
    <w:rsid w:val="00610414"/>
    <w:rsid w:val="00610C7C"/>
    <w:rsid w:val="00613609"/>
    <w:rsid w:val="006213AA"/>
    <w:rsid w:val="006267D1"/>
    <w:rsid w:val="006301F6"/>
    <w:rsid w:val="00631CD5"/>
    <w:rsid w:val="00633100"/>
    <w:rsid w:val="006405F8"/>
    <w:rsid w:val="00643A07"/>
    <w:rsid w:val="00644E1F"/>
    <w:rsid w:val="00647E7F"/>
    <w:rsid w:val="0065273D"/>
    <w:rsid w:val="00653DB5"/>
    <w:rsid w:val="00664B97"/>
    <w:rsid w:val="006707FF"/>
    <w:rsid w:val="00671777"/>
    <w:rsid w:val="00671C8D"/>
    <w:rsid w:val="0067506C"/>
    <w:rsid w:val="006754D5"/>
    <w:rsid w:val="00676C86"/>
    <w:rsid w:val="0068200E"/>
    <w:rsid w:val="006825FC"/>
    <w:rsid w:val="006828E2"/>
    <w:rsid w:val="00684EBE"/>
    <w:rsid w:val="00685A9D"/>
    <w:rsid w:val="00690024"/>
    <w:rsid w:val="00694897"/>
    <w:rsid w:val="006963E0"/>
    <w:rsid w:val="0069761A"/>
    <w:rsid w:val="006A31E2"/>
    <w:rsid w:val="006A6407"/>
    <w:rsid w:val="006A6448"/>
    <w:rsid w:val="006A6AE9"/>
    <w:rsid w:val="006A7BA8"/>
    <w:rsid w:val="006B01F9"/>
    <w:rsid w:val="006B06C2"/>
    <w:rsid w:val="006B64A0"/>
    <w:rsid w:val="006B6E2E"/>
    <w:rsid w:val="006C0D63"/>
    <w:rsid w:val="006C3C58"/>
    <w:rsid w:val="006C4C4E"/>
    <w:rsid w:val="006C6B46"/>
    <w:rsid w:val="006D0101"/>
    <w:rsid w:val="006D3703"/>
    <w:rsid w:val="006D3FFA"/>
    <w:rsid w:val="006D423D"/>
    <w:rsid w:val="006D4D0F"/>
    <w:rsid w:val="006D6AE7"/>
    <w:rsid w:val="006E1535"/>
    <w:rsid w:val="006E20DA"/>
    <w:rsid w:val="006E3B0A"/>
    <w:rsid w:val="006F3054"/>
    <w:rsid w:val="006F3B02"/>
    <w:rsid w:val="006F72BC"/>
    <w:rsid w:val="00700880"/>
    <w:rsid w:val="007051B9"/>
    <w:rsid w:val="0071132E"/>
    <w:rsid w:val="00712E58"/>
    <w:rsid w:val="00715D18"/>
    <w:rsid w:val="00720060"/>
    <w:rsid w:val="00722F55"/>
    <w:rsid w:val="00724829"/>
    <w:rsid w:val="00724F52"/>
    <w:rsid w:val="00725B9C"/>
    <w:rsid w:val="00726D56"/>
    <w:rsid w:val="00727B9F"/>
    <w:rsid w:val="00730A22"/>
    <w:rsid w:val="00737C76"/>
    <w:rsid w:val="00741804"/>
    <w:rsid w:val="00741FF3"/>
    <w:rsid w:val="007423BE"/>
    <w:rsid w:val="00744EED"/>
    <w:rsid w:val="00745344"/>
    <w:rsid w:val="007454B8"/>
    <w:rsid w:val="007466E2"/>
    <w:rsid w:val="00747A07"/>
    <w:rsid w:val="00750BDB"/>
    <w:rsid w:val="00752D98"/>
    <w:rsid w:val="00752FCC"/>
    <w:rsid w:val="0075378A"/>
    <w:rsid w:val="00753CDC"/>
    <w:rsid w:val="00753D38"/>
    <w:rsid w:val="007572C4"/>
    <w:rsid w:val="00757894"/>
    <w:rsid w:val="00764568"/>
    <w:rsid w:val="0076756B"/>
    <w:rsid w:val="007715F8"/>
    <w:rsid w:val="00771F69"/>
    <w:rsid w:val="0078058D"/>
    <w:rsid w:val="007810D5"/>
    <w:rsid w:val="00783100"/>
    <w:rsid w:val="00783907"/>
    <w:rsid w:val="00784130"/>
    <w:rsid w:val="00785FF1"/>
    <w:rsid w:val="00786B17"/>
    <w:rsid w:val="00787BAA"/>
    <w:rsid w:val="007927C9"/>
    <w:rsid w:val="00792FB5"/>
    <w:rsid w:val="007954F4"/>
    <w:rsid w:val="007968E7"/>
    <w:rsid w:val="00797D43"/>
    <w:rsid w:val="007A25CF"/>
    <w:rsid w:val="007A2CD9"/>
    <w:rsid w:val="007A4728"/>
    <w:rsid w:val="007A5C14"/>
    <w:rsid w:val="007A7ED9"/>
    <w:rsid w:val="007B061D"/>
    <w:rsid w:val="007B3368"/>
    <w:rsid w:val="007C0E7C"/>
    <w:rsid w:val="007C1CF5"/>
    <w:rsid w:val="007C2778"/>
    <w:rsid w:val="007C5C02"/>
    <w:rsid w:val="007D1F2C"/>
    <w:rsid w:val="007D1F9B"/>
    <w:rsid w:val="007D3C2B"/>
    <w:rsid w:val="007E0776"/>
    <w:rsid w:val="007E156A"/>
    <w:rsid w:val="007E261B"/>
    <w:rsid w:val="007E2A00"/>
    <w:rsid w:val="007E477B"/>
    <w:rsid w:val="007E5871"/>
    <w:rsid w:val="007E7B01"/>
    <w:rsid w:val="007F0592"/>
    <w:rsid w:val="007F078B"/>
    <w:rsid w:val="007F4C74"/>
    <w:rsid w:val="007F50AF"/>
    <w:rsid w:val="00801E28"/>
    <w:rsid w:val="0080245B"/>
    <w:rsid w:val="008029AF"/>
    <w:rsid w:val="00811180"/>
    <w:rsid w:val="00812319"/>
    <w:rsid w:val="00813D82"/>
    <w:rsid w:val="00815EC9"/>
    <w:rsid w:val="00816945"/>
    <w:rsid w:val="00822E47"/>
    <w:rsid w:val="00825A18"/>
    <w:rsid w:val="00826232"/>
    <w:rsid w:val="00830ECD"/>
    <w:rsid w:val="008322A6"/>
    <w:rsid w:val="0083276F"/>
    <w:rsid w:val="0083298D"/>
    <w:rsid w:val="00832CC1"/>
    <w:rsid w:val="00834032"/>
    <w:rsid w:val="0083557F"/>
    <w:rsid w:val="00835674"/>
    <w:rsid w:val="00842418"/>
    <w:rsid w:val="00843678"/>
    <w:rsid w:val="00843D9C"/>
    <w:rsid w:val="00845C09"/>
    <w:rsid w:val="0084685B"/>
    <w:rsid w:val="0084752A"/>
    <w:rsid w:val="00847780"/>
    <w:rsid w:val="00851FA9"/>
    <w:rsid w:val="008522C7"/>
    <w:rsid w:val="0085407E"/>
    <w:rsid w:val="008542C1"/>
    <w:rsid w:val="00855B6B"/>
    <w:rsid w:val="008564B0"/>
    <w:rsid w:val="00856865"/>
    <w:rsid w:val="00857C75"/>
    <w:rsid w:val="0086008C"/>
    <w:rsid w:val="00861CD6"/>
    <w:rsid w:val="008620B5"/>
    <w:rsid w:val="008622D1"/>
    <w:rsid w:val="00871711"/>
    <w:rsid w:val="00872155"/>
    <w:rsid w:val="00875266"/>
    <w:rsid w:val="008757CA"/>
    <w:rsid w:val="00876678"/>
    <w:rsid w:val="00880CF1"/>
    <w:rsid w:val="008817AE"/>
    <w:rsid w:val="00882F26"/>
    <w:rsid w:val="00883722"/>
    <w:rsid w:val="0088584E"/>
    <w:rsid w:val="00885922"/>
    <w:rsid w:val="00885C2A"/>
    <w:rsid w:val="00891E7F"/>
    <w:rsid w:val="008A6351"/>
    <w:rsid w:val="008A71BC"/>
    <w:rsid w:val="008A73B7"/>
    <w:rsid w:val="008B126E"/>
    <w:rsid w:val="008B2A19"/>
    <w:rsid w:val="008B62C1"/>
    <w:rsid w:val="008C535C"/>
    <w:rsid w:val="008D0825"/>
    <w:rsid w:val="008D0C38"/>
    <w:rsid w:val="008D1978"/>
    <w:rsid w:val="008D2290"/>
    <w:rsid w:val="008D4046"/>
    <w:rsid w:val="008D4080"/>
    <w:rsid w:val="008D5F21"/>
    <w:rsid w:val="008D6AF4"/>
    <w:rsid w:val="008D7C74"/>
    <w:rsid w:val="008E09C0"/>
    <w:rsid w:val="008E2F9A"/>
    <w:rsid w:val="008E3EFB"/>
    <w:rsid w:val="008E4163"/>
    <w:rsid w:val="008E4C1A"/>
    <w:rsid w:val="008E4C6B"/>
    <w:rsid w:val="008E706B"/>
    <w:rsid w:val="008F0532"/>
    <w:rsid w:val="008F168D"/>
    <w:rsid w:val="008F1CAD"/>
    <w:rsid w:val="008F3146"/>
    <w:rsid w:val="008F4889"/>
    <w:rsid w:val="008F5A25"/>
    <w:rsid w:val="0090110B"/>
    <w:rsid w:val="009046E6"/>
    <w:rsid w:val="009060A8"/>
    <w:rsid w:val="00906B2C"/>
    <w:rsid w:val="0091006C"/>
    <w:rsid w:val="009117F1"/>
    <w:rsid w:val="00912F06"/>
    <w:rsid w:val="0091511E"/>
    <w:rsid w:val="00920E20"/>
    <w:rsid w:val="009230DA"/>
    <w:rsid w:val="00923399"/>
    <w:rsid w:val="00925563"/>
    <w:rsid w:val="00932FCE"/>
    <w:rsid w:val="009373EF"/>
    <w:rsid w:val="009409C3"/>
    <w:rsid w:val="00945EA7"/>
    <w:rsid w:val="00946305"/>
    <w:rsid w:val="00947076"/>
    <w:rsid w:val="00950808"/>
    <w:rsid w:val="00955503"/>
    <w:rsid w:val="00961DD8"/>
    <w:rsid w:val="00963E62"/>
    <w:rsid w:val="0097498D"/>
    <w:rsid w:val="0097655B"/>
    <w:rsid w:val="0098367F"/>
    <w:rsid w:val="00987FED"/>
    <w:rsid w:val="00993A38"/>
    <w:rsid w:val="009A4DD8"/>
    <w:rsid w:val="009A5FF4"/>
    <w:rsid w:val="009A6367"/>
    <w:rsid w:val="009A72E3"/>
    <w:rsid w:val="009A7858"/>
    <w:rsid w:val="009B0149"/>
    <w:rsid w:val="009B3A44"/>
    <w:rsid w:val="009B60F6"/>
    <w:rsid w:val="009B79B0"/>
    <w:rsid w:val="009B7A79"/>
    <w:rsid w:val="009C17BA"/>
    <w:rsid w:val="009C1D66"/>
    <w:rsid w:val="009C22A8"/>
    <w:rsid w:val="009C5440"/>
    <w:rsid w:val="009C72B9"/>
    <w:rsid w:val="009D17D1"/>
    <w:rsid w:val="009D2B52"/>
    <w:rsid w:val="009D55F3"/>
    <w:rsid w:val="009E4FC9"/>
    <w:rsid w:val="009E6E5F"/>
    <w:rsid w:val="009E7E7A"/>
    <w:rsid w:val="009F1E0A"/>
    <w:rsid w:val="009F2AF6"/>
    <w:rsid w:val="009F3B27"/>
    <w:rsid w:val="009F619F"/>
    <w:rsid w:val="00A01069"/>
    <w:rsid w:val="00A07D54"/>
    <w:rsid w:val="00A1018A"/>
    <w:rsid w:val="00A10D46"/>
    <w:rsid w:val="00A14401"/>
    <w:rsid w:val="00A2033B"/>
    <w:rsid w:val="00A20B20"/>
    <w:rsid w:val="00A22044"/>
    <w:rsid w:val="00A2796C"/>
    <w:rsid w:val="00A310BD"/>
    <w:rsid w:val="00A32E09"/>
    <w:rsid w:val="00A333C9"/>
    <w:rsid w:val="00A33BCC"/>
    <w:rsid w:val="00A33C38"/>
    <w:rsid w:val="00A36225"/>
    <w:rsid w:val="00A36285"/>
    <w:rsid w:val="00A40388"/>
    <w:rsid w:val="00A405D3"/>
    <w:rsid w:val="00A41766"/>
    <w:rsid w:val="00A424A7"/>
    <w:rsid w:val="00A43B0C"/>
    <w:rsid w:val="00A43F71"/>
    <w:rsid w:val="00A47A18"/>
    <w:rsid w:val="00A513E5"/>
    <w:rsid w:val="00A51A9B"/>
    <w:rsid w:val="00A51D9D"/>
    <w:rsid w:val="00A52509"/>
    <w:rsid w:val="00A536C4"/>
    <w:rsid w:val="00A615AF"/>
    <w:rsid w:val="00A631ED"/>
    <w:rsid w:val="00A63A08"/>
    <w:rsid w:val="00A6422E"/>
    <w:rsid w:val="00A656DB"/>
    <w:rsid w:val="00A65C81"/>
    <w:rsid w:val="00A678BF"/>
    <w:rsid w:val="00A704B9"/>
    <w:rsid w:val="00A72883"/>
    <w:rsid w:val="00A733C5"/>
    <w:rsid w:val="00A76BD1"/>
    <w:rsid w:val="00A76D07"/>
    <w:rsid w:val="00A77CB9"/>
    <w:rsid w:val="00A77E81"/>
    <w:rsid w:val="00A80035"/>
    <w:rsid w:val="00A80862"/>
    <w:rsid w:val="00A80E65"/>
    <w:rsid w:val="00A83385"/>
    <w:rsid w:val="00A83EB2"/>
    <w:rsid w:val="00A83F28"/>
    <w:rsid w:val="00A8587F"/>
    <w:rsid w:val="00A86832"/>
    <w:rsid w:val="00A90766"/>
    <w:rsid w:val="00A91C12"/>
    <w:rsid w:val="00A91F5C"/>
    <w:rsid w:val="00A9406B"/>
    <w:rsid w:val="00A97838"/>
    <w:rsid w:val="00AA12B5"/>
    <w:rsid w:val="00AA3107"/>
    <w:rsid w:val="00AA491B"/>
    <w:rsid w:val="00AB04E8"/>
    <w:rsid w:val="00AB20B1"/>
    <w:rsid w:val="00AB295D"/>
    <w:rsid w:val="00AB2F56"/>
    <w:rsid w:val="00AB41D9"/>
    <w:rsid w:val="00AB6D87"/>
    <w:rsid w:val="00AB7E60"/>
    <w:rsid w:val="00AC05FA"/>
    <w:rsid w:val="00AC6E48"/>
    <w:rsid w:val="00AD24CB"/>
    <w:rsid w:val="00AD2E06"/>
    <w:rsid w:val="00AE00FE"/>
    <w:rsid w:val="00AE3210"/>
    <w:rsid w:val="00AE48D0"/>
    <w:rsid w:val="00AF2EF7"/>
    <w:rsid w:val="00AF4E7E"/>
    <w:rsid w:val="00AF56A5"/>
    <w:rsid w:val="00AF5E1A"/>
    <w:rsid w:val="00AF6DE5"/>
    <w:rsid w:val="00AF7C49"/>
    <w:rsid w:val="00B000E1"/>
    <w:rsid w:val="00B02669"/>
    <w:rsid w:val="00B03614"/>
    <w:rsid w:val="00B04992"/>
    <w:rsid w:val="00B05C53"/>
    <w:rsid w:val="00B05CED"/>
    <w:rsid w:val="00B101D4"/>
    <w:rsid w:val="00B12B53"/>
    <w:rsid w:val="00B1350A"/>
    <w:rsid w:val="00B13910"/>
    <w:rsid w:val="00B2153B"/>
    <w:rsid w:val="00B2217A"/>
    <w:rsid w:val="00B22B27"/>
    <w:rsid w:val="00B24480"/>
    <w:rsid w:val="00B24953"/>
    <w:rsid w:val="00B2551C"/>
    <w:rsid w:val="00B326D8"/>
    <w:rsid w:val="00B36732"/>
    <w:rsid w:val="00B408D8"/>
    <w:rsid w:val="00B40999"/>
    <w:rsid w:val="00B426B2"/>
    <w:rsid w:val="00B43292"/>
    <w:rsid w:val="00B43D82"/>
    <w:rsid w:val="00B51EA1"/>
    <w:rsid w:val="00B52BC6"/>
    <w:rsid w:val="00B53AFF"/>
    <w:rsid w:val="00B54AFD"/>
    <w:rsid w:val="00B54E61"/>
    <w:rsid w:val="00B5734F"/>
    <w:rsid w:val="00B60B63"/>
    <w:rsid w:val="00B6177A"/>
    <w:rsid w:val="00B61BD1"/>
    <w:rsid w:val="00B6359A"/>
    <w:rsid w:val="00B639DC"/>
    <w:rsid w:val="00B64A66"/>
    <w:rsid w:val="00B664B4"/>
    <w:rsid w:val="00B668E6"/>
    <w:rsid w:val="00B67055"/>
    <w:rsid w:val="00B70951"/>
    <w:rsid w:val="00B7163E"/>
    <w:rsid w:val="00B73306"/>
    <w:rsid w:val="00B741FE"/>
    <w:rsid w:val="00B759F9"/>
    <w:rsid w:val="00B75DD7"/>
    <w:rsid w:val="00B77F53"/>
    <w:rsid w:val="00B828CD"/>
    <w:rsid w:val="00B85FCE"/>
    <w:rsid w:val="00B8690E"/>
    <w:rsid w:val="00B91192"/>
    <w:rsid w:val="00B96303"/>
    <w:rsid w:val="00B973B5"/>
    <w:rsid w:val="00BA0035"/>
    <w:rsid w:val="00BA11EF"/>
    <w:rsid w:val="00BA31E3"/>
    <w:rsid w:val="00BA3FD5"/>
    <w:rsid w:val="00BA48B1"/>
    <w:rsid w:val="00BA5261"/>
    <w:rsid w:val="00BA62A6"/>
    <w:rsid w:val="00BB01EA"/>
    <w:rsid w:val="00BB09CF"/>
    <w:rsid w:val="00BB1C20"/>
    <w:rsid w:val="00BB4906"/>
    <w:rsid w:val="00BC35B8"/>
    <w:rsid w:val="00BC401E"/>
    <w:rsid w:val="00BC5938"/>
    <w:rsid w:val="00BC7423"/>
    <w:rsid w:val="00BD317A"/>
    <w:rsid w:val="00BD4492"/>
    <w:rsid w:val="00BE0973"/>
    <w:rsid w:val="00BE0ADB"/>
    <w:rsid w:val="00BE21D9"/>
    <w:rsid w:val="00BE797F"/>
    <w:rsid w:val="00BF0222"/>
    <w:rsid w:val="00C01B51"/>
    <w:rsid w:val="00C0211D"/>
    <w:rsid w:val="00C02789"/>
    <w:rsid w:val="00C0460F"/>
    <w:rsid w:val="00C10DC7"/>
    <w:rsid w:val="00C129E6"/>
    <w:rsid w:val="00C13BC3"/>
    <w:rsid w:val="00C14E40"/>
    <w:rsid w:val="00C158FC"/>
    <w:rsid w:val="00C21A89"/>
    <w:rsid w:val="00C235E3"/>
    <w:rsid w:val="00C24301"/>
    <w:rsid w:val="00C251AB"/>
    <w:rsid w:val="00C25226"/>
    <w:rsid w:val="00C2605E"/>
    <w:rsid w:val="00C26B9F"/>
    <w:rsid w:val="00C30814"/>
    <w:rsid w:val="00C36DEE"/>
    <w:rsid w:val="00C378A8"/>
    <w:rsid w:val="00C40510"/>
    <w:rsid w:val="00C427F3"/>
    <w:rsid w:val="00C44231"/>
    <w:rsid w:val="00C45077"/>
    <w:rsid w:val="00C46156"/>
    <w:rsid w:val="00C509CB"/>
    <w:rsid w:val="00C51A08"/>
    <w:rsid w:val="00C52572"/>
    <w:rsid w:val="00C52574"/>
    <w:rsid w:val="00C525B3"/>
    <w:rsid w:val="00C52C0C"/>
    <w:rsid w:val="00C532E2"/>
    <w:rsid w:val="00C5377E"/>
    <w:rsid w:val="00C54ABE"/>
    <w:rsid w:val="00C5560B"/>
    <w:rsid w:val="00C55A9A"/>
    <w:rsid w:val="00C56EBF"/>
    <w:rsid w:val="00C57C4F"/>
    <w:rsid w:val="00C60272"/>
    <w:rsid w:val="00C609D2"/>
    <w:rsid w:val="00C60A1F"/>
    <w:rsid w:val="00C62007"/>
    <w:rsid w:val="00C661B4"/>
    <w:rsid w:val="00C6740B"/>
    <w:rsid w:val="00C74B5D"/>
    <w:rsid w:val="00C770B3"/>
    <w:rsid w:val="00C770FE"/>
    <w:rsid w:val="00C82DB8"/>
    <w:rsid w:val="00C87722"/>
    <w:rsid w:val="00C9009A"/>
    <w:rsid w:val="00C92036"/>
    <w:rsid w:val="00C9267F"/>
    <w:rsid w:val="00C97900"/>
    <w:rsid w:val="00CA0B0D"/>
    <w:rsid w:val="00CA17DF"/>
    <w:rsid w:val="00CA39D7"/>
    <w:rsid w:val="00CA4A7A"/>
    <w:rsid w:val="00CA4C7D"/>
    <w:rsid w:val="00CA52BF"/>
    <w:rsid w:val="00CB59DF"/>
    <w:rsid w:val="00CB61AD"/>
    <w:rsid w:val="00CB6627"/>
    <w:rsid w:val="00CB6C9F"/>
    <w:rsid w:val="00CC0DD5"/>
    <w:rsid w:val="00CC2C18"/>
    <w:rsid w:val="00CC4AB2"/>
    <w:rsid w:val="00CC5759"/>
    <w:rsid w:val="00CD0B7F"/>
    <w:rsid w:val="00CD1672"/>
    <w:rsid w:val="00CD1E85"/>
    <w:rsid w:val="00CD48D6"/>
    <w:rsid w:val="00CD5876"/>
    <w:rsid w:val="00CD6DF1"/>
    <w:rsid w:val="00CE108D"/>
    <w:rsid w:val="00CE2B10"/>
    <w:rsid w:val="00CE5024"/>
    <w:rsid w:val="00CE5E60"/>
    <w:rsid w:val="00CF528D"/>
    <w:rsid w:val="00CF6EED"/>
    <w:rsid w:val="00D0015F"/>
    <w:rsid w:val="00D00D33"/>
    <w:rsid w:val="00D01B03"/>
    <w:rsid w:val="00D03535"/>
    <w:rsid w:val="00D1135D"/>
    <w:rsid w:val="00D11664"/>
    <w:rsid w:val="00D14913"/>
    <w:rsid w:val="00D1507D"/>
    <w:rsid w:val="00D16958"/>
    <w:rsid w:val="00D173F6"/>
    <w:rsid w:val="00D25774"/>
    <w:rsid w:val="00D26599"/>
    <w:rsid w:val="00D27FC0"/>
    <w:rsid w:val="00D31044"/>
    <w:rsid w:val="00D323BB"/>
    <w:rsid w:val="00D37E81"/>
    <w:rsid w:val="00D43CD2"/>
    <w:rsid w:val="00D51B24"/>
    <w:rsid w:val="00D51BF6"/>
    <w:rsid w:val="00D54071"/>
    <w:rsid w:val="00D605AB"/>
    <w:rsid w:val="00D61C07"/>
    <w:rsid w:val="00D64C20"/>
    <w:rsid w:val="00D64F92"/>
    <w:rsid w:val="00D66B2F"/>
    <w:rsid w:val="00D67316"/>
    <w:rsid w:val="00D70CDF"/>
    <w:rsid w:val="00D74329"/>
    <w:rsid w:val="00D748A2"/>
    <w:rsid w:val="00D7732E"/>
    <w:rsid w:val="00D8137D"/>
    <w:rsid w:val="00D84E98"/>
    <w:rsid w:val="00D87A36"/>
    <w:rsid w:val="00D87BAB"/>
    <w:rsid w:val="00D904D7"/>
    <w:rsid w:val="00D92169"/>
    <w:rsid w:val="00D9330C"/>
    <w:rsid w:val="00D94E2D"/>
    <w:rsid w:val="00D94ECA"/>
    <w:rsid w:val="00D95557"/>
    <w:rsid w:val="00D979D4"/>
    <w:rsid w:val="00DA0704"/>
    <w:rsid w:val="00DA09AE"/>
    <w:rsid w:val="00DA0F1D"/>
    <w:rsid w:val="00DA4830"/>
    <w:rsid w:val="00DA6A31"/>
    <w:rsid w:val="00DB08DE"/>
    <w:rsid w:val="00DB2D67"/>
    <w:rsid w:val="00DB4ECC"/>
    <w:rsid w:val="00DB71AE"/>
    <w:rsid w:val="00DC0043"/>
    <w:rsid w:val="00DC048F"/>
    <w:rsid w:val="00DC315C"/>
    <w:rsid w:val="00DC436B"/>
    <w:rsid w:val="00DC64F9"/>
    <w:rsid w:val="00DD12E7"/>
    <w:rsid w:val="00DD1D96"/>
    <w:rsid w:val="00DD1F3E"/>
    <w:rsid w:val="00DD3533"/>
    <w:rsid w:val="00DD5C1C"/>
    <w:rsid w:val="00DD6DC6"/>
    <w:rsid w:val="00DD70C8"/>
    <w:rsid w:val="00DE124B"/>
    <w:rsid w:val="00DE1501"/>
    <w:rsid w:val="00DE216E"/>
    <w:rsid w:val="00DE2AA2"/>
    <w:rsid w:val="00DE4AD7"/>
    <w:rsid w:val="00DE71F1"/>
    <w:rsid w:val="00DE7D10"/>
    <w:rsid w:val="00DF0DC5"/>
    <w:rsid w:val="00DF1A8B"/>
    <w:rsid w:val="00DF2C69"/>
    <w:rsid w:val="00DF367B"/>
    <w:rsid w:val="00DF6C1B"/>
    <w:rsid w:val="00E00AF2"/>
    <w:rsid w:val="00E021C1"/>
    <w:rsid w:val="00E02BCF"/>
    <w:rsid w:val="00E03D16"/>
    <w:rsid w:val="00E06C90"/>
    <w:rsid w:val="00E10C61"/>
    <w:rsid w:val="00E13770"/>
    <w:rsid w:val="00E13C8B"/>
    <w:rsid w:val="00E14FEF"/>
    <w:rsid w:val="00E276FB"/>
    <w:rsid w:val="00E27BBF"/>
    <w:rsid w:val="00E3035E"/>
    <w:rsid w:val="00E315AE"/>
    <w:rsid w:val="00E31623"/>
    <w:rsid w:val="00E31985"/>
    <w:rsid w:val="00E3201A"/>
    <w:rsid w:val="00E32A50"/>
    <w:rsid w:val="00E35A61"/>
    <w:rsid w:val="00E404EE"/>
    <w:rsid w:val="00E42BF9"/>
    <w:rsid w:val="00E46778"/>
    <w:rsid w:val="00E47A1F"/>
    <w:rsid w:val="00E5375B"/>
    <w:rsid w:val="00E53EC2"/>
    <w:rsid w:val="00E557B4"/>
    <w:rsid w:val="00E5700D"/>
    <w:rsid w:val="00E57342"/>
    <w:rsid w:val="00E607E8"/>
    <w:rsid w:val="00E66036"/>
    <w:rsid w:val="00E6653E"/>
    <w:rsid w:val="00E667CE"/>
    <w:rsid w:val="00E7441C"/>
    <w:rsid w:val="00E755C8"/>
    <w:rsid w:val="00E75C5E"/>
    <w:rsid w:val="00E7793A"/>
    <w:rsid w:val="00E8015D"/>
    <w:rsid w:val="00E809DB"/>
    <w:rsid w:val="00E82730"/>
    <w:rsid w:val="00E8525A"/>
    <w:rsid w:val="00E86166"/>
    <w:rsid w:val="00E87586"/>
    <w:rsid w:val="00E93359"/>
    <w:rsid w:val="00E9553F"/>
    <w:rsid w:val="00E96C38"/>
    <w:rsid w:val="00EA0ED1"/>
    <w:rsid w:val="00EA0F17"/>
    <w:rsid w:val="00EA4C8C"/>
    <w:rsid w:val="00EA7A61"/>
    <w:rsid w:val="00EB032C"/>
    <w:rsid w:val="00EB09B4"/>
    <w:rsid w:val="00EB14EE"/>
    <w:rsid w:val="00EB42C6"/>
    <w:rsid w:val="00EB4762"/>
    <w:rsid w:val="00EC1679"/>
    <w:rsid w:val="00EC2BDD"/>
    <w:rsid w:val="00EC4718"/>
    <w:rsid w:val="00EC542A"/>
    <w:rsid w:val="00EC6118"/>
    <w:rsid w:val="00ED27FE"/>
    <w:rsid w:val="00ED31B7"/>
    <w:rsid w:val="00ED4600"/>
    <w:rsid w:val="00ED60E3"/>
    <w:rsid w:val="00EE06FF"/>
    <w:rsid w:val="00EE1807"/>
    <w:rsid w:val="00EE1FB3"/>
    <w:rsid w:val="00EE27AB"/>
    <w:rsid w:val="00EE38E3"/>
    <w:rsid w:val="00EE47E2"/>
    <w:rsid w:val="00EE5E48"/>
    <w:rsid w:val="00EE6524"/>
    <w:rsid w:val="00EE7C85"/>
    <w:rsid w:val="00EF26FB"/>
    <w:rsid w:val="00EF30BA"/>
    <w:rsid w:val="00EF5528"/>
    <w:rsid w:val="00F0042C"/>
    <w:rsid w:val="00F01DE7"/>
    <w:rsid w:val="00F04E39"/>
    <w:rsid w:val="00F075E2"/>
    <w:rsid w:val="00F13373"/>
    <w:rsid w:val="00F15301"/>
    <w:rsid w:val="00F16352"/>
    <w:rsid w:val="00F2105D"/>
    <w:rsid w:val="00F22BD9"/>
    <w:rsid w:val="00F2560D"/>
    <w:rsid w:val="00F2578A"/>
    <w:rsid w:val="00F27AFF"/>
    <w:rsid w:val="00F33517"/>
    <w:rsid w:val="00F338DA"/>
    <w:rsid w:val="00F33D8C"/>
    <w:rsid w:val="00F35335"/>
    <w:rsid w:val="00F366AC"/>
    <w:rsid w:val="00F4482A"/>
    <w:rsid w:val="00F44BCE"/>
    <w:rsid w:val="00F47C09"/>
    <w:rsid w:val="00F5112E"/>
    <w:rsid w:val="00F547B2"/>
    <w:rsid w:val="00F54EC5"/>
    <w:rsid w:val="00F6195C"/>
    <w:rsid w:val="00F62682"/>
    <w:rsid w:val="00F63C31"/>
    <w:rsid w:val="00F64E17"/>
    <w:rsid w:val="00F66073"/>
    <w:rsid w:val="00F66164"/>
    <w:rsid w:val="00F66579"/>
    <w:rsid w:val="00F67B8B"/>
    <w:rsid w:val="00F710D6"/>
    <w:rsid w:val="00F72386"/>
    <w:rsid w:val="00F77C87"/>
    <w:rsid w:val="00F81526"/>
    <w:rsid w:val="00F81DC4"/>
    <w:rsid w:val="00F81E0C"/>
    <w:rsid w:val="00F84C65"/>
    <w:rsid w:val="00F851AD"/>
    <w:rsid w:val="00F9050C"/>
    <w:rsid w:val="00F911C5"/>
    <w:rsid w:val="00F94D6D"/>
    <w:rsid w:val="00FA0E41"/>
    <w:rsid w:val="00FA13F2"/>
    <w:rsid w:val="00FA1C3A"/>
    <w:rsid w:val="00FB4F38"/>
    <w:rsid w:val="00FB7205"/>
    <w:rsid w:val="00FB7912"/>
    <w:rsid w:val="00FC059F"/>
    <w:rsid w:val="00FC09C7"/>
    <w:rsid w:val="00FC1B97"/>
    <w:rsid w:val="00FC1CB5"/>
    <w:rsid w:val="00FC27B5"/>
    <w:rsid w:val="00FC35E9"/>
    <w:rsid w:val="00FC5310"/>
    <w:rsid w:val="00FC561E"/>
    <w:rsid w:val="00FC7603"/>
    <w:rsid w:val="00FD50B1"/>
    <w:rsid w:val="00FE1A60"/>
    <w:rsid w:val="00FE48FF"/>
    <w:rsid w:val="00FE4A8A"/>
    <w:rsid w:val="00FE7282"/>
    <w:rsid w:val="00FF2DC3"/>
    <w:rsid w:val="00FF2FF9"/>
    <w:rsid w:val="00FF33C2"/>
    <w:rsid w:val="00FF6D00"/>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FC374"/>
  <w15:docId w15:val="{EF21B88E-F53B-8A4A-8F1F-CD3A6F0B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78"/>
    <w:pPr>
      <w:spacing w:before="120"/>
    </w:pPr>
    <w:rPr>
      <w:sz w:val="24"/>
      <w:szCs w:val="24"/>
      <w:lang w:val="en-US"/>
    </w:rPr>
  </w:style>
  <w:style w:type="paragraph" w:styleId="Heading1">
    <w:name w:val="heading 1"/>
    <w:basedOn w:val="Normal"/>
    <w:next w:val="Normal"/>
    <w:link w:val="Heading1Char"/>
    <w:uiPriority w:val="9"/>
    <w:qFormat/>
    <w:rsid w:val="008757C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pacing w:after="120"/>
    </w:pPr>
    <w:rPr>
      <w:rFonts w:ascii="Arial" w:hAnsi="Arial" w:cs="Arial Unicode MS"/>
      <w:color w:val="000000"/>
      <w:u w:color="000000"/>
      <w:lang w:val="en-US"/>
    </w:rPr>
  </w:style>
  <w:style w:type="paragraph" w:customStyle="1" w:styleId="Body">
    <w:name w:val="Body"/>
    <w:rPr>
      <w:rFonts w:cs="Arial Unicode MS"/>
      <w:color w:val="000000"/>
      <w:sz w:val="24"/>
      <w:szCs w:val="24"/>
      <w:u w:color="000000"/>
      <w:lang w:val="de-DE"/>
    </w:rPr>
  </w:style>
  <w:style w:type="paragraph" w:styleId="Footer">
    <w:name w:val="footer"/>
    <w:pPr>
      <w:tabs>
        <w:tab w:val="center" w:pos="4680"/>
        <w:tab w:val="right" w:pos="9360"/>
      </w:tabs>
      <w:spacing w:after="120"/>
    </w:pPr>
    <w:rPr>
      <w:rFonts w:ascii="Calibri" w:eastAsia="Calibri" w:hAnsi="Calibri" w:cs="Calibri"/>
      <w:color w:val="FFFFFF"/>
      <w:sz w:val="21"/>
      <w:szCs w:val="21"/>
      <w:u w:color="FFFFFF"/>
      <w:lang w:val="en-US"/>
    </w:rPr>
  </w:style>
  <w:style w:type="paragraph" w:customStyle="1" w:styleId="Heading">
    <w:name w:val="Heading"/>
    <w:next w:val="Body"/>
    <w:pPr>
      <w:spacing w:after="120"/>
      <w:outlineLvl w:val="0"/>
    </w:pPr>
    <w:rPr>
      <w:rFonts w:ascii="Arial" w:hAnsi="Arial" w:cs="Arial Unicode MS"/>
      <w:b/>
      <w:bCs/>
      <w:color w:val="000000"/>
      <w:sz w:val="28"/>
      <w:szCs w:val="28"/>
      <w:u w:color="000000"/>
      <w:lang w:val="en-US"/>
    </w:rPr>
  </w:style>
  <w:style w:type="paragraph" w:styleId="NormalWeb">
    <w:name w:val="Normal (Web)"/>
    <w:pPr>
      <w:spacing w:after="150"/>
    </w:pPr>
    <w:rPr>
      <w:rFonts w:eastAsia="Times New Roman"/>
      <w:color w:val="000000"/>
      <w:sz w:val="24"/>
      <w:szCs w:val="24"/>
      <w:u w:color="000000"/>
      <w:lang w:val="en-US"/>
    </w:rPr>
  </w:style>
  <w:style w:type="character" w:customStyle="1" w:styleId="None">
    <w:name w:val="None"/>
  </w:style>
  <w:style w:type="character" w:customStyle="1" w:styleId="Hyperlink0">
    <w:name w:val="Hyperlink.0"/>
    <w:basedOn w:val="None"/>
    <w:rPr>
      <w:color w:val="000000"/>
      <w:u w:val="single" w:color="000000"/>
    </w:rPr>
  </w:style>
  <w:style w:type="character" w:customStyle="1" w:styleId="Hyperlink2">
    <w:name w:val="Hyperlink.2"/>
    <w:rPr>
      <w:color w:val="000000"/>
      <w:u w:val="none" w:color="000000"/>
      <w:lang w:val="en-US"/>
    </w:rPr>
  </w:style>
  <w:style w:type="character" w:customStyle="1" w:styleId="UnresolvedMention1">
    <w:name w:val="Unresolved Mention1"/>
    <w:basedOn w:val="DefaultParagraphFont"/>
    <w:uiPriority w:val="99"/>
    <w:semiHidden/>
    <w:unhideWhenUsed/>
    <w:rsid w:val="00BA2304"/>
    <w:rPr>
      <w:color w:val="605E5C"/>
      <w:shd w:val="clear" w:color="auto" w:fill="E1DFDD"/>
    </w:rPr>
  </w:style>
  <w:style w:type="character" w:customStyle="1" w:styleId="UnresolvedMention2">
    <w:name w:val="Unresolved Mention2"/>
    <w:basedOn w:val="DefaultParagraphFont"/>
    <w:uiPriority w:val="99"/>
    <w:semiHidden/>
    <w:unhideWhenUsed/>
    <w:rsid w:val="00385736"/>
    <w:rPr>
      <w:color w:val="605E5C"/>
      <w:shd w:val="clear" w:color="auto" w:fill="E1DFDD"/>
    </w:rPr>
  </w:style>
  <w:style w:type="character" w:styleId="FollowedHyperlink">
    <w:name w:val="FollowedHyperlink"/>
    <w:basedOn w:val="DefaultParagraphFont"/>
    <w:uiPriority w:val="99"/>
    <w:semiHidden/>
    <w:unhideWhenUsed/>
    <w:rsid w:val="003572AE"/>
    <w:rPr>
      <w:color w:val="FF00FF" w:themeColor="followedHyperlink"/>
      <w:u w:val="single"/>
    </w:rPr>
  </w:style>
  <w:style w:type="paragraph" w:styleId="Revision">
    <w:name w:val="Revision"/>
    <w:hidden/>
    <w:uiPriority w:val="99"/>
    <w:semiHidden/>
    <w:rsid w:val="00E35A6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customStyle="1" w:styleId="Heading1Char">
    <w:name w:val="Heading 1 Char"/>
    <w:basedOn w:val="DefaultParagraphFont"/>
    <w:link w:val="Heading1"/>
    <w:uiPriority w:val="9"/>
    <w:rsid w:val="008757CA"/>
    <w:rPr>
      <w:rFonts w:asciiTheme="majorHAnsi" w:eastAsiaTheme="majorEastAsia" w:hAnsiTheme="majorHAnsi" w:cstheme="majorBidi"/>
      <w:color w:val="365F91" w:themeColor="accent1" w:themeShade="BF"/>
      <w:sz w:val="32"/>
      <w:szCs w:val="32"/>
      <w:lang w:val="en-US"/>
    </w:rPr>
  </w:style>
  <w:style w:type="character" w:customStyle="1" w:styleId="UnresolvedMention3">
    <w:name w:val="Unresolved Mention3"/>
    <w:basedOn w:val="DefaultParagraphFont"/>
    <w:uiPriority w:val="99"/>
    <w:rsid w:val="00AA12B5"/>
    <w:rPr>
      <w:color w:val="605E5C"/>
      <w:shd w:val="clear" w:color="auto" w:fill="E1DFDD"/>
    </w:rPr>
  </w:style>
  <w:style w:type="character" w:styleId="UnresolvedMention">
    <w:name w:val="Unresolved Mention"/>
    <w:basedOn w:val="DefaultParagraphFont"/>
    <w:uiPriority w:val="99"/>
    <w:rsid w:val="00937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233548">
      <w:bodyDiv w:val="1"/>
      <w:marLeft w:val="0"/>
      <w:marRight w:val="0"/>
      <w:marTop w:val="0"/>
      <w:marBottom w:val="0"/>
      <w:divBdr>
        <w:top w:val="none" w:sz="0" w:space="0" w:color="auto"/>
        <w:left w:val="none" w:sz="0" w:space="0" w:color="auto"/>
        <w:bottom w:val="none" w:sz="0" w:space="0" w:color="auto"/>
        <w:right w:val="none" w:sz="0" w:space="0" w:color="auto"/>
      </w:divBdr>
      <w:divsChild>
        <w:div w:id="2118333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836418">
              <w:marLeft w:val="0"/>
              <w:marRight w:val="0"/>
              <w:marTop w:val="0"/>
              <w:marBottom w:val="0"/>
              <w:divBdr>
                <w:top w:val="none" w:sz="0" w:space="0" w:color="auto"/>
                <w:left w:val="none" w:sz="0" w:space="0" w:color="auto"/>
                <w:bottom w:val="none" w:sz="0" w:space="0" w:color="auto"/>
                <w:right w:val="none" w:sz="0" w:space="0" w:color="auto"/>
              </w:divBdr>
              <w:divsChild>
                <w:div w:id="2058552741">
                  <w:marLeft w:val="0"/>
                  <w:marRight w:val="0"/>
                  <w:marTop w:val="0"/>
                  <w:marBottom w:val="0"/>
                  <w:divBdr>
                    <w:top w:val="none" w:sz="0" w:space="0" w:color="auto"/>
                    <w:left w:val="none" w:sz="0" w:space="0" w:color="auto"/>
                    <w:bottom w:val="none" w:sz="0" w:space="0" w:color="auto"/>
                    <w:right w:val="none" w:sz="0" w:space="0" w:color="auto"/>
                  </w:divBdr>
                  <w:divsChild>
                    <w:div w:id="6312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ewsroom.cannappscorp.com/197973-gcac-announces-health-canada-medical-cannabis-sales-license" TargetMode="External"/><Relationship Id="rId13" Type="http://schemas.openxmlformats.org/officeDocument/2006/relationships/hyperlink" Target="https://www.sedar.com/DisplayProfile.do?lang=EN&amp;issuerType=03&amp;issuerNo=00036309"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s://cannappscorp.com/" TargetMode="External"/><Relationship Id="rId12" Type="http://schemas.openxmlformats.org/officeDocument/2006/relationships/hyperlink" Target="https://cannappscorp.com/"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eedlegal.com/health-canada-issues-reminder-on-cannabis-potency-labeling-after-pure-sunfarms-complaint/" TargetMode="External"/><Relationship Id="rId11" Type="http://schemas.openxmlformats.org/officeDocument/2006/relationships/hyperlink" Target="https://stratcann.com/2021/07/07/more-than-two-years-after-legalization-the-average-price-of-cannabis-in-canada-is-lower-than-ever/" TargetMode="External"/><Relationship Id="rId5" Type="http://schemas.openxmlformats.org/officeDocument/2006/relationships/endnotes" Target="endnotes.xml"/><Relationship Id="rId15" Type="http://schemas.openxmlformats.org/officeDocument/2006/relationships/hyperlink" Target="mailto:info@cannappscorp.com" TargetMode="External"/><Relationship Id="rId23" Type="http://schemas.openxmlformats.org/officeDocument/2006/relationships/theme" Target="theme/theme1.xml"/><Relationship Id="rId10" Type="http://schemas.openxmlformats.org/officeDocument/2006/relationships/hyperlink" Target="https://www.canada.ca/en/health-canada/services/drugs-medication/cannabis/research-data/medical-purpose.html"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newsroom.cannappscorp.com/208719-gcac-helping-cannabis-companies-share-esg" TargetMode="External"/><Relationship Id="rId14" Type="http://schemas.openxmlformats.org/officeDocument/2006/relationships/hyperlink" Target="https://www.thecse.com/en/listings/technology/global-cannabis-applications-corp"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dc:creator>
  <cp:lastModifiedBy>חנן גנבלדורף</cp:lastModifiedBy>
  <cp:revision>91</cp:revision>
  <dcterms:created xsi:type="dcterms:W3CDTF">2022-01-30T04:11:00Z</dcterms:created>
  <dcterms:modified xsi:type="dcterms:W3CDTF">2022-02-01T15:17:00Z</dcterms:modified>
</cp:coreProperties>
</file>