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52166" w14:textId="77777777" w:rsidR="00EC7CDA" w:rsidRDefault="008D140D">
      <w:pPr>
        <w:widowControl w:val="0"/>
        <w:jc w:val="both"/>
        <w:rPr>
          <w:rFonts w:ascii="Arial" w:eastAsia="Arial" w:hAnsi="Arial" w:cs="Arial"/>
          <w:b/>
          <w:color w:val="211E1E"/>
        </w:rPr>
      </w:pPr>
      <w:bookmarkStart w:id="0" w:name="_gjdgxs" w:colFirst="0" w:colLast="0"/>
      <w:bookmarkStart w:id="1" w:name="_GoBack"/>
      <w:bookmarkEnd w:id="0"/>
      <w:bookmarkEnd w:id="1"/>
      <w:r>
        <w:rPr>
          <w:rFonts w:ascii="Arial" w:eastAsia="Arial" w:hAnsi="Arial" w:cs="Arial"/>
          <w:b/>
          <w:color w:val="211E1E"/>
        </w:rPr>
        <w:t>GRAPH BLOCKCHAIN INC.</w:t>
      </w:r>
      <w:r>
        <w:rPr>
          <w:rFonts w:ascii="Arial" w:eastAsia="Arial" w:hAnsi="Arial" w:cs="Arial"/>
          <w:color w:val="211E1E"/>
          <w:sz w:val="22"/>
          <w:szCs w:val="22"/>
        </w:rPr>
        <w:t xml:space="preserve"> </w:t>
      </w:r>
    </w:p>
    <w:p w14:paraId="123EF33D" w14:textId="77777777" w:rsidR="00EC7CDA" w:rsidRDefault="00EC7CDA">
      <w:pPr>
        <w:widowControl w:val="0"/>
        <w:jc w:val="both"/>
        <w:rPr>
          <w:rFonts w:ascii="Arial" w:eastAsia="Arial" w:hAnsi="Arial" w:cs="Arial"/>
          <w:color w:val="211E1E"/>
        </w:rPr>
      </w:pPr>
    </w:p>
    <w:p w14:paraId="140632F2" w14:textId="77777777" w:rsidR="00EC7CDA" w:rsidRDefault="008D140D">
      <w:pPr>
        <w:widowControl w:val="0"/>
        <w:ind w:right="1825"/>
        <w:jc w:val="both"/>
        <w:rPr>
          <w:rFonts w:ascii="Arial" w:eastAsia="Arial" w:hAnsi="Arial" w:cs="Arial"/>
          <w:b/>
          <w:color w:val="211E1E"/>
        </w:rPr>
      </w:pPr>
      <w:r>
        <w:rPr>
          <w:rFonts w:ascii="Arial" w:eastAsia="Arial" w:hAnsi="Arial" w:cs="Arial"/>
          <w:b/>
          <w:color w:val="211E1E"/>
        </w:rPr>
        <w:t xml:space="preserve">For Immediate Release </w:t>
      </w:r>
    </w:p>
    <w:p w14:paraId="4CDD21D7" w14:textId="77777777" w:rsidR="00EC7CDA" w:rsidRDefault="008D140D">
      <w:pPr>
        <w:widowControl w:val="0"/>
        <w:ind w:right="1825"/>
        <w:jc w:val="both"/>
        <w:rPr>
          <w:rFonts w:ascii="Arial" w:eastAsia="Arial" w:hAnsi="Arial" w:cs="Arial"/>
          <w:color w:val="211E1E"/>
        </w:rPr>
      </w:pPr>
      <w:r>
        <w:rPr>
          <w:rFonts w:ascii="Arial" w:eastAsia="Arial" w:hAnsi="Arial" w:cs="Arial"/>
          <w:b/>
          <w:color w:val="211E1E"/>
        </w:rPr>
        <w:t>Canadian Securities Exchange</w:t>
      </w:r>
    </w:p>
    <w:p w14:paraId="5A680A39" w14:textId="77777777" w:rsidR="00EC7CDA" w:rsidRDefault="008D140D">
      <w:pPr>
        <w:widowControl w:val="0"/>
        <w:jc w:val="both"/>
        <w:rPr>
          <w:rFonts w:ascii="Arial" w:eastAsia="Arial" w:hAnsi="Arial" w:cs="Arial"/>
          <w:b/>
          <w:color w:val="211E1E"/>
          <w:sz w:val="22"/>
          <w:szCs w:val="22"/>
        </w:rPr>
      </w:pPr>
      <w:bookmarkStart w:id="2" w:name="_30j0zll" w:colFirst="0" w:colLast="0"/>
      <w:bookmarkEnd w:id="2"/>
      <w:r>
        <w:rPr>
          <w:rFonts w:ascii="Arial" w:eastAsia="Arial" w:hAnsi="Arial" w:cs="Arial"/>
          <w:b/>
          <w:color w:val="211E1E"/>
        </w:rPr>
        <w:t>Symbol “GBLC</w:t>
      </w:r>
      <w:r>
        <w:rPr>
          <w:rFonts w:ascii="Arial" w:eastAsia="Arial" w:hAnsi="Arial" w:cs="Arial"/>
          <w:b/>
          <w:color w:val="211E1E"/>
          <w:sz w:val="22"/>
          <w:szCs w:val="22"/>
        </w:rPr>
        <w:t xml:space="preserve">” </w:t>
      </w:r>
    </w:p>
    <w:p w14:paraId="645D13BB" w14:textId="77777777" w:rsidR="00EC7CDA" w:rsidRDefault="008D140D">
      <w:pPr>
        <w:widowControl w:val="0"/>
        <w:spacing w:after="180"/>
        <w:rPr>
          <w:rFonts w:ascii="Arial" w:eastAsia="Arial" w:hAnsi="Arial" w:cs="Arial"/>
          <w:color w:val="211E1E"/>
          <w:sz w:val="22"/>
          <w:szCs w:val="22"/>
        </w:rPr>
      </w:pPr>
      <w:r>
        <w:rPr>
          <w:rFonts w:ascii="Arial" w:eastAsia="Arial" w:hAnsi="Arial" w:cs="Arial"/>
          <w:noProof/>
          <w:color w:val="211E1E"/>
          <w:sz w:val="22"/>
          <w:szCs w:val="22"/>
          <w:lang w:eastAsia="en-CA"/>
        </w:rPr>
        <w:drawing>
          <wp:inline distT="0" distB="0" distL="0" distR="0" wp14:anchorId="76093F46" wp14:editId="5BCD5A56">
            <wp:extent cx="2267302" cy="9070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67302" cy="907047"/>
                    </a:xfrm>
                    <a:prstGeom prst="rect">
                      <a:avLst/>
                    </a:prstGeom>
                    <a:ln/>
                  </pic:spPr>
                </pic:pic>
              </a:graphicData>
            </a:graphic>
          </wp:inline>
        </w:drawing>
      </w:r>
    </w:p>
    <w:p w14:paraId="61CAE3C5" w14:textId="77777777" w:rsidR="00EC7CDA" w:rsidRDefault="00EC7CDA">
      <w:pPr>
        <w:pStyle w:val="Heading1"/>
        <w:spacing w:before="0" w:after="0"/>
        <w:ind w:right="25"/>
        <w:rPr>
          <w:smallCaps/>
          <w:color w:val="211E1E"/>
          <w:sz w:val="22"/>
          <w:szCs w:val="22"/>
        </w:rPr>
      </w:pPr>
    </w:p>
    <w:p w14:paraId="3F90D98E" w14:textId="77777777" w:rsidR="00EC7CDA" w:rsidRDefault="00EC7CDA">
      <w:pPr>
        <w:jc w:val="center"/>
        <w:rPr>
          <w:rFonts w:ascii="Arial" w:eastAsia="Arial" w:hAnsi="Arial" w:cs="Arial"/>
          <w:b/>
          <w:sz w:val="28"/>
          <w:szCs w:val="28"/>
        </w:rPr>
      </w:pPr>
    </w:p>
    <w:p w14:paraId="1DD60FF7" w14:textId="267F281F" w:rsidR="007B1CC7" w:rsidRDefault="007B1CC7" w:rsidP="007B1CC7">
      <w:pPr>
        <w:tabs>
          <w:tab w:val="center" w:pos="4680"/>
          <w:tab w:val="left" w:pos="6420"/>
        </w:tabs>
        <w:jc w:val="center"/>
        <w:rPr>
          <w:rFonts w:ascii="Arial" w:eastAsia="Arial" w:hAnsi="Arial" w:cs="Arial"/>
          <w:b/>
          <w:sz w:val="28"/>
          <w:szCs w:val="28"/>
        </w:rPr>
      </w:pPr>
      <w:r>
        <w:rPr>
          <w:rFonts w:ascii="Arial" w:eastAsia="Arial" w:hAnsi="Arial" w:cs="Arial"/>
          <w:b/>
          <w:sz w:val="28"/>
          <w:szCs w:val="28"/>
        </w:rPr>
        <w:t xml:space="preserve">GRAPH BLOCKCHAIN </w:t>
      </w:r>
      <w:r w:rsidR="004B4E76">
        <w:rPr>
          <w:rFonts w:ascii="Arial" w:eastAsia="Arial" w:hAnsi="Arial" w:cs="Arial"/>
          <w:b/>
          <w:sz w:val="28"/>
          <w:szCs w:val="28"/>
        </w:rPr>
        <w:t xml:space="preserve">CLOSES FIRST TRANCHE OF </w:t>
      </w:r>
      <w:r w:rsidR="005C1591">
        <w:rPr>
          <w:rFonts w:ascii="Arial" w:eastAsia="Arial" w:hAnsi="Arial" w:cs="Arial"/>
          <w:b/>
          <w:sz w:val="28"/>
          <w:szCs w:val="28"/>
        </w:rPr>
        <w:t>FINANCING</w:t>
      </w:r>
    </w:p>
    <w:p w14:paraId="7732EB00" w14:textId="334BAD15" w:rsidR="00421681" w:rsidRPr="00421681" w:rsidRDefault="00421681" w:rsidP="00421681">
      <w:pPr>
        <w:pStyle w:val="ListParagraph"/>
        <w:numPr>
          <w:ilvl w:val="0"/>
          <w:numId w:val="3"/>
        </w:numPr>
        <w:tabs>
          <w:tab w:val="center" w:pos="4680"/>
          <w:tab w:val="left" w:pos="6420"/>
        </w:tabs>
        <w:jc w:val="center"/>
        <w:rPr>
          <w:rFonts w:ascii="Arial" w:eastAsia="Arial" w:hAnsi="Arial" w:cs="Arial"/>
          <w:sz w:val="20"/>
          <w:szCs w:val="20"/>
        </w:rPr>
      </w:pPr>
      <w:r w:rsidRPr="00421681">
        <w:rPr>
          <w:rFonts w:ascii="Arial" w:eastAsia="Arial" w:hAnsi="Arial" w:cs="Arial"/>
          <w:sz w:val="20"/>
          <w:szCs w:val="20"/>
        </w:rPr>
        <w:t>Graph Blockchain Inc.,</w:t>
      </w:r>
      <w:r>
        <w:rPr>
          <w:rFonts w:ascii="Arial" w:eastAsia="Arial" w:hAnsi="Arial" w:cs="Arial"/>
          <w:sz w:val="20"/>
          <w:szCs w:val="20"/>
        </w:rPr>
        <w:t xml:space="preserve"> </w:t>
      </w:r>
      <w:r w:rsidRPr="00421681">
        <w:rPr>
          <w:rFonts w:ascii="Arial" w:eastAsia="Arial" w:hAnsi="Arial" w:cs="Arial"/>
          <w:sz w:val="20"/>
          <w:szCs w:val="20"/>
        </w:rPr>
        <w:t>has closed first tranche of a non-brokered private placement</w:t>
      </w:r>
    </w:p>
    <w:p w14:paraId="21F5F62A" w14:textId="0DD4A135" w:rsidR="00421681" w:rsidRPr="00421681" w:rsidRDefault="00421681" w:rsidP="00421681">
      <w:pPr>
        <w:pStyle w:val="ListParagraph"/>
        <w:numPr>
          <w:ilvl w:val="0"/>
          <w:numId w:val="3"/>
        </w:numPr>
        <w:tabs>
          <w:tab w:val="center" w:pos="4680"/>
          <w:tab w:val="left" w:pos="6420"/>
        </w:tabs>
        <w:jc w:val="center"/>
        <w:rPr>
          <w:rFonts w:ascii="Arial" w:eastAsia="Arial" w:hAnsi="Arial" w:cs="Arial"/>
          <w:sz w:val="20"/>
          <w:szCs w:val="20"/>
        </w:rPr>
      </w:pPr>
      <w:r w:rsidRPr="00421681">
        <w:rPr>
          <w:rFonts w:ascii="Arial" w:eastAsia="Arial" w:hAnsi="Arial" w:cs="Arial"/>
          <w:sz w:val="20"/>
          <w:szCs w:val="20"/>
        </w:rPr>
        <w:t>A total of 5,000,000 units were issued at a price of $0.03 per unit for gross proceeds of $150,000</w:t>
      </w:r>
    </w:p>
    <w:p w14:paraId="43AB0ED1" w14:textId="0CA1C938" w:rsidR="005C1591" w:rsidRPr="006F7D93" w:rsidRDefault="008D140D" w:rsidP="005C1591">
      <w:pPr>
        <w:pStyle w:val="NormalWeb"/>
        <w:shd w:val="clear" w:color="auto" w:fill="FFFFFF"/>
        <w:rPr>
          <w:rFonts w:ascii="Arial" w:eastAsia="Arial" w:hAnsi="Arial" w:cs="Arial"/>
          <w:sz w:val="20"/>
          <w:szCs w:val="20"/>
        </w:rPr>
      </w:pPr>
      <w:r w:rsidRPr="006F7D93">
        <w:rPr>
          <w:rFonts w:ascii="Arial" w:eastAsia="Arial" w:hAnsi="Arial" w:cs="Arial"/>
          <w:b/>
          <w:sz w:val="20"/>
          <w:szCs w:val="20"/>
        </w:rPr>
        <w:t xml:space="preserve">TORONTO, ONTARIO – </w:t>
      </w:r>
      <w:r w:rsidR="00B15562" w:rsidRPr="006F7D93">
        <w:rPr>
          <w:rFonts w:ascii="Arial" w:eastAsia="Arial" w:hAnsi="Arial" w:cs="Arial"/>
          <w:b/>
          <w:sz w:val="20"/>
          <w:szCs w:val="20"/>
        </w:rPr>
        <w:t xml:space="preserve"> </w:t>
      </w:r>
      <w:r w:rsidR="004B4E76" w:rsidRPr="006F7D93">
        <w:rPr>
          <w:rFonts w:ascii="Arial" w:eastAsia="Arial" w:hAnsi="Arial" w:cs="Arial"/>
          <w:b/>
          <w:sz w:val="20"/>
          <w:szCs w:val="20"/>
        </w:rPr>
        <w:t>March</w:t>
      </w:r>
      <w:r w:rsidR="005C1591" w:rsidRPr="006F7D93">
        <w:rPr>
          <w:rFonts w:ascii="Arial" w:eastAsia="Arial" w:hAnsi="Arial" w:cs="Arial"/>
          <w:b/>
          <w:sz w:val="20"/>
          <w:szCs w:val="20"/>
        </w:rPr>
        <w:t xml:space="preserve"> </w:t>
      </w:r>
      <w:r w:rsidR="006F7D93" w:rsidRPr="006F7D93">
        <w:rPr>
          <w:rFonts w:ascii="Arial" w:eastAsia="Arial" w:hAnsi="Arial" w:cs="Arial"/>
          <w:b/>
          <w:sz w:val="20"/>
          <w:szCs w:val="20"/>
        </w:rPr>
        <w:t>11</w:t>
      </w:r>
      <w:r w:rsidRPr="006F7D93">
        <w:rPr>
          <w:rFonts w:ascii="Arial" w:eastAsia="Arial" w:hAnsi="Arial" w:cs="Arial"/>
          <w:b/>
          <w:sz w:val="20"/>
          <w:szCs w:val="20"/>
        </w:rPr>
        <w:t>, 20</w:t>
      </w:r>
      <w:r w:rsidR="004B4E76" w:rsidRPr="006F7D93">
        <w:rPr>
          <w:rFonts w:ascii="Arial" w:eastAsia="Arial" w:hAnsi="Arial" w:cs="Arial"/>
          <w:b/>
          <w:sz w:val="20"/>
          <w:szCs w:val="20"/>
        </w:rPr>
        <w:t>20</w:t>
      </w:r>
      <w:r w:rsidRPr="006F7D93">
        <w:rPr>
          <w:rFonts w:ascii="Arial" w:eastAsia="Arial" w:hAnsi="Arial" w:cs="Arial"/>
          <w:b/>
          <w:sz w:val="20"/>
          <w:szCs w:val="20"/>
        </w:rPr>
        <w:t xml:space="preserve"> – </w:t>
      </w:r>
      <w:r w:rsidRPr="006F7D93">
        <w:rPr>
          <w:rFonts w:ascii="Arial" w:eastAsia="Arial" w:hAnsi="Arial" w:cs="Arial"/>
          <w:sz w:val="20"/>
          <w:szCs w:val="20"/>
        </w:rPr>
        <w:t>Graph Blockchain Inc. ("</w:t>
      </w:r>
      <w:r w:rsidRPr="006F7D93">
        <w:rPr>
          <w:rFonts w:ascii="Arial" w:eastAsia="Arial" w:hAnsi="Arial" w:cs="Arial"/>
          <w:b/>
          <w:sz w:val="20"/>
          <w:szCs w:val="20"/>
        </w:rPr>
        <w:t>Graph</w:t>
      </w:r>
      <w:r w:rsidRPr="006F7D93">
        <w:rPr>
          <w:rFonts w:ascii="Arial" w:eastAsia="Arial" w:hAnsi="Arial" w:cs="Arial"/>
          <w:sz w:val="20"/>
          <w:szCs w:val="20"/>
        </w:rPr>
        <w:t>" or "</w:t>
      </w:r>
      <w:r w:rsidRPr="006F7D93">
        <w:rPr>
          <w:rFonts w:ascii="Arial" w:eastAsia="Arial" w:hAnsi="Arial" w:cs="Arial"/>
          <w:b/>
          <w:sz w:val="20"/>
          <w:szCs w:val="20"/>
        </w:rPr>
        <w:t>Company</w:t>
      </w:r>
      <w:r w:rsidRPr="006F7D93">
        <w:rPr>
          <w:rFonts w:ascii="Arial" w:eastAsia="Arial" w:hAnsi="Arial" w:cs="Arial"/>
          <w:sz w:val="20"/>
          <w:szCs w:val="20"/>
        </w:rPr>
        <w:t>") (</w:t>
      </w:r>
      <w:r w:rsidRPr="006F7D93">
        <w:rPr>
          <w:rFonts w:ascii="Arial" w:eastAsia="Arial" w:hAnsi="Arial" w:cs="Arial"/>
          <w:b/>
          <w:sz w:val="20"/>
          <w:szCs w:val="20"/>
        </w:rPr>
        <w:t>CSE: GBLC)</w:t>
      </w:r>
      <w:r w:rsidR="00DB17D7" w:rsidRPr="006F7D93">
        <w:rPr>
          <w:rFonts w:ascii="Arial" w:eastAsia="Arial" w:hAnsi="Arial" w:cs="Arial"/>
          <w:sz w:val="20"/>
          <w:szCs w:val="20"/>
        </w:rPr>
        <w:t xml:space="preserve"> </w:t>
      </w:r>
      <w:r w:rsidR="005C1591" w:rsidRPr="006F7D93">
        <w:rPr>
          <w:rFonts w:ascii="Arial" w:eastAsia="Arial" w:hAnsi="Arial" w:cs="Arial"/>
          <w:sz w:val="20"/>
          <w:szCs w:val="20"/>
        </w:rPr>
        <w:t xml:space="preserve">is pleased to announce </w:t>
      </w:r>
      <w:r w:rsidR="00421681" w:rsidRPr="006F7D93">
        <w:rPr>
          <w:rFonts w:ascii="Arial" w:eastAsia="Arial" w:hAnsi="Arial" w:cs="Arial"/>
          <w:sz w:val="20"/>
          <w:szCs w:val="20"/>
        </w:rPr>
        <w:t>the closing of a non-brokered private placement financing (the “Financing”)</w:t>
      </w:r>
      <w:r w:rsidR="004B4E76" w:rsidRPr="006F7D93">
        <w:rPr>
          <w:rFonts w:ascii="Arial" w:eastAsia="Arial" w:hAnsi="Arial" w:cs="Arial"/>
          <w:sz w:val="20"/>
          <w:szCs w:val="20"/>
        </w:rPr>
        <w:t xml:space="preserve"> on a first tranche</w:t>
      </w:r>
      <w:r w:rsidR="00421681" w:rsidRPr="006F7D93">
        <w:rPr>
          <w:rFonts w:ascii="Arial" w:eastAsia="Arial" w:hAnsi="Arial" w:cs="Arial"/>
          <w:sz w:val="20"/>
          <w:szCs w:val="20"/>
        </w:rPr>
        <w:t xml:space="preserve"> close</w:t>
      </w:r>
      <w:r w:rsidR="004B4E76" w:rsidRPr="006F7D93">
        <w:rPr>
          <w:rFonts w:ascii="Arial" w:eastAsia="Arial" w:hAnsi="Arial" w:cs="Arial"/>
          <w:sz w:val="20"/>
          <w:szCs w:val="20"/>
        </w:rPr>
        <w:t xml:space="preserve"> of the previously announced financing</w:t>
      </w:r>
      <w:r w:rsidR="00B262F4" w:rsidRPr="006F7D93">
        <w:rPr>
          <w:rFonts w:ascii="Arial" w:eastAsia="Arial" w:hAnsi="Arial" w:cs="Arial"/>
          <w:sz w:val="20"/>
          <w:szCs w:val="20"/>
        </w:rPr>
        <w:t xml:space="preserve"> </w:t>
      </w:r>
      <w:hyperlink r:id="rId9" w:history="1">
        <w:r w:rsidR="00B262F4" w:rsidRPr="006F7D93">
          <w:rPr>
            <w:rStyle w:val="Hyperlink"/>
            <w:rFonts w:ascii="Arial" w:eastAsia="Arial" w:hAnsi="Arial" w:cs="Arial"/>
            <w:sz w:val="20"/>
            <w:szCs w:val="20"/>
          </w:rPr>
          <w:t>(2020-02-19)</w:t>
        </w:r>
      </w:hyperlink>
      <w:r w:rsidR="004B4E76" w:rsidRPr="006F7D93">
        <w:rPr>
          <w:rFonts w:ascii="Arial" w:eastAsia="Arial" w:hAnsi="Arial" w:cs="Arial"/>
          <w:sz w:val="20"/>
          <w:szCs w:val="20"/>
        </w:rPr>
        <w:t xml:space="preserve"> </w:t>
      </w:r>
      <w:r w:rsidR="005C1591" w:rsidRPr="006F7D93">
        <w:rPr>
          <w:rFonts w:ascii="Arial" w:eastAsia="Arial" w:hAnsi="Arial" w:cs="Arial"/>
          <w:sz w:val="20"/>
          <w:szCs w:val="20"/>
        </w:rPr>
        <w:t xml:space="preserve">to raise up to $500,000 CAD in units consisting of a $0.03 common share and a half warrant at $0.06 for 24 months. </w:t>
      </w:r>
      <w:r w:rsidR="00430B8C" w:rsidRPr="006F7D93">
        <w:rPr>
          <w:rFonts w:ascii="Arial" w:eastAsia="Arial" w:hAnsi="Arial" w:cs="Arial"/>
          <w:sz w:val="20"/>
          <w:szCs w:val="20"/>
        </w:rPr>
        <w:t xml:space="preserve">The financing allows the company to commence in creating it’s blockchain supported e-Commerce </w:t>
      </w:r>
      <w:r w:rsidR="006F7D93" w:rsidRPr="006F7D93">
        <w:rPr>
          <w:rFonts w:ascii="Arial" w:eastAsia="Arial" w:hAnsi="Arial" w:cs="Arial"/>
          <w:sz w:val="20"/>
          <w:szCs w:val="20"/>
        </w:rPr>
        <w:t>marketplace</w:t>
      </w:r>
      <w:r w:rsidR="00430B8C" w:rsidRPr="006F7D93">
        <w:rPr>
          <w:rFonts w:ascii="Arial" w:eastAsia="Arial" w:hAnsi="Arial" w:cs="Arial"/>
          <w:sz w:val="20"/>
          <w:szCs w:val="20"/>
        </w:rPr>
        <w:t xml:space="preserve"> for the booming psychedelic and ancillary sector, while providing some working capital. </w:t>
      </w:r>
      <w:r w:rsidR="004B4E76" w:rsidRPr="006F7D93">
        <w:rPr>
          <w:rFonts w:ascii="Arial" w:eastAsia="Arial" w:hAnsi="Arial" w:cs="Arial"/>
          <w:sz w:val="20"/>
          <w:szCs w:val="20"/>
        </w:rPr>
        <w:t xml:space="preserve">The Company will </w:t>
      </w:r>
      <w:r w:rsidR="00A429D2" w:rsidRPr="006F7D93">
        <w:rPr>
          <w:rFonts w:ascii="Arial" w:eastAsia="Arial" w:hAnsi="Arial" w:cs="Arial"/>
          <w:sz w:val="20"/>
          <w:szCs w:val="20"/>
        </w:rPr>
        <w:t>close the balance of the financing</w:t>
      </w:r>
      <w:r w:rsidR="00430B8C" w:rsidRPr="006F7D93">
        <w:rPr>
          <w:rFonts w:ascii="Arial" w:eastAsia="Arial" w:hAnsi="Arial" w:cs="Arial"/>
          <w:sz w:val="20"/>
          <w:szCs w:val="20"/>
        </w:rPr>
        <w:t xml:space="preserve"> on or </w:t>
      </w:r>
      <w:r w:rsidR="006F7D93" w:rsidRPr="006F7D93">
        <w:rPr>
          <w:rFonts w:ascii="Arial" w:eastAsia="Arial" w:hAnsi="Arial" w:cs="Arial"/>
          <w:sz w:val="20"/>
          <w:szCs w:val="20"/>
        </w:rPr>
        <w:t xml:space="preserve">about </w:t>
      </w:r>
      <w:r w:rsidR="00430B8C" w:rsidRPr="006F7D93">
        <w:rPr>
          <w:rFonts w:ascii="Arial" w:eastAsia="Arial" w:hAnsi="Arial" w:cs="Arial"/>
          <w:sz w:val="20"/>
          <w:szCs w:val="20"/>
        </w:rPr>
        <w:t>March 31</w:t>
      </w:r>
      <w:r w:rsidR="00430B8C" w:rsidRPr="006F7D93">
        <w:rPr>
          <w:rFonts w:ascii="Arial" w:eastAsia="Arial" w:hAnsi="Arial" w:cs="Arial"/>
          <w:sz w:val="20"/>
          <w:szCs w:val="20"/>
          <w:vertAlign w:val="superscript"/>
        </w:rPr>
        <w:t>st</w:t>
      </w:r>
      <w:r w:rsidR="00430B8C" w:rsidRPr="006F7D93">
        <w:rPr>
          <w:rFonts w:ascii="Arial" w:eastAsia="Arial" w:hAnsi="Arial" w:cs="Arial"/>
          <w:sz w:val="20"/>
          <w:szCs w:val="20"/>
        </w:rPr>
        <w:t>, 2020.</w:t>
      </w:r>
    </w:p>
    <w:p w14:paraId="62B64EA1" w14:textId="5CDE4293" w:rsidR="00416115" w:rsidRPr="006F7D93" w:rsidRDefault="00416115" w:rsidP="00430B8C">
      <w:pPr>
        <w:pStyle w:val="NormalWeb"/>
        <w:shd w:val="clear" w:color="auto" w:fill="FFFFFF"/>
        <w:rPr>
          <w:rFonts w:ascii="Arial" w:eastAsia="Arial" w:hAnsi="Arial" w:cs="Arial"/>
          <w:sz w:val="20"/>
          <w:szCs w:val="20"/>
        </w:rPr>
      </w:pPr>
      <w:r w:rsidRPr="006F7D93">
        <w:rPr>
          <w:rFonts w:ascii="Arial" w:eastAsia="Arial" w:hAnsi="Arial" w:cs="Arial"/>
          <w:sz w:val="20"/>
          <w:szCs w:val="20"/>
        </w:rPr>
        <w:t xml:space="preserve"> “While the Company and others face global financial uncertainty, we contin</w:t>
      </w:r>
      <w:r w:rsidR="006F7D93" w:rsidRPr="006F7D93">
        <w:rPr>
          <w:rFonts w:ascii="Arial" w:eastAsia="Arial" w:hAnsi="Arial" w:cs="Arial"/>
          <w:sz w:val="20"/>
          <w:szCs w:val="20"/>
        </w:rPr>
        <w:t>ue</w:t>
      </w:r>
      <w:r w:rsidRPr="006F7D93">
        <w:rPr>
          <w:rFonts w:ascii="Arial" w:eastAsia="Arial" w:hAnsi="Arial" w:cs="Arial"/>
          <w:sz w:val="20"/>
          <w:szCs w:val="20"/>
        </w:rPr>
        <w:t xml:space="preserve"> to focu</w:t>
      </w:r>
      <w:r w:rsidR="006F7D93" w:rsidRPr="006F7D93">
        <w:rPr>
          <w:rFonts w:ascii="Arial" w:eastAsia="Arial" w:hAnsi="Arial" w:cs="Arial"/>
          <w:sz w:val="20"/>
          <w:szCs w:val="20"/>
        </w:rPr>
        <w:t>s</w:t>
      </w:r>
      <w:r w:rsidRPr="006F7D93">
        <w:rPr>
          <w:rFonts w:ascii="Arial" w:eastAsia="Arial" w:hAnsi="Arial" w:cs="Arial"/>
          <w:sz w:val="20"/>
          <w:szCs w:val="20"/>
        </w:rPr>
        <w:t xml:space="preserve"> on the company’s pivot into the psychedelic sector </w:t>
      </w:r>
      <w:r w:rsidR="00FE12E0" w:rsidRPr="006F7D93">
        <w:rPr>
          <w:rFonts w:ascii="Arial" w:eastAsia="Arial" w:hAnsi="Arial" w:cs="Arial"/>
          <w:sz w:val="20"/>
          <w:szCs w:val="20"/>
        </w:rPr>
        <w:t xml:space="preserve">while building out </w:t>
      </w:r>
      <w:r w:rsidRPr="006F7D93">
        <w:rPr>
          <w:rFonts w:ascii="Arial" w:eastAsia="Arial" w:hAnsi="Arial" w:cs="Arial"/>
          <w:sz w:val="20"/>
          <w:szCs w:val="20"/>
        </w:rPr>
        <w:t xml:space="preserve">our </w:t>
      </w:r>
      <w:r w:rsidR="00FE12E0" w:rsidRPr="006F7D93">
        <w:rPr>
          <w:rFonts w:ascii="Arial" w:eastAsia="Arial" w:hAnsi="Arial" w:cs="Arial"/>
          <w:sz w:val="20"/>
          <w:szCs w:val="20"/>
        </w:rPr>
        <w:t xml:space="preserve">blockchain </w:t>
      </w:r>
      <w:r w:rsidRPr="006F7D93">
        <w:rPr>
          <w:rFonts w:ascii="Arial" w:eastAsia="Arial" w:hAnsi="Arial" w:cs="Arial"/>
          <w:sz w:val="20"/>
          <w:szCs w:val="20"/>
        </w:rPr>
        <w:t>e</w:t>
      </w:r>
      <w:r w:rsidR="00FE12E0" w:rsidRPr="006F7D93">
        <w:rPr>
          <w:rFonts w:ascii="Arial" w:eastAsia="Arial" w:hAnsi="Arial" w:cs="Arial"/>
          <w:sz w:val="20"/>
          <w:szCs w:val="20"/>
        </w:rPr>
        <w:t xml:space="preserve"> c</w:t>
      </w:r>
      <w:r w:rsidRPr="006F7D93">
        <w:rPr>
          <w:rFonts w:ascii="Arial" w:eastAsia="Arial" w:hAnsi="Arial" w:cs="Arial"/>
          <w:sz w:val="20"/>
          <w:szCs w:val="20"/>
        </w:rPr>
        <w:t xml:space="preserve">ommerce </w:t>
      </w:r>
      <w:r w:rsidR="006F7D93" w:rsidRPr="006F7D93">
        <w:rPr>
          <w:rFonts w:ascii="Arial" w:eastAsia="Arial" w:hAnsi="Arial" w:cs="Arial"/>
          <w:sz w:val="20"/>
          <w:szCs w:val="20"/>
        </w:rPr>
        <w:t>marketplace</w:t>
      </w:r>
      <w:r w:rsidR="00FE12E0" w:rsidRPr="006F7D93">
        <w:rPr>
          <w:rFonts w:ascii="Arial" w:eastAsia="Arial" w:hAnsi="Arial" w:cs="Arial"/>
          <w:sz w:val="20"/>
          <w:szCs w:val="20"/>
        </w:rPr>
        <w:t xml:space="preserve">. Closing on the first tranche of our financing is a strong indication and demonstration of support the market </w:t>
      </w:r>
      <w:r w:rsidR="006F7D93" w:rsidRPr="006F7D93">
        <w:rPr>
          <w:rFonts w:ascii="Arial" w:eastAsia="Arial" w:hAnsi="Arial" w:cs="Arial"/>
          <w:sz w:val="20"/>
          <w:szCs w:val="20"/>
        </w:rPr>
        <w:t xml:space="preserve">has and </w:t>
      </w:r>
      <w:r w:rsidR="00FE12E0" w:rsidRPr="006F7D93">
        <w:rPr>
          <w:rFonts w:ascii="Arial" w:eastAsia="Arial" w:hAnsi="Arial" w:cs="Arial"/>
          <w:sz w:val="20"/>
          <w:szCs w:val="20"/>
        </w:rPr>
        <w:t>understands</w:t>
      </w:r>
      <w:r w:rsidR="006F7D93" w:rsidRPr="006F7D93">
        <w:rPr>
          <w:rFonts w:ascii="Arial" w:eastAsia="Arial" w:hAnsi="Arial" w:cs="Arial"/>
          <w:sz w:val="20"/>
          <w:szCs w:val="20"/>
        </w:rPr>
        <w:t>/</w:t>
      </w:r>
      <w:r w:rsidR="00FE12E0" w:rsidRPr="006F7D93">
        <w:rPr>
          <w:rFonts w:ascii="Arial" w:eastAsia="Arial" w:hAnsi="Arial" w:cs="Arial"/>
          <w:sz w:val="20"/>
          <w:szCs w:val="20"/>
        </w:rPr>
        <w:t xml:space="preserve">believes in the company as we embark on our new </w:t>
      </w:r>
      <w:r w:rsidR="006F7D93" w:rsidRPr="006F7D93">
        <w:rPr>
          <w:rFonts w:ascii="Arial" w:eastAsia="Arial" w:hAnsi="Arial" w:cs="Arial"/>
          <w:sz w:val="20"/>
          <w:szCs w:val="20"/>
        </w:rPr>
        <w:t>strategy</w:t>
      </w:r>
      <w:r w:rsidR="00FE12E0" w:rsidRPr="006F7D93">
        <w:rPr>
          <w:rFonts w:ascii="Arial" w:eastAsia="Arial" w:hAnsi="Arial" w:cs="Arial"/>
          <w:sz w:val="20"/>
          <w:szCs w:val="20"/>
        </w:rPr>
        <w:t>” says Govind</w:t>
      </w:r>
      <w:r w:rsidR="00C14DDC">
        <w:rPr>
          <w:rFonts w:ascii="Arial" w:eastAsia="Arial" w:hAnsi="Arial" w:cs="Arial"/>
          <w:sz w:val="20"/>
          <w:szCs w:val="20"/>
        </w:rPr>
        <w:t>a</w:t>
      </w:r>
      <w:r w:rsidR="00FE12E0" w:rsidRPr="006F7D93">
        <w:rPr>
          <w:rFonts w:ascii="Arial" w:eastAsia="Arial" w:hAnsi="Arial" w:cs="Arial"/>
          <w:sz w:val="20"/>
          <w:szCs w:val="20"/>
        </w:rPr>
        <w:t xml:space="preserve"> Butcher, chief executive office of Graph Blockchain Inc.</w:t>
      </w:r>
    </w:p>
    <w:p w14:paraId="47FC858C" w14:textId="4FBB6248" w:rsidR="00430B8C" w:rsidRPr="006F7D93" w:rsidRDefault="00430B8C" w:rsidP="00430B8C">
      <w:pPr>
        <w:pStyle w:val="NormalWeb"/>
        <w:shd w:val="clear" w:color="auto" w:fill="FFFFFF"/>
        <w:rPr>
          <w:rFonts w:ascii="Arial" w:eastAsia="Arial" w:hAnsi="Arial" w:cs="Arial"/>
          <w:sz w:val="20"/>
          <w:szCs w:val="20"/>
        </w:rPr>
      </w:pPr>
      <w:r w:rsidRPr="006F7D93">
        <w:rPr>
          <w:rFonts w:ascii="Arial" w:eastAsia="Arial" w:hAnsi="Arial" w:cs="Arial"/>
          <w:sz w:val="20"/>
          <w:szCs w:val="20"/>
        </w:rPr>
        <w:t xml:space="preserve">A total of </w:t>
      </w:r>
      <w:r w:rsidR="0077684A" w:rsidRPr="006F7D93">
        <w:rPr>
          <w:rFonts w:ascii="Arial" w:eastAsia="Arial" w:hAnsi="Arial" w:cs="Arial"/>
          <w:sz w:val="20"/>
          <w:szCs w:val="20"/>
        </w:rPr>
        <w:t>5,000,000</w:t>
      </w:r>
      <w:r w:rsidRPr="006F7D93">
        <w:rPr>
          <w:rFonts w:ascii="Arial" w:eastAsia="Arial" w:hAnsi="Arial" w:cs="Arial"/>
          <w:sz w:val="20"/>
          <w:szCs w:val="20"/>
        </w:rPr>
        <w:t xml:space="preserve"> units (the "Units") were issued under the Financing at $0.</w:t>
      </w:r>
      <w:r w:rsidR="0077684A" w:rsidRPr="006F7D93">
        <w:rPr>
          <w:rFonts w:ascii="Arial" w:eastAsia="Arial" w:hAnsi="Arial" w:cs="Arial"/>
          <w:sz w:val="20"/>
          <w:szCs w:val="20"/>
        </w:rPr>
        <w:t>03</w:t>
      </w:r>
      <w:r w:rsidRPr="006F7D93">
        <w:rPr>
          <w:rFonts w:ascii="Arial" w:eastAsia="Arial" w:hAnsi="Arial" w:cs="Arial"/>
          <w:sz w:val="20"/>
          <w:szCs w:val="20"/>
        </w:rPr>
        <w:t xml:space="preserve"> per unit for gross proceeds of $</w:t>
      </w:r>
      <w:r w:rsidR="0077684A" w:rsidRPr="006F7D93">
        <w:rPr>
          <w:rFonts w:ascii="Arial" w:eastAsia="Arial" w:hAnsi="Arial" w:cs="Arial"/>
          <w:sz w:val="20"/>
          <w:szCs w:val="20"/>
        </w:rPr>
        <w:t>150</w:t>
      </w:r>
      <w:r w:rsidRPr="006F7D93">
        <w:rPr>
          <w:rFonts w:ascii="Arial" w:eastAsia="Arial" w:hAnsi="Arial" w:cs="Arial"/>
          <w:sz w:val="20"/>
          <w:szCs w:val="20"/>
        </w:rPr>
        <w:t>,000. Each Unit</w:t>
      </w:r>
      <w:r w:rsidR="0077684A" w:rsidRPr="006F7D93">
        <w:rPr>
          <w:rFonts w:ascii="Arial" w:eastAsia="Arial" w:hAnsi="Arial" w:cs="Arial"/>
          <w:sz w:val="20"/>
          <w:szCs w:val="20"/>
        </w:rPr>
        <w:t xml:space="preserve"> </w:t>
      </w:r>
      <w:r w:rsidRPr="006F7D93">
        <w:rPr>
          <w:rFonts w:ascii="Arial" w:eastAsia="Arial" w:hAnsi="Arial" w:cs="Arial"/>
          <w:sz w:val="20"/>
          <w:szCs w:val="20"/>
        </w:rPr>
        <w:t xml:space="preserve">consists of one common share (each, a "Share") and one common </w:t>
      </w:r>
      <w:r w:rsidR="00882ED7" w:rsidRPr="006F7D93">
        <w:rPr>
          <w:rFonts w:ascii="Arial" w:eastAsia="Arial" w:hAnsi="Arial" w:cs="Arial"/>
          <w:sz w:val="20"/>
          <w:szCs w:val="20"/>
        </w:rPr>
        <w:t xml:space="preserve">half </w:t>
      </w:r>
      <w:r w:rsidRPr="006F7D93">
        <w:rPr>
          <w:rFonts w:ascii="Arial" w:eastAsia="Arial" w:hAnsi="Arial" w:cs="Arial"/>
          <w:sz w:val="20"/>
          <w:szCs w:val="20"/>
        </w:rPr>
        <w:t>share purchase warrant (each, a "Warrant"), with each Warrant</w:t>
      </w:r>
      <w:r w:rsidR="0077684A" w:rsidRPr="006F7D93">
        <w:rPr>
          <w:rFonts w:ascii="Arial" w:eastAsia="Arial" w:hAnsi="Arial" w:cs="Arial"/>
          <w:sz w:val="20"/>
          <w:szCs w:val="20"/>
        </w:rPr>
        <w:t xml:space="preserve"> </w:t>
      </w:r>
      <w:r w:rsidRPr="006F7D93">
        <w:rPr>
          <w:rFonts w:ascii="Arial" w:eastAsia="Arial" w:hAnsi="Arial" w:cs="Arial"/>
          <w:sz w:val="20"/>
          <w:szCs w:val="20"/>
        </w:rPr>
        <w:t>entitling the holder to acquire one additional Share at a price of $0.</w:t>
      </w:r>
      <w:r w:rsidR="0077684A" w:rsidRPr="006F7D93">
        <w:rPr>
          <w:rFonts w:ascii="Arial" w:eastAsia="Arial" w:hAnsi="Arial" w:cs="Arial"/>
          <w:sz w:val="20"/>
          <w:szCs w:val="20"/>
        </w:rPr>
        <w:t>06</w:t>
      </w:r>
      <w:r w:rsidRPr="006F7D93">
        <w:rPr>
          <w:rFonts w:ascii="Arial" w:eastAsia="Arial" w:hAnsi="Arial" w:cs="Arial"/>
          <w:sz w:val="20"/>
          <w:szCs w:val="20"/>
        </w:rPr>
        <w:t xml:space="preserve"> per Share for a period of </w:t>
      </w:r>
      <w:r w:rsidR="0077684A" w:rsidRPr="006F7D93">
        <w:rPr>
          <w:rFonts w:ascii="Arial" w:eastAsia="Arial" w:hAnsi="Arial" w:cs="Arial"/>
          <w:sz w:val="20"/>
          <w:szCs w:val="20"/>
        </w:rPr>
        <w:t>24</w:t>
      </w:r>
      <w:r w:rsidRPr="006F7D93">
        <w:rPr>
          <w:rFonts w:ascii="Arial" w:eastAsia="Arial" w:hAnsi="Arial" w:cs="Arial"/>
          <w:sz w:val="20"/>
          <w:szCs w:val="20"/>
        </w:rPr>
        <w:t xml:space="preserve"> months, expiring on </w:t>
      </w:r>
      <w:r w:rsidR="00882ED7" w:rsidRPr="006F7D93">
        <w:rPr>
          <w:rFonts w:ascii="Arial" w:eastAsia="Arial" w:hAnsi="Arial" w:cs="Arial"/>
          <w:sz w:val="20"/>
          <w:szCs w:val="20"/>
        </w:rPr>
        <w:t>March 11</w:t>
      </w:r>
      <w:r w:rsidRPr="006F7D93">
        <w:rPr>
          <w:rFonts w:ascii="Arial" w:eastAsia="Arial" w:hAnsi="Arial" w:cs="Arial"/>
          <w:sz w:val="20"/>
          <w:szCs w:val="20"/>
        </w:rPr>
        <w:t>, 202</w:t>
      </w:r>
      <w:r w:rsidR="00882ED7" w:rsidRPr="006F7D93">
        <w:rPr>
          <w:rFonts w:ascii="Arial" w:eastAsia="Arial" w:hAnsi="Arial" w:cs="Arial"/>
          <w:sz w:val="20"/>
          <w:szCs w:val="20"/>
        </w:rPr>
        <w:t>2</w:t>
      </w:r>
      <w:r w:rsidRPr="006F7D93">
        <w:rPr>
          <w:rFonts w:ascii="Arial" w:eastAsia="Arial" w:hAnsi="Arial" w:cs="Arial"/>
          <w:sz w:val="20"/>
          <w:szCs w:val="20"/>
        </w:rPr>
        <w:t>. The Units issued by the Company pursuant to the Financing will have a</w:t>
      </w:r>
      <w:r w:rsidR="00882ED7" w:rsidRPr="006F7D93">
        <w:rPr>
          <w:rFonts w:ascii="Arial" w:eastAsia="Arial" w:hAnsi="Arial" w:cs="Arial"/>
          <w:sz w:val="20"/>
          <w:szCs w:val="20"/>
        </w:rPr>
        <w:t xml:space="preserve"> (4) </w:t>
      </w:r>
      <w:r w:rsidRPr="006F7D93">
        <w:rPr>
          <w:rFonts w:ascii="Arial" w:eastAsia="Arial" w:hAnsi="Arial" w:cs="Arial"/>
          <w:sz w:val="20"/>
          <w:szCs w:val="20"/>
        </w:rPr>
        <w:t>four month and one day hold period in Canada, as applicable.</w:t>
      </w:r>
    </w:p>
    <w:p w14:paraId="1573F159" w14:textId="4D2D242D" w:rsidR="00882ED7" w:rsidRPr="006F7D93" w:rsidRDefault="00882ED7" w:rsidP="00430B8C">
      <w:pPr>
        <w:pStyle w:val="NormalWeb"/>
        <w:shd w:val="clear" w:color="auto" w:fill="FFFFFF"/>
        <w:rPr>
          <w:rFonts w:ascii="Arial" w:eastAsia="Arial" w:hAnsi="Arial" w:cs="Arial"/>
          <w:sz w:val="20"/>
          <w:szCs w:val="20"/>
        </w:rPr>
      </w:pPr>
      <w:r w:rsidRPr="006F7D93">
        <w:rPr>
          <w:rFonts w:ascii="Arial" w:eastAsia="Arial" w:hAnsi="Arial" w:cs="Arial"/>
          <w:sz w:val="20"/>
          <w:szCs w:val="20"/>
        </w:rPr>
        <w:t xml:space="preserve">In conjunction with the financing, an aggregate of $12,000 in finder's fees and </w:t>
      </w:r>
      <w:r w:rsidR="00C14DDC">
        <w:rPr>
          <w:rFonts w:ascii="Arial" w:eastAsia="Arial" w:hAnsi="Arial" w:cs="Arial"/>
          <w:sz w:val="20"/>
          <w:szCs w:val="20"/>
        </w:rPr>
        <w:t>400,000</w:t>
      </w:r>
      <w:r w:rsidRPr="006F7D93">
        <w:rPr>
          <w:rFonts w:ascii="Arial" w:eastAsia="Arial" w:hAnsi="Arial" w:cs="Arial"/>
          <w:sz w:val="20"/>
          <w:szCs w:val="20"/>
        </w:rPr>
        <w:t xml:space="preserve"> broker warrants were paid to finders in connection with the</w:t>
      </w:r>
      <w:r w:rsidR="00416115" w:rsidRPr="006F7D93">
        <w:rPr>
          <w:rFonts w:ascii="Arial" w:eastAsia="Arial" w:hAnsi="Arial" w:cs="Arial"/>
          <w:sz w:val="20"/>
          <w:szCs w:val="20"/>
        </w:rPr>
        <w:t xml:space="preserve"> first tranche</w:t>
      </w:r>
      <w:r w:rsidRPr="006F7D93">
        <w:rPr>
          <w:rFonts w:ascii="Arial" w:eastAsia="Arial" w:hAnsi="Arial" w:cs="Arial"/>
          <w:sz w:val="20"/>
          <w:szCs w:val="20"/>
        </w:rPr>
        <w:t xml:space="preserve"> closing of the</w:t>
      </w:r>
      <w:r w:rsidR="00416115" w:rsidRPr="006F7D93">
        <w:rPr>
          <w:rFonts w:ascii="Arial" w:eastAsia="Arial" w:hAnsi="Arial" w:cs="Arial"/>
          <w:sz w:val="20"/>
          <w:szCs w:val="20"/>
        </w:rPr>
        <w:t xml:space="preserve"> </w:t>
      </w:r>
      <w:r w:rsidRPr="006F7D93">
        <w:rPr>
          <w:rFonts w:ascii="Arial" w:eastAsia="Arial" w:hAnsi="Arial" w:cs="Arial"/>
          <w:sz w:val="20"/>
          <w:szCs w:val="20"/>
        </w:rPr>
        <w:t>private placement. The broker warrants are exercisable into one common share at $0.</w:t>
      </w:r>
      <w:r w:rsidR="00416115" w:rsidRPr="006F7D93">
        <w:rPr>
          <w:rFonts w:ascii="Arial" w:eastAsia="Arial" w:hAnsi="Arial" w:cs="Arial"/>
          <w:sz w:val="20"/>
          <w:szCs w:val="20"/>
        </w:rPr>
        <w:t>06</w:t>
      </w:r>
      <w:r w:rsidRPr="006F7D93">
        <w:rPr>
          <w:rFonts w:ascii="Arial" w:eastAsia="Arial" w:hAnsi="Arial" w:cs="Arial"/>
          <w:sz w:val="20"/>
          <w:szCs w:val="20"/>
        </w:rPr>
        <w:t xml:space="preserve"> for a period of two years</w:t>
      </w:r>
    </w:p>
    <w:p w14:paraId="00E62FD0" w14:textId="3D9C142A" w:rsidR="00430B8C" w:rsidRPr="006F7D93" w:rsidRDefault="00430B8C" w:rsidP="00430B8C">
      <w:pPr>
        <w:pStyle w:val="NormalWeb"/>
        <w:shd w:val="clear" w:color="auto" w:fill="FFFFFF"/>
        <w:rPr>
          <w:rFonts w:ascii="Arial" w:eastAsia="Arial" w:hAnsi="Arial" w:cs="Arial"/>
          <w:sz w:val="20"/>
          <w:szCs w:val="20"/>
        </w:rPr>
      </w:pPr>
      <w:r w:rsidRPr="006F7D93">
        <w:rPr>
          <w:rFonts w:ascii="Arial" w:eastAsia="Arial" w:hAnsi="Arial" w:cs="Arial"/>
          <w:sz w:val="20"/>
          <w:szCs w:val="20"/>
        </w:rPr>
        <w:t>The net proceeds from the Financing are intended for general working capital purposes.</w:t>
      </w:r>
    </w:p>
    <w:p w14:paraId="36972D75" w14:textId="77777777" w:rsidR="00430B8C" w:rsidRPr="006F7D93" w:rsidRDefault="00430B8C" w:rsidP="00DB17D7">
      <w:pPr>
        <w:rPr>
          <w:rFonts w:ascii="Arial" w:eastAsia="Arial" w:hAnsi="Arial" w:cs="Arial"/>
          <w:b/>
          <w:sz w:val="20"/>
          <w:szCs w:val="20"/>
        </w:rPr>
      </w:pPr>
    </w:p>
    <w:p w14:paraId="10DD499A" w14:textId="296CA8F4" w:rsidR="00EC7CDA" w:rsidRDefault="008D140D" w:rsidP="00DB17D7">
      <w:pPr>
        <w:rPr>
          <w:rFonts w:ascii="Arial" w:eastAsia="Arial" w:hAnsi="Arial" w:cs="Arial"/>
          <w:b/>
          <w:sz w:val="22"/>
          <w:szCs w:val="22"/>
        </w:rPr>
      </w:pPr>
      <w:r>
        <w:rPr>
          <w:rFonts w:ascii="Arial" w:eastAsia="Arial" w:hAnsi="Arial" w:cs="Arial"/>
          <w:b/>
          <w:sz w:val="22"/>
          <w:szCs w:val="22"/>
        </w:rPr>
        <w:t xml:space="preserve">About Graph Blockchain Inc. </w:t>
      </w:r>
      <w:r w:rsidR="00882ED7">
        <w:rPr>
          <w:rFonts w:ascii="Arial" w:eastAsia="Arial" w:hAnsi="Arial" w:cs="Arial"/>
          <w:b/>
          <w:sz w:val="22"/>
          <w:szCs w:val="22"/>
        </w:rPr>
        <w:t xml:space="preserve"> </w:t>
      </w:r>
    </w:p>
    <w:p w14:paraId="145D4E86" w14:textId="77777777" w:rsidR="00EC7CDA" w:rsidRDefault="00EC7CDA">
      <w:pPr>
        <w:jc w:val="both"/>
        <w:rPr>
          <w:rFonts w:ascii="Arial" w:eastAsia="Arial" w:hAnsi="Arial" w:cs="Arial"/>
          <w:b/>
          <w:sz w:val="22"/>
          <w:szCs w:val="22"/>
        </w:rPr>
      </w:pPr>
    </w:p>
    <w:p w14:paraId="5A9A1949" w14:textId="29F4F554" w:rsidR="00EC7CDA" w:rsidRDefault="008D140D">
      <w:pPr>
        <w:jc w:val="both"/>
        <w:rPr>
          <w:rFonts w:ascii="Arial" w:eastAsia="Arial" w:hAnsi="Arial" w:cs="Arial"/>
          <w:sz w:val="22"/>
          <w:szCs w:val="22"/>
        </w:rPr>
      </w:pPr>
      <w:r>
        <w:rPr>
          <w:rFonts w:ascii="Arial" w:eastAsia="Arial" w:hAnsi="Arial" w:cs="Arial"/>
          <w:sz w:val="22"/>
          <w:szCs w:val="22"/>
        </w:rPr>
        <w:t>The Company develops leading-edge private blockchain business intelligence and data management solutions</w:t>
      </w:r>
      <w:r w:rsidR="00A429D2">
        <w:rPr>
          <w:rFonts w:ascii="Arial" w:eastAsia="Arial" w:hAnsi="Arial" w:cs="Arial"/>
          <w:sz w:val="22"/>
          <w:szCs w:val="22"/>
        </w:rPr>
        <w:t xml:space="preserve"> that it will implement into a blockchain supported e-commerce marketplace for the sale of psychedelic and ancillary products in legal jurisdictions. </w:t>
      </w:r>
    </w:p>
    <w:p w14:paraId="11E5B41F" w14:textId="77777777" w:rsidR="00DB17D7" w:rsidRDefault="00DB17D7">
      <w:pPr>
        <w:jc w:val="both"/>
        <w:rPr>
          <w:rFonts w:ascii="Arial" w:eastAsia="Arial" w:hAnsi="Arial" w:cs="Arial"/>
          <w:sz w:val="22"/>
          <w:szCs w:val="22"/>
        </w:rPr>
      </w:pPr>
    </w:p>
    <w:p w14:paraId="64C8DE9B" w14:textId="77777777" w:rsidR="00EC7CDA" w:rsidRDefault="008D140D">
      <w:pPr>
        <w:jc w:val="both"/>
        <w:rPr>
          <w:rFonts w:ascii="Arial" w:eastAsia="Arial" w:hAnsi="Arial" w:cs="Arial"/>
          <w:color w:val="0000FF"/>
          <w:sz w:val="22"/>
          <w:szCs w:val="22"/>
        </w:rPr>
      </w:pPr>
      <w:r>
        <w:rPr>
          <w:rFonts w:ascii="Arial" w:eastAsia="Arial" w:hAnsi="Arial" w:cs="Arial"/>
          <w:sz w:val="22"/>
          <w:szCs w:val="22"/>
        </w:rPr>
        <w:t xml:space="preserve">Additional Information on the Company is available at: </w:t>
      </w:r>
      <w:hyperlink r:id="rId10">
        <w:r>
          <w:rPr>
            <w:rFonts w:ascii="Arial" w:eastAsia="Arial" w:hAnsi="Arial" w:cs="Arial"/>
            <w:color w:val="0000FF"/>
            <w:sz w:val="22"/>
            <w:szCs w:val="22"/>
            <w:u w:val="single"/>
          </w:rPr>
          <w:t>www.graphblockchain.com</w:t>
        </w:r>
      </w:hyperlink>
    </w:p>
    <w:p w14:paraId="0910DF64" w14:textId="7135EEAA" w:rsidR="00EC7CDA" w:rsidRPr="00543EBE" w:rsidRDefault="00EC7CDA">
      <w:pPr>
        <w:jc w:val="both"/>
        <w:rPr>
          <w:rFonts w:ascii="Arial" w:eastAsia="Arial" w:hAnsi="Arial" w:cs="Arial"/>
          <w:b/>
          <w:bCs/>
          <w:color w:val="0000FF"/>
          <w:sz w:val="22"/>
          <w:szCs w:val="22"/>
        </w:rPr>
      </w:pPr>
    </w:p>
    <w:p w14:paraId="2EDF2B87" w14:textId="77777777" w:rsidR="00B15562" w:rsidRDefault="00B15562">
      <w:pPr>
        <w:jc w:val="both"/>
        <w:rPr>
          <w:rFonts w:ascii="Arial" w:eastAsia="Arial" w:hAnsi="Arial" w:cs="Arial"/>
          <w:color w:val="0000FF"/>
          <w:sz w:val="22"/>
          <w:szCs w:val="22"/>
        </w:rPr>
      </w:pPr>
    </w:p>
    <w:p w14:paraId="6756B533" w14:textId="77777777" w:rsidR="00EC7CDA" w:rsidRDefault="008D140D">
      <w:pPr>
        <w:jc w:val="both"/>
        <w:rPr>
          <w:rFonts w:ascii="Arial" w:eastAsia="Arial" w:hAnsi="Arial" w:cs="Arial"/>
          <w:b/>
          <w:sz w:val="22"/>
          <w:szCs w:val="22"/>
        </w:rPr>
      </w:pPr>
      <w:r>
        <w:rPr>
          <w:rFonts w:ascii="Arial" w:eastAsia="Arial" w:hAnsi="Arial" w:cs="Arial"/>
          <w:b/>
          <w:sz w:val="22"/>
          <w:szCs w:val="22"/>
        </w:rPr>
        <w:lastRenderedPageBreak/>
        <w:t xml:space="preserve">For further information, please contact: </w:t>
      </w:r>
    </w:p>
    <w:p w14:paraId="04725660" w14:textId="77777777" w:rsidR="00EC7CDA" w:rsidRDefault="00EC7CDA">
      <w:pPr>
        <w:jc w:val="both"/>
        <w:rPr>
          <w:rFonts w:ascii="Arial" w:eastAsia="Arial" w:hAnsi="Arial" w:cs="Arial"/>
          <w:sz w:val="22"/>
          <w:szCs w:val="22"/>
        </w:rPr>
      </w:pPr>
    </w:p>
    <w:p w14:paraId="3168431E" w14:textId="0BDE9653" w:rsidR="00EC7CDA" w:rsidRDefault="00543EBE">
      <w:pPr>
        <w:jc w:val="both"/>
        <w:rPr>
          <w:rFonts w:ascii="Arial" w:eastAsia="Arial" w:hAnsi="Arial" w:cs="Arial"/>
          <w:sz w:val="22"/>
          <w:szCs w:val="22"/>
        </w:rPr>
      </w:pPr>
      <w:r>
        <w:rPr>
          <w:rFonts w:ascii="Arial" w:eastAsia="Arial" w:hAnsi="Arial" w:cs="Arial"/>
          <w:sz w:val="22"/>
          <w:szCs w:val="22"/>
        </w:rPr>
        <w:t xml:space="preserve">Govinda Butcher </w:t>
      </w:r>
      <w:r w:rsidR="008D140D">
        <w:rPr>
          <w:rFonts w:ascii="Arial" w:eastAsia="Arial" w:hAnsi="Arial" w:cs="Arial"/>
          <w:sz w:val="22"/>
          <w:szCs w:val="22"/>
        </w:rPr>
        <w:t>–</w:t>
      </w:r>
      <w:r w:rsidR="00694F40">
        <w:rPr>
          <w:rFonts w:ascii="Arial" w:eastAsia="Arial" w:hAnsi="Arial" w:cs="Arial"/>
          <w:sz w:val="22"/>
          <w:szCs w:val="22"/>
        </w:rPr>
        <w:t xml:space="preserve"> </w:t>
      </w:r>
      <w:r w:rsidR="008D140D">
        <w:rPr>
          <w:rFonts w:ascii="Arial" w:eastAsia="Arial" w:hAnsi="Arial" w:cs="Arial"/>
          <w:sz w:val="22"/>
          <w:szCs w:val="22"/>
        </w:rPr>
        <w:t>CEO</w:t>
      </w:r>
    </w:p>
    <w:p w14:paraId="07E3B01E" w14:textId="4116343B" w:rsidR="00EC7CDA" w:rsidRDefault="008D140D">
      <w:pPr>
        <w:jc w:val="both"/>
        <w:rPr>
          <w:rFonts w:ascii="Arial" w:eastAsia="Arial" w:hAnsi="Arial" w:cs="Arial"/>
          <w:sz w:val="22"/>
          <w:szCs w:val="22"/>
        </w:rPr>
      </w:pPr>
      <w:r>
        <w:rPr>
          <w:rFonts w:ascii="Arial" w:eastAsia="Arial" w:hAnsi="Arial" w:cs="Arial"/>
          <w:sz w:val="22"/>
          <w:szCs w:val="22"/>
        </w:rPr>
        <w:t>Phone:</w:t>
      </w:r>
      <w:r>
        <w:rPr>
          <w:rFonts w:ascii="Arial" w:eastAsia="Arial" w:hAnsi="Arial" w:cs="Arial"/>
          <w:sz w:val="22"/>
          <w:szCs w:val="22"/>
        </w:rPr>
        <w:tab/>
        <w:t>(</w:t>
      </w:r>
      <w:r w:rsidR="00543EBE">
        <w:rPr>
          <w:rFonts w:ascii="Arial" w:eastAsia="Arial" w:hAnsi="Arial" w:cs="Arial"/>
          <w:sz w:val="22"/>
          <w:szCs w:val="22"/>
        </w:rPr>
        <w:t>416) 522-6688</w:t>
      </w:r>
    </w:p>
    <w:p w14:paraId="44E816AF" w14:textId="4A15D131" w:rsidR="00EC7CDA" w:rsidRDefault="008D140D">
      <w:pPr>
        <w:jc w:val="both"/>
        <w:rPr>
          <w:rFonts w:ascii="Arial" w:eastAsia="Arial" w:hAnsi="Arial" w:cs="Arial"/>
          <w:color w:val="0000FF"/>
          <w:sz w:val="22"/>
          <w:szCs w:val="22"/>
        </w:rPr>
      </w:pPr>
      <w:r>
        <w:rPr>
          <w:rFonts w:ascii="Arial" w:eastAsia="Arial" w:hAnsi="Arial" w:cs="Arial"/>
          <w:sz w:val="22"/>
          <w:szCs w:val="22"/>
        </w:rPr>
        <w:t>Email:</w:t>
      </w:r>
      <w:r>
        <w:rPr>
          <w:rFonts w:ascii="Arial" w:eastAsia="Arial" w:hAnsi="Arial" w:cs="Arial"/>
          <w:sz w:val="22"/>
          <w:szCs w:val="22"/>
        </w:rPr>
        <w:tab/>
      </w:r>
      <w:hyperlink r:id="rId11" w:history="1">
        <w:r w:rsidR="00543EBE" w:rsidRPr="00565E01">
          <w:rPr>
            <w:rStyle w:val="Hyperlink"/>
            <w:rFonts w:ascii="Arial" w:eastAsia="Arial" w:hAnsi="Arial" w:cs="Arial"/>
            <w:sz w:val="22"/>
            <w:szCs w:val="22"/>
          </w:rPr>
          <w:t>govinda@graphblockchain.com</w:t>
        </w:r>
      </w:hyperlink>
    </w:p>
    <w:p w14:paraId="16BB22B9" w14:textId="77777777" w:rsidR="00EC7CDA" w:rsidRDefault="00EC7CDA">
      <w:pPr>
        <w:jc w:val="both"/>
        <w:rPr>
          <w:rFonts w:ascii="Arial" w:eastAsia="Arial" w:hAnsi="Arial" w:cs="Arial"/>
          <w:color w:val="0000FF"/>
          <w:sz w:val="22"/>
          <w:szCs w:val="22"/>
        </w:rPr>
      </w:pPr>
    </w:p>
    <w:p w14:paraId="40E0394E" w14:textId="18121EB7" w:rsidR="00543EBE" w:rsidRDefault="00543EBE">
      <w:pPr>
        <w:jc w:val="both"/>
        <w:rPr>
          <w:rFonts w:ascii="Arial" w:eastAsia="Arial" w:hAnsi="Arial" w:cs="Arial"/>
          <w:b/>
          <w:sz w:val="22"/>
          <w:szCs w:val="22"/>
        </w:rPr>
      </w:pPr>
    </w:p>
    <w:p w14:paraId="0A3102AA" w14:textId="153FDF5E" w:rsidR="00707523" w:rsidRDefault="00707523">
      <w:pPr>
        <w:jc w:val="both"/>
        <w:rPr>
          <w:rFonts w:ascii="Arial" w:eastAsia="Arial" w:hAnsi="Arial" w:cs="Arial"/>
          <w:b/>
          <w:sz w:val="22"/>
          <w:szCs w:val="22"/>
        </w:rPr>
      </w:pPr>
    </w:p>
    <w:p w14:paraId="4E68E80C" w14:textId="77777777" w:rsidR="00707523" w:rsidRDefault="00707523">
      <w:pPr>
        <w:jc w:val="both"/>
        <w:rPr>
          <w:rFonts w:ascii="Arial" w:eastAsia="Arial" w:hAnsi="Arial" w:cs="Arial"/>
          <w:b/>
          <w:sz w:val="22"/>
          <w:szCs w:val="22"/>
        </w:rPr>
      </w:pPr>
    </w:p>
    <w:p w14:paraId="242FE34F" w14:textId="7539AE4A" w:rsidR="00EC7CDA" w:rsidRDefault="008D140D">
      <w:pPr>
        <w:jc w:val="both"/>
        <w:rPr>
          <w:rFonts w:ascii="Arial" w:eastAsia="Arial" w:hAnsi="Arial" w:cs="Arial"/>
          <w:b/>
          <w:sz w:val="22"/>
          <w:szCs w:val="22"/>
        </w:rPr>
      </w:pPr>
      <w:r>
        <w:rPr>
          <w:rFonts w:ascii="Arial" w:eastAsia="Arial" w:hAnsi="Arial" w:cs="Arial"/>
          <w:b/>
          <w:sz w:val="22"/>
          <w:szCs w:val="22"/>
        </w:rPr>
        <w:t xml:space="preserve">Forward Looking Statements </w:t>
      </w:r>
    </w:p>
    <w:p w14:paraId="5C3007D8" w14:textId="77777777" w:rsidR="00EC7CDA" w:rsidRDefault="00EC7CDA">
      <w:pPr>
        <w:jc w:val="both"/>
        <w:rPr>
          <w:rFonts w:ascii="Arial" w:eastAsia="Arial" w:hAnsi="Arial" w:cs="Arial"/>
          <w:sz w:val="22"/>
          <w:szCs w:val="22"/>
        </w:rPr>
      </w:pPr>
    </w:p>
    <w:p w14:paraId="39A9C183" w14:textId="15328CC6" w:rsidR="00EC7CDA" w:rsidRDefault="008D140D">
      <w:pPr>
        <w:jc w:val="both"/>
        <w:rPr>
          <w:rFonts w:ascii="Arial" w:eastAsia="Arial" w:hAnsi="Arial" w:cs="Arial"/>
          <w:sz w:val="22"/>
          <w:szCs w:val="22"/>
        </w:rPr>
      </w:pPr>
      <w:r>
        <w:rPr>
          <w:rFonts w:ascii="Arial" w:eastAsia="Arial" w:hAnsi="Arial" w:cs="Arial"/>
          <w:sz w:val="22"/>
          <w:szCs w:val="22"/>
        </w:rPr>
        <w:t>This news release contains "forward-looking</w:t>
      </w:r>
      <w:r w:rsidR="00FA38F8">
        <w:rPr>
          <w:rFonts w:ascii="Arial" w:eastAsia="Arial" w:hAnsi="Arial" w:cs="Arial"/>
          <w:sz w:val="22"/>
          <w:szCs w:val="22"/>
        </w:rPr>
        <w:t xml:space="preserve"> </w:t>
      </w:r>
      <w:r>
        <w:rPr>
          <w:rFonts w:ascii="Arial" w:eastAsia="Arial" w:hAnsi="Arial" w:cs="Arial"/>
          <w:sz w:val="22"/>
          <w:szCs w:val="22"/>
        </w:rPr>
        <w:t>statements" within the meaning of applicable securities laws. All statements contained herein</w:t>
      </w:r>
      <w:r w:rsidR="00FA38F8">
        <w:rPr>
          <w:rFonts w:ascii="Arial" w:eastAsia="Arial" w:hAnsi="Arial" w:cs="Arial"/>
          <w:sz w:val="22"/>
          <w:szCs w:val="22"/>
        </w:rPr>
        <w:t xml:space="preserve"> </w:t>
      </w:r>
      <w:r>
        <w:rPr>
          <w:rFonts w:ascii="Arial" w:eastAsia="Arial" w:hAnsi="Arial" w:cs="Arial"/>
          <w:sz w:val="22"/>
          <w:szCs w:val="22"/>
        </w:rPr>
        <w:t xml:space="preserve">that are not clearly historical in nature may constitute forward-looking statements. In some cases, forward-looking statements can be identified by words or phrases such as "may", "will", "expect", "likely", "should", "would", "plan", "anticipate", "intend", "potential", "proposed", "estimate", "believe" or the negative of these terms, or other similar words, expressions and grammatical variations thereof, or statements that certain events or conditions "may" or "will" happen, or by discussions of strategy. Readers are cautioned to consider these and other factors, uncertainties and potential events carefully and not to put undue reliance on forward-looking statements. Such statements may prove to be incorrect and actual results may differ materially from those anticipated. </w:t>
      </w:r>
    </w:p>
    <w:p w14:paraId="4071827A" w14:textId="77777777" w:rsidR="00EC7CDA" w:rsidRDefault="00EC7CDA">
      <w:pPr>
        <w:jc w:val="both"/>
        <w:rPr>
          <w:rFonts w:ascii="Arial" w:eastAsia="Arial" w:hAnsi="Arial" w:cs="Arial"/>
          <w:sz w:val="22"/>
          <w:szCs w:val="22"/>
        </w:rPr>
      </w:pPr>
    </w:p>
    <w:p w14:paraId="5DA74B86" w14:textId="77777777" w:rsidR="00EC7CDA" w:rsidRDefault="008D140D">
      <w:pPr>
        <w:jc w:val="both"/>
        <w:rPr>
          <w:rFonts w:ascii="Arial" w:eastAsia="Arial" w:hAnsi="Arial" w:cs="Arial"/>
          <w:sz w:val="22"/>
          <w:szCs w:val="22"/>
        </w:rPr>
      </w:pPr>
      <w:r>
        <w:rPr>
          <w:rFonts w:ascii="Arial" w:eastAsia="Arial" w:hAnsi="Arial" w:cs="Arial"/>
          <w:sz w:val="22"/>
          <w:szCs w:val="22"/>
        </w:rPr>
        <w:t>Forward-looking statements contained in this news release are expressly qualified by this cautionary statement and reflect the Company’s expectations as of the date hereof and are subject to change thereafter. The Company undertakes no obligation to update or revise any forward-looking statements, whether as a result of new information, estimates or opinions, future events or results or otherwise or to explain any material difference between subsequent actual events and such forward-looking information, except as required by applicable law.</w:t>
      </w:r>
    </w:p>
    <w:sectPr w:rsidR="00EC7CDA">
      <w:headerReference w:type="default" r:id="rId12"/>
      <w:footerReference w:type="even" r:id="rId13"/>
      <w:footerReference w:type="default" r:id="rId14"/>
      <w:footerReference w:type="first" r:id="rId15"/>
      <w:pgSz w:w="12240" w:h="15840"/>
      <w:pgMar w:top="1152" w:right="1440" w:bottom="864" w:left="1440" w:header="576"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E19EB" w14:textId="77777777" w:rsidR="00446B64" w:rsidRDefault="00446B64">
      <w:r>
        <w:separator/>
      </w:r>
    </w:p>
  </w:endnote>
  <w:endnote w:type="continuationSeparator" w:id="0">
    <w:p w14:paraId="164BF158" w14:textId="77777777" w:rsidR="00446B64" w:rsidRDefault="0044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5FAA6" w14:textId="77777777" w:rsidR="00EC7CDA" w:rsidRDefault="008D140D">
    <w:pPr>
      <w:pBdr>
        <w:top w:val="nil"/>
        <w:left w:val="nil"/>
        <w:bottom w:val="nil"/>
        <w:right w:val="nil"/>
        <w:between w:val="nil"/>
      </w:pBdr>
      <w:tabs>
        <w:tab w:val="center" w:pos="4680"/>
        <w:tab w:val="right" w:pos="9360"/>
      </w:tabs>
      <w:rPr>
        <w:color w:val="000000"/>
      </w:rPr>
    </w:pPr>
    <w:r>
      <w:rPr>
        <w:color w:val="000000"/>
      </w:rPr>
      <w:t xml:space="preserve"> </w:t>
    </w:r>
  </w:p>
  <w:p w14:paraId="745D7FC8" w14:textId="77777777" w:rsidR="00EC7CDA" w:rsidRDefault="00EC7CD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A1F42" w14:textId="77777777" w:rsidR="00EC7CDA" w:rsidRDefault="00EC7CDA">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FA6C" w14:textId="77777777" w:rsidR="00EC7CDA" w:rsidRDefault="00EC7CD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281EE" w14:textId="77777777" w:rsidR="00446B64" w:rsidRDefault="00446B64">
      <w:r>
        <w:separator/>
      </w:r>
    </w:p>
  </w:footnote>
  <w:footnote w:type="continuationSeparator" w:id="0">
    <w:p w14:paraId="0FB1E009" w14:textId="77777777" w:rsidR="00446B64" w:rsidRDefault="00446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40219" w14:textId="1703F726" w:rsidR="00EC7CDA" w:rsidRDefault="008D140D">
    <w:pPr>
      <w:pBdr>
        <w:top w:val="nil"/>
        <w:left w:val="nil"/>
        <w:bottom w:val="nil"/>
        <w:right w:val="nil"/>
        <w:between w:val="nil"/>
      </w:pBdr>
      <w:tabs>
        <w:tab w:val="center" w:pos="4680"/>
        <w:tab w:val="right" w:pos="9360"/>
      </w:tabs>
      <w:rPr>
        <w:color w:val="000000"/>
        <w:sz w:val="18"/>
        <w:szCs w:val="18"/>
      </w:rPr>
    </w:pPr>
    <w:r>
      <w:rPr>
        <w:color w:val="000000"/>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DB17D7">
      <w:rPr>
        <w:noProof/>
        <w:color w:val="000000"/>
        <w:sz w:val="18"/>
        <w:szCs w:val="18"/>
      </w:rPr>
      <w:t>2</w:t>
    </w:r>
    <w:r>
      <w:rPr>
        <w:color w:val="000000"/>
        <w:sz w:val="18"/>
        <w:szCs w:val="18"/>
      </w:rPr>
      <w:fldChar w:fldCharType="end"/>
    </w:r>
    <w:r>
      <w:rPr>
        <w:color w:val="000000"/>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B630F"/>
    <w:multiLevelType w:val="hybridMultilevel"/>
    <w:tmpl w:val="148A3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A4C6709"/>
    <w:multiLevelType w:val="hybridMultilevel"/>
    <w:tmpl w:val="5008AEB6"/>
    <w:lvl w:ilvl="0" w:tplc="BFE40014">
      <w:start w:val="2017"/>
      <w:numFmt w:val="bullet"/>
      <w:lvlText w:val=""/>
      <w:lvlJc w:val="left"/>
      <w:pPr>
        <w:ind w:left="720" w:hanging="360"/>
      </w:pPr>
      <w:rPr>
        <w:rFonts w:ascii="Symbol" w:eastAsia="Arial"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76D5E63"/>
    <w:multiLevelType w:val="hybridMultilevel"/>
    <w:tmpl w:val="8ABE2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DA"/>
    <w:rsid w:val="00007C76"/>
    <w:rsid w:val="000406B5"/>
    <w:rsid w:val="000907B4"/>
    <w:rsid w:val="000E7DCD"/>
    <w:rsid w:val="000F4679"/>
    <w:rsid w:val="00121A29"/>
    <w:rsid w:val="00152E71"/>
    <w:rsid w:val="00195773"/>
    <w:rsid w:val="00196F20"/>
    <w:rsid w:val="001C1444"/>
    <w:rsid w:val="001C3008"/>
    <w:rsid w:val="001D4A9D"/>
    <w:rsid w:val="001E20A0"/>
    <w:rsid w:val="001E727E"/>
    <w:rsid w:val="001F107C"/>
    <w:rsid w:val="00234226"/>
    <w:rsid w:val="00235960"/>
    <w:rsid w:val="00260DF3"/>
    <w:rsid w:val="00295742"/>
    <w:rsid w:val="002B1400"/>
    <w:rsid w:val="002B7C49"/>
    <w:rsid w:val="002F697A"/>
    <w:rsid w:val="00393A75"/>
    <w:rsid w:val="003A54E2"/>
    <w:rsid w:val="00416115"/>
    <w:rsid w:val="00421681"/>
    <w:rsid w:val="00430B8C"/>
    <w:rsid w:val="00441B04"/>
    <w:rsid w:val="00446B64"/>
    <w:rsid w:val="00452081"/>
    <w:rsid w:val="0046020E"/>
    <w:rsid w:val="00480256"/>
    <w:rsid w:val="004953B6"/>
    <w:rsid w:val="004B4E76"/>
    <w:rsid w:val="004E065E"/>
    <w:rsid w:val="004E1298"/>
    <w:rsid w:val="004F1373"/>
    <w:rsid w:val="00543EBE"/>
    <w:rsid w:val="005A1F42"/>
    <w:rsid w:val="005C1591"/>
    <w:rsid w:val="005E03BE"/>
    <w:rsid w:val="00633259"/>
    <w:rsid w:val="00652F49"/>
    <w:rsid w:val="00664422"/>
    <w:rsid w:val="006711A8"/>
    <w:rsid w:val="00694F40"/>
    <w:rsid w:val="006A51BC"/>
    <w:rsid w:val="006B27B1"/>
    <w:rsid w:val="006F7D93"/>
    <w:rsid w:val="00707523"/>
    <w:rsid w:val="00725DA4"/>
    <w:rsid w:val="00740D60"/>
    <w:rsid w:val="00747F09"/>
    <w:rsid w:val="007544DB"/>
    <w:rsid w:val="0077684A"/>
    <w:rsid w:val="007A37F0"/>
    <w:rsid w:val="007B1CC7"/>
    <w:rsid w:val="008512A1"/>
    <w:rsid w:val="00882ED7"/>
    <w:rsid w:val="008930E1"/>
    <w:rsid w:val="008D140D"/>
    <w:rsid w:val="00976BDA"/>
    <w:rsid w:val="009A411B"/>
    <w:rsid w:val="009B6A2C"/>
    <w:rsid w:val="009E54B8"/>
    <w:rsid w:val="00A10BD5"/>
    <w:rsid w:val="00A217EB"/>
    <w:rsid w:val="00A313A5"/>
    <w:rsid w:val="00A429D2"/>
    <w:rsid w:val="00A47587"/>
    <w:rsid w:val="00A717B9"/>
    <w:rsid w:val="00AA23DF"/>
    <w:rsid w:val="00AD71C8"/>
    <w:rsid w:val="00B028B3"/>
    <w:rsid w:val="00B15562"/>
    <w:rsid w:val="00B262F4"/>
    <w:rsid w:val="00B32B11"/>
    <w:rsid w:val="00B403F1"/>
    <w:rsid w:val="00B9535E"/>
    <w:rsid w:val="00C04384"/>
    <w:rsid w:val="00C14DDC"/>
    <w:rsid w:val="00C507C6"/>
    <w:rsid w:val="00C56379"/>
    <w:rsid w:val="00C6452C"/>
    <w:rsid w:val="00C67AAF"/>
    <w:rsid w:val="00CA7AE3"/>
    <w:rsid w:val="00CF668B"/>
    <w:rsid w:val="00D1522C"/>
    <w:rsid w:val="00D21F41"/>
    <w:rsid w:val="00D63B23"/>
    <w:rsid w:val="00D741AB"/>
    <w:rsid w:val="00DB17D7"/>
    <w:rsid w:val="00E13FC4"/>
    <w:rsid w:val="00E14F98"/>
    <w:rsid w:val="00E656B4"/>
    <w:rsid w:val="00E66630"/>
    <w:rsid w:val="00EC7CDA"/>
    <w:rsid w:val="00EE6CAC"/>
    <w:rsid w:val="00EF3B21"/>
    <w:rsid w:val="00F1412C"/>
    <w:rsid w:val="00F14683"/>
    <w:rsid w:val="00F535CA"/>
    <w:rsid w:val="00F83FE1"/>
    <w:rsid w:val="00FA38F8"/>
    <w:rsid w:val="00FB38EB"/>
    <w:rsid w:val="00FC71CE"/>
    <w:rsid w:val="00FE12E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897B"/>
  <w15:docId w15:val="{ADA9AF3D-1469-4F69-9224-D89DE0EB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1F38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E656B4"/>
    <w:pPr>
      <w:spacing w:before="100" w:beforeAutospacing="1" w:after="100" w:afterAutospacing="1"/>
    </w:pPr>
  </w:style>
  <w:style w:type="paragraph" w:styleId="BalloonText">
    <w:name w:val="Balloon Text"/>
    <w:basedOn w:val="Normal"/>
    <w:link w:val="BalloonTextChar"/>
    <w:uiPriority w:val="99"/>
    <w:semiHidden/>
    <w:unhideWhenUsed/>
    <w:rsid w:val="001C3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008"/>
    <w:rPr>
      <w:rFonts w:ascii="Segoe UI" w:hAnsi="Segoe UI" w:cs="Segoe UI"/>
      <w:sz w:val="18"/>
      <w:szCs w:val="18"/>
    </w:rPr>
  </w:style>
  <w:style w:type="character" w:styleId="Strong">
    <w:name w:val="Strong"/>
    <w:basedOn w:val="DefaultParagraphFont"/>
    <w:uiPriority w:val="22"/>
    <w:qFormat/>
    <w:rsid w:val="00260DF3"/>
    <w:rPr>
      <w:b/>
      <w:bCs/>
    </w:rPr>
  </w:style>
  <w:style w:type="character" w:styleId="Hyperlink">
    <w:name w:val="Hyperlink"/>
    <w:basedOn w:val="DefaultParagraphFont"/>
    <w:uiPriority w:val="99"/>
    <w:unhideWhenUsed/>
    <w:rsid w:val="008512A1"/>
    <w:rPr>
      <w:color w:val="0000FF" w:themeColor="hyperlink"/>
      <w:u w:val="single"/>
    </w:rPr>
  </w:style>
  <w:style w:type="character" w:styleId="UnresolvedMention">
    <w:name w:val="Unresolved Mention"/>
    <w:basedOn w:val="DefaultParagraphFont"/>
    <w:uiPriority w:val="99"/>
    <w:semiHidden/>
    <w:unhideWhenUsed/>
    <w:rsid w:val="008512A1"/>
    <w:rPr>
      <w:color w:val="605E5C"/>
      <w:shd w:val="clear" w:color="auto" w:fill="E1DFDD"/>
    </w:rPr>
  </w:style>
  <w:style w:type="paragraph" w:styleId="ListParagraph">
    <w:name w:val="List Paragraph"/>
    <w:basedOn w:val="Normal"/>
    <w:uiPriority w:val="34"/>
    <w:qFormat/>
    <w:rsid w:val="000E7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34945">
      <w:bodyDiv w:val="1"/>
      <w:marLeft w:val="0"/>
      <w:marRight w:val="0"/>
      <w:marTop w:val="0"/>
      <w:marBottom w:val="0"/>
      <w:divBdr>
        <w:top w:val="none" w:sz="0" w:space="0" w:color="auto"/>
        <w:left w:val="none" w:sz="0" w:space="0" w:color="auto"/>
        <w:bottom w:val="none" w:sz="0" w:space="0" w:color="auto"/>
        <w:right w:val="none" w:sz="0" w:space="0" w:color="auto"/>
      </w:divBdr>
    </w:div>
    <w:div w:id="1904870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inda@graphblockchain.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graphblockchain.com" TargetMode="External"/><Relationship Id="rId4" Type="http://schemas.openxmlformats.org/officeDocument/2006/relationships/settings" Target="settings.xml"/><Relationship Id="rId9" Type="http://schemas.openxmlformats.org/officeDocument/2006/relationships/hyperlink" Target="https://www.stockwatch.com/News/Item?bid=Z-C%3aGBLC-2867615&amp;symbol=GBLC&amp;region=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9C580-1932-4C07-A8C6-82BBB6117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Stevens</dc:creator>
  <cp:lastModifiedBy>Govinda Butcher</cp:lastModifiedBy>
  <cp:revision>2</cp:revision>
  <dcterms:created xsi:type="dcterms:W3CDTF">2020-03-12T14:30:00Z</dcterms:created>
  <dcterms:modified xsi:type="dcterms:W3CDTF">2020-03-12T14:30:00Z</dcterms:modified>
</cp:coreProperties>
</file>