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8D588" w14:textId="75974237" w:rsidR="003B5DA1" w:rsidRPr="002C66AA" w:rsidRDefault="003B5DA1" w:rsidP="006E67CE">
      <w:pPr>
        <w:widowControl w:val="0"/>
        <w:autoSpaceDE w:val="0"/>
        <w:autoSpaceDN w:val="0"/>
        <w:adjustRightInd w:val="0"/>
        <w:jc w:val="center"/>
        <w:rPr>
          <w:rFonts w:ascii="Times New Roman" w:hAnsi="Times New Roman" w:cs="Times New Roman"/>
          <w:color w:val="auto"/>
        </w:rPr>
      </w:pPr>
      <w:r w:rsidRPr="002C66AA">
        <w:rPr>
          <w:rFonts w:ascii="Times New Roman" w:eastAsia="Times New Roman" w:hAnsi="Times New Roman" w:cs="Times New Roman"/>
          <w:b/>
          <w:color w:val="auto"/>
        </w:rPr>
        <w:t>FUTURE FARM TECHNOLOGIES INC.</w:t>
      </w:r>
      <w:r w:rsidR="006E67CE" w:rsidRPr="002C66AA">
        <w:rPr>
          <w:rFonts w:ascii="Times New Roman" w:eastAsia="Times New Roman" w:hAnsi="Times New Roman" w:cs="Times New Roman"/>
          <w:b/>
          <w:color w:val="auto"/>
        </w:rPr>
        <w:br/>
      </w:r>
      <w:r w:rsidRPr="002C66AA">
        <w:rPr>
          <w:rFonts w:ascii="Times New Roman" w:hAnsi="Times New Roman" w:cs="Times New Roman"/>
          <w:color w:val="auto"/>
        </w:rPr>
        <w:t>#501–</w:t>
      </w:r>
      <w:hyperlink r:id="rId4" w:history="1">
        <w:r w:rsidRPr="002C66AA">
          <w:rPr>
            <w:rFonts w:ascii="Times New Roman" w:hAnsi="Times New Roman" w:cs="Times New Roman"/>
            <w:color w:val="auto"/>
          </w:rPr>
          <w:t xml:space="preserve">543 Granville Street </w:t>
        </w:r>
      </w:hyperlink>
    </w:p>
    <w:p w14:paraId="05548B51" w14:textId="543DDABA" w:rsidR="003B5DA1" w:rsidRDefault="003B5DA1" w:rsidP="006E67CE">
      <w:pPr>
        <w:widowControl w:val="0"/>
        <w:autoSpaceDE w:val="0"/>
        <w:autoSpaceDN w:val="0"/>
        <w:adjustRightInd w:val="0"/>
        <w:jc w:val="center"/>
        <w:rPr>
          <w:rFonts w:ascii="Times New Roman" w:hAnsi="Times New Roman" w:cs="Times New Roman"/>
          <w:color w:val="auto"/>
        </w:rPr>
      </w:pPr>
      <w:r w:rsidRPr="002C66AA">
        <w:rPr>
          <w:rFonts w:ascii="Times New Roman" w:hAnsi="Times New Roman" w:cs="Times New Roman"/>
          <w:color w:val="auto"/>
        </w:rPr>
        <w:t xml:space="preserve">Vancouver, BC </w:t>
      </w:r>
      <w:hyperlink r:id="rId5" w:history="1">
        <w:r w:rsidRPr="002C66AA">
          <w:rPr>
            <w:rFonts w:ascii="Times New Roman" w:hAnsi="Times New Roman" w:cs="Times New Roman"/>
            <w:color w:val="auto"/>
          </w:rPr>
          <w:t>V6C</w:t>
        </w:r>
      </w:hyperlink>
      <w:r w:rsidRPr="002C66AA">
        <w:rPr>
          <w:rFonts w:ascii="Times New Roman" w:hAnsi="Times New Roman" w:cs="Times New Roman"/>
          <w:color w:val="auto"/>
        </w:rPr>
        <w:t xml:space="preserve"> </w:t>
      </w:r>
      <w:r w:rsidR="003D56D0">
        <w:rPr>
          <w:rFonts w:ascii="Times New Roman" w:hAnsi="Times New Roman" w:cs="Times New Roman"/>
          <w:color w:val="auto"/>
        </w:rPr>
        <w:t>1X8</w:t>
      </w:r>
    </w:p>
    <w:p w14:paraId="63FCF30D" w14:textId="6F00E79F" w:rsidR="003D56D0" w:rsidRDefault="003D56D0" w:rsidP="006E67CE">
      <w:pPr>
        <w:widowControl w:val="0"/>
        <w:autoSpaceDE w:val="0"/>
        <w:autoSpaceDN w:val="0"/>
        <w:adjustRightInd w:val="0"/>
        <w:jc w:val="center"/>
        <w:rPr>
          <w:rFonts w:ascii="Times New Roman" w:hAnsi="Times New Roman" w:cs="Times New Roman"/>
          <w:color w:val="auto"/>
        </w:rPr>
      </w:pPr>
      <w:hyperlink r:id="rId6" w:history="1">
        <w:r w:rsidRPr="003D3226">
          <w:rPr>
            <w:rStyle w:val="Hyperlink"/>
            <w:rFonts w:ascii="Times New Roman" w:hAnsi="Times New Roman" w:cs="Times New Roman"/>
          </w:rPr>
          <w:t>www.FututeFarmTech.com</w:t>
        </w:r>
      </w:hyperlink>
    </w:p>
    <w:p w14:paraId="6239120C" w14:textId="3AA715E4" w:rsidR="005B7977" w:rsidRPr="002C66AA" w:rsidRDefault="005B7977" w:rsidP="006E67CE">
      <w:pPr>
        <w:pStyle w:val="Normal1"/>
        <w:jc w:val="center"/>
        <w:rPr>
          <w:rFonts w:ascii="Times New Roman" w:eastAsia="Times New Roman" w:hAnsi="Times New Roman" w:cs="Times New Roman"/>
          <w:color w:val="auto"/>
        </w:rPr>
      </w:pPr>
      <w:bookmarkStart w:id="0" w:name="_GoBack"/>
      <w:bookmarkEnd w:id="0"/>
    </w:p>
    <w:p w14:paraId="4D882AA7" w14:textId="730D695C" w:rsidR="005B7977" w:rsidRPr="002C66AA" w:rsidRDefault="000137DE" w:rsidP="00FD6DB4">
      <w:pPr>
        <w:pStyle w:val="Normal1"/>
        <w:jc w:val="center"/>
        <w:rPr>
          <w:rFonts w:ascii="Times New Roman" w:eastAsia="Times New Roman" w:hAnsi="Times New Roman" w:cs="Times New Roman"/>
          <w:b/>
          <w:color w:val="auto"/>
        </w:rPr>
      </w:pPr>
      <w:r w:rsidRPr="002C66AA">
        <w:rPr>
          <w:rFonts w:ascii="Times New Roman" w:eastAsia="Times New Roman" w:hAnsi="Times New Roman" w:cs="Times New Roman"/>
          <w:b/>
          <w:color w:val="auto"/>
        </w:rPr>
        <w:t>NEWS RELEASE</w:t>
      </w:r>
    </w:p>
    <w:p w14:paraId="648FDE83" w14:textId="77777777" w:rsidR="00553BD7" w:rsidRPr="002C66AA" w:rsidRDefault="00553BD7" w:rsidP="006E67CE">
      <w:pPr>
        <w:pStyle w:val="Normal1"/>
        <w:jc w:val="center"/>
        <w:rPr>
          <w:rFonts w:ascii="Times New Roman" w:eastAsia="Times New Roman" w:hAnsi="Times New Roman" w:cs="Times New Roman"/>
          <w:color w:val="auto"/>
        </w:rPr>
      </w:pPr>
    </w:p>
    <w:p w14:paraId="2937641E" w14:textId="5B498552" w:rsidR="00441B67" w:rsidRPr="002C66AA" w:rsidRDefault="00B21B30" w:rsidP="005E22FF">
      <w:pPr>
        <w:jc w:val="center"/>
        <w:rPr>
          <w:rFonts w:ascii="Times New Roman" w:eastAsia="Times New Roman" w:hAnsi="Times New Roman" w:cs="Times New Roman"/>
          <w:b/>
          <w:color w:val="auto"/>
          <w:sz w:val="20"/>
          <w:szCs w:val="20"/>
        </w:rPr>
      </w:pPr>
      <w:r w:rsidRPr="002C66AA">
        <w:rPr>
          <w:rFonts w:ascii="Times New Roman" w:eastAsia="Times New Roman" w:hAnsi="Times New Roman" w:cs="Times New Roman"/>
          <w:b/>
          <w:color w:val="auto"/>
        </w:rPr>
        <w:t>Future Farm Announces Strategic Financing</w:t>
      </w:r>
      <w:r w:rsidR="00441B67" w:rsidRPr="002C66AA">
        <w:rPr>
          <w:rFonts w:ascii="Times New Roman" w:eastAsia="Times New Roman" w:hAnsi="Times New Roman" w:cs="Times New Roman"/>
          <w:b/>
          <w:color w:val="auto"/>
          <w:shd w:val="clear" w:color="auto" w:fill="FFFFFF"/>
        </w:rPr>
        <w:t xml:space="preserve"> to </w:t>
      </w:r>
      <w:r w:rsidR="001B1DC9" w:rsidRPr="002C66AA">
        <w:rPr>
          <w:rFonts w:ascii="Times New Roman" w:eastAsia="Times New Roman" w:hAnsi="Times New Roman" w:cs="Times New Roman"/>
          <w:b/>
          <w:color w:val="auto"/>
          <w:shd w:val="clear" w:color="auto" w:fill="FFFFFF"/>
        </w:rPr>
        <w:t>Support Completion</w:t>
      </w:r>
      <w:r w:rsidR="005E22FF" w:rsidRPr="002C66AA">
        <w:rPr>
          <w:rFonts w:ascii="Times New Roman" w:eastAsia="Times New Roman" w:hAnsi="Times New Roman" w:cs="Times New Roman"/>
          <w:b/>
          <w:color w:val="auto"/>
          <w:shd w:val="clear" w:color="auto" w:fill="FFFFFF"/>
        </w:rPr>
        <w:t xml:space="preserve"> of</w:t>
      </w:r>
      <w:r w:rsidR="00441B67" w:rsidRPr="002C66AA">
        <w:rPr>
          <w:rFonts w:ascii="Times New Roman" w:eastAsia="Times New Roman" w:hAnsi="Times New Roman" w:cs="Times New Roman"/>
          <w:b/>
          <w:color w:val="auto"/>
          <w:shd w:val="clear" w:color="auto" w:fill="FFFFFF"/>
        </w:rPr>
        <w:t xml:space="preserve"> Medical Cannabis Dispensar</w:t>
      </w:r>
      <w:r w:rsidR="005E22FF" w:rsidRPr="002C66AA">
        <w:rPr>
          <w:rFonts w:ascii="Times New Roman" w:eastAsia="Times New Roman" w:hAnsi="Times New Roman" w:cs="Times New Roman"/>
          <w:b/>
          <w:color w:val="auto"/>
          <w:shd w:val="clear" w:color="auto" w:fill="FFFFFF"/>
        </w:rPr>
        <w:t>ies</w:t>
      </w:r>
      <w:r w:rsidR="00441B67" w:rsidRPr="002C66AA">
        <w:rPr>
          <w:rFonts w:ascii="Times New Roman" w:eastAsia="Times New Roman" w:hAnsi="Times New Roman" w:cs="Times New Roman"/>
          <w:b/>
          <w:color w:val="auto"/>
          <w:shd w:val="clear" w:color="auto" w:fill="FFFFFF"/>
        </w:rPr>
        <w:t xml:space="preserve"> in Puerto Rico</w:t>
      </w:r>
      <w:r w:rsidR="005E22FF" w:rsidRPr="002C66AA">
        <w:rPr>
          <w:rFonts w:ascii="Times New Roman" w:eastAsia="Times New Roman" w:hAnsi="Times New Roman" w:cs="Times New Roman"/>
          <w:b/>
          <w:color w:val="auto"/>
          <w:shd w:val="clear" w:color="auto" w:fill="FFFFFF"/>
        </w:rPr>
        <w:t xml:space="preserve"> and Other Key Initiatives</w:t>
      </w:r>
    </w:p>
    <w:p w14:paraId="70624C92" w14:textId="77777777" w:rsidR="005906E5" w:rsidRPr="002C66AA" w:rsidRDefault="005906E5" w:rsidP="001B1DC9">
      <w:pPr>
        <w:rPr>
          <w:rFonts w:ascii="Times New Roman" w:eastAsia="Times New Roman" w:hAnsi="Times New Roman" w:cs="Times New Roman"/>
          <w:b/>
          <w:color w:val="auto"/>
        </w:rPr>
      </w:pPr>
    </w:p>
    <w:p w14:paraId="54E7F76E" w14:textId="118FF507" w:rsidR="006E67CE" w:rsidRPr="002C66AA" w:rsidRDefault="00EB4625" w:rsidP="006E67CE">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2C66AA">
        <w:rPr>
          <w:rFonts w:ascii="Times New Roman" w:eastAsia="Times New Roman" w:hAnsi="Times New Roman" w:cs="Times New Roman"/>
          <w:color w:val="auto"/>
        </w:rPr>
        <w:t>March 15, 2019</w:t>
      </w:r>
      <w:r w:rsidR="005906E5" w:rsidRPr="002C66AA">
        <w:rPr>
          <w:rFonts w:ascii="Times New Roman" w:eastAsia="Times New Roman" w:hAnsi="Times New Roman" w:cs="Times New Roman"/>
          <w:color w:val="auto"/>
        </w:rPr>
        <w:t xml:space="preserve"> - </w:t>
      </w:r>
      <w:r w:rsidR="005906E5" w:rsidRPr="002C66AA">
        <w:rPr>
          <w:rFonts w:ascii="Times New Roman" w:eastAsia="Times New Roman" w:hAnsi="Times New Roman" w:cs="Times New Roman"/>
          <w:i/>
          <w:color w:val="auto"/>
        </w:rPr>
        <w:t>Vancouver, British Columbia</w:t>
      </w:r>
      <w:r w:rsidR="005906E5" w:rsidRPr="002C66AA">
        <w:rPr>
          <w:rFonts w:ascii="Times New Roman" w:eastAsia="Times New Roman" w:hAnsi="Times New Roman" w:cs="Times New Roman"/>
          <w:color w:val="auto"/>
        </w:rPr>
        <w:t xml:space="preserve"> - Future Farm Technologies Inc. (the “Company” or “Future Farm”) (</w:t>
      </w:r>
      <w:r w:rsidR="005906E5" w:rsidRPr="002C66AA">
        <w:rPr>
          <w:rFonts w:ascii="Times New Roman" w:eastAsia="Times New Roman" w:hAnsi="Times New Roman" w:cs="Times New Roman"/>
          <w:b/>
          <w:color w:val="auto"/>
        </w:rPr>
        <w:t>CSE: FFT</w:t>
      </w:r>
      <w:r w:rsidR="005906E5" w:rsidRPr="002C66AA">
        <w:rPr>
          <w:rFonts w:ascii="Times New Roman" w:eastAsia="Times New Roman" w:hAnsi="Times New Roman" w:cs="Times New Roman"/>
          <w:color w:val="auto"/>
        </w:rPr>
        <w:t>) (</w:t>
      </w:r>
      <w:r w:rsidR="005906E5" w:rsidRPr="002C66AA">
        <w:rPr>
          <w:rFonts w:ascii="Times New Roman" w:eastAsia="Times New Roman" w:hAnsi="Times New Roman" w:cs="Times New Roman"/>
          <w:b/>
          <w:color w:val="auto"/>
        </w:rPr>
        <w:t>OTCQ</w:t>
      </w:r>
      <w:r w:rsidR="00665142" w:rsidRPr="002C66AA">
        <w:rPr>
          <w:rFonts w:ascii="Times New Roman" w:eastAsia="Times New Roman" w:hAnsi="Times New Roman" w:cs="Times New Roman"/>
          <w:b/>
          <w:color w:val="auto"/>
        </w:rPr>
        <w:t>B</w:t>
      </w:r>
      <w:r w:rsidR="005906E5" w:rsidRPr="002C66AA">
        <w:rPr>
          <w:rFonts w:ascii="Times New Roman" w:eastAsia="Times New Roman" w:hAnsi="Times New Roman" w:cs="Times New Roman"/>
          <w:b/>
          <w:color w:val="auto"/>
        </w:rPr>
        <w:t>: FFRMF</w:t>
      </w:r>
      <w:r w:rsidR="005906E5" w:rsidRPr="002C66AA">
        <w:rPr>
          <w:rFonts w:ascii="Times New Roman" w:eastAsia="Times New Roman" w:hAnsi="Times New Roman" w:cs="Times New Roman"/>
          <w:color w:val="auto"/>
        </w:rPr>
        <w:t xml:space="preserve">) </w:t>
      </w:r>
      <w:r w:rsidR="00B21B30" w:rsidRPr="002C66AA">
        <w:rPr>
          <w:rFonts w:ascii="Times New Roman" w:eastAsia="Times New Roman" w:hAnsi="Times New Roman" w:cs="Times New Roman"/>
          <w:color w:val="auto"/>
        </w:rPr>
        <w:t>announces</w:t>
      </w:r>
      <w:r w:rsidR="005906E5" w:rsidRPr="002C66AA">
        <w:rPr>
          <w:rFonts w:ascii="Times New Roman" w:eastAsia="Times New Roman" w:hAnsi="Times New Roman" w:cs="Times New Roman"/>
          <w:color w:val="auto"/>
        </w:rPr>
        <w:t xml:space="preserve"> that it has closed on </w:t>
      </w:r>
      <w:r w:rsidR="006E67CE" w:rsidRPr="002C66AA">
        <w:rPr>
          <w:rFonts w:ascii="Times New Roman" w:hAnsi="Times New Roman" w:cs="Times New Roman"/>
          <w:color w:val="auto"/>
        </w:rPr>
        <w:t>a</w:t>
      </w:r>
      <w:r w:rsidR="00E954AD" w:rsidRPr="002C66AA">
        <w:rPr>
          <w:rFonts w:ascii="Times New Roman" w:hAnsi="Times New Roman" w:cs="Times New Roman"/>
          <w:color w:val="auto"/>
        </w:rPr>
        <w:t xml:space="preserve"> new</w:t>
      </w:r>
      <w:r w:rsidR="00B21B30" w:rsidRPr="002C66AA">
        <w:rPr>
          <w:rFonts w:ascii="Times New Roman" w:hAnsi="Times New Roman" w:cs="Times New Roman"/>
          <w:color w:val="auto"/>
        </w:rPr>
        <w:t xml:space="preserve"> </w:t>
      </w:r>
      <w:r w:rsidR="006E67CE" w:rsidRPr="002C66AA">
        <w:rPr>
          <w:rFonts w:ascii="Times New Roman" w:hAnsi="Times New Roman" w:cs="Times New Roman"/>
          <w:color w:val="auto"/>
        </w:rPr>
        <w:t>investment from</w:t>
      </w:r>
      <w:r w:rsidR="00E954AD" w:rsidRPr="002C66AA">
        <w:rPr>
          <w:rFonts w:ascii="Times New Roman" w:hAnsi="Times New Roman" w:cs="Times New Roman"/>
          <w:color w:val="auto"/>
        </w:rPr>
        <w:t xml:space="preserve"> a fund of </w:t>
      </w:r>
      <w:r w:rsidR="006E67CE" w:rsidRPr="002C66AA">
        <w:rPr>
          <w:rFonts w:ascii="Times New Roman" w:hAnsi="Times New Roman" w:cs="Times New Roman"/>
          <w:color w:val="auto"/>
        </w:rPr>
        <w:t>Yorkville Advisors Global, LP (“Yorkville”). Proceeds from the private placement will be used</w:t>
      </w:r>
      <w:r w:rsidR="006B5508" w:rsidRPr="002C66AA">
        <w:rPr>
          <w:rFonts w:ascii="Times New Roman" w:hAnsi="Times New Roman" w:cs="Times New Roman"/>
          <w:color w:val="auto"/>
        </w:rPr>
        <w:t xml:space="preserve"> </w:t>
      </w:r>
      <w:r w:rsidR="00B21B30" w:rsidRPr="002C66AA">
        <w:rPr>
          <w:rFonts w:ascii="Times New Roman" w:hAnsi="Times New Roman" w:cs="Times New Roman"/>
          <w:color w:val="auto"/>
        </w:rPr>
        <w:t>to</w:t>
      </w:r>
      <w:r w:rsidR="00E954AD" w:rsidRPr="002C66AA">
        <w:rPr>
          <w:rFonts w:ascii="Times New Roman" w:hAnsi="Times New Roman" w:cs="Times New Roman"/>
          <w:color w:val="auto"/>
        </w:rPr>
        <w:t xml:space="preserve"> refinance a previous investment made by Yorkville and to</w:t>
      </w:r>
      <w:r w:rsidR="00B21B30" w:rsidRPr="002C66AA">
        <w:rPr>
          <w:rFonts w:ascii="Times New Roman" w:hAnsi="Times New Roman" w:cs="Times New Roman"/>
          <w:color w:val="auto"/>
        </w:rPr>
        <w:t xml:space="preserve"> support </w:t>
      </w:r>
      <w:r w:rsidR="00E954AD" w:rsidRPr="002C66AA">
        <w:rPr>
          <w:rFonts w:ascii="Times New Roman" w:hAnsi="Times New Roman" w:cs="Times New Roman"/>
          <w:color w:val="auto"/>
        </w:rPr>
        <w:t>the continued development of the Company’s</w:t>
      </w:r>
      <w:r w:rsidR="00B21B30" w:rsidRPr="002C66AA">
        <w:rPr>
          <w:rFonts w:ascii="Times New Roman" w:hAnsi="Times New Roman" w:cs="Times New Roman"/>
          <w:color w:val="auto"/>
        </w:rPr>
        <w:t xml:space="preserve"> projects</w:t>
      </w:r>
      <w:r w:rsidR="001A3832" w:rsidRPr="002C66AA">
        <w:rPr>
          <w:rFonts w:ascii="Times New Roman" w:hAnsi="Times New Roman" w:cs="Times New Roman"/>
          <w:color w:val="auto"/>
        </w:rPr>
        <w:t xml:space="preserve"> in Puerto Rico, Rhode Island and</w:t>
      </w:r>
      <w:r w:rsidR="00B21B30" w:rsidRPr="002C66AA">
        <w:rPr>
          <w:rFonts w:ascii="Times New Roman" w:hAnsi="Times New Roman" w:cs="Times New Roman"/>
          <w:color w:val="auto"/>
        </w:rPr>
        <w:t xml:space="preserve"> throughout North America</w:t>
      </w:r>
      <w:r w:rsidR="006E67CE" w:rsidRPr="002C66AA">
        <w:rPr>
          <w:rFonts w:ascii="Times New Roman" w:hAnsi="Times New Roman" w:cs="Times New Roman"/>
          <w:color w:val="auto"/>
        </w:rPr>
        <w:t>.</w:t>
      </w:r>
    </w:p>
    <w:p w14:paraId="25A2BDC5" w14:textId="6F56E569" w:rsidR="001D30E0" w:rsidRPr="002C66AA" w:rsidRDefault="001D30E0" w:rsidP="006E67CE">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p>
    <w:p w14:paraId="62A46C0B" w14:textId="6CF6872B" w:rsidR="001D30E0" w:rsidRPr="002C66AA" w:rsidRDefault="001D30E0" w:rsidP="001D30E0">
      <w:pPr>
        <w:pStyle w:val="Normal1"/>
        <w:jc w:val="both"/>
        <w:rPr>
          <w:rFonts w:ascii="Times New Roman" w:eastAsia="Times New Roman" w:hAnsi="Times New Roman" w:cs="Times New Roman"/>
          <w:color w:val="auto"/>
        </w:rPr>
      </w:pPr>
      <w:r w:rsidRPr="002C66AA">
        <w:rPr>
          <w:rFonts w:ascii="Times New Roman" w:eastAsia="Times New Roman" w:hAnsi="Times New Roman" w:cs="Times New Roman"/>
          <w:color w:val="auto"/>
        </w:rPr>
        <w:t>“Yorkville continues to be a very supportive partner for our endeavors</w:t>
      </w:r>
      <w:r w:rsidR="00441B67" w:rsidRPr="002C66AA">
        <w:rPr>
          <w:rFonts w:ascii="Times New Roman" w:eastAsia="Times New Roman" w:hAnsi="Times New Roman" w:cs="Times New Roman"/>
          <w:color w:val="auto"/>
        </w:rPr>
        <w:t>, including our soon to open medical cannabis dispensaries in Puerto Rico</w:t>
      </w:r>
      <w:r w:rsidRPr="002C66AA">
        <w:rPr>
          <w:rFonts w:ascii="Times New Roman" w:eastAsia="Times New Roman" w:hAnsi="Times New Roman" w:cs="Times New Roman"/>
          <w:color w:val="auto"/>
        </w:rPr>
        <w:t>,” comments William Gildea, CEO of Future Farm. “</w:t>
      </w:r>
      <w:r w:rsidR="00441B67" w:rsidRPr="002C66AA">
        <w:rPr>
          <w:rFonts w:ascii="Times New Roman" w:eastAsia="Times New Roman" w:hAnsi="Times New Roman" w:cs="Times New Roman"/>
          <w:color w:val="auto"/>
        </w:rPr>
        <w:t xml:space="preserve">Puerto Rico is a strategic location for Future Farm expansion given its </w:t>
      </w:r>
      <w:r w:rsidR="005E22FF" w:rsidRPr="002C66AA">
        <w:rPr>
          <w:rFonts w:ascii="Times New Roman" w:eastAsia="Times New Roman" w:hAnsi="Times New Roman" w:cs="Times New Roman"/>
          <w:color w:val="auto"/>
        </w:rPr>
        <w:t>rapidly growing</w:t>
      </w:r>
      <w:r w:rsidR="00441B67" w:rsidRPr="002C66AA">
        <w:rPr>
          <w:rFonts w:ascii="Times New Roman" w:eastAsia="Times New Roman" w:hAnsi="Times New Roman" w:cs="Times New Roman"/>
          <w:color w:val="auto"/>
        </w:rPr>
        <w:t xml:space="preserve"> patient population and increasing social acceptance of medical cannabis</w:t>
      </w:r>
      <w:r w:rsidR="005E22FF" w:rsidRPr="002C66AA">
        <w:rPr>
          <w:rFonts w:ascii="Times New Roman" w:eastAsia="Times New Roman" w:hAnsi="Times New Roman" w:cs="Times New Roman"/>
          <w:color w:val="auto"/>
        </w:rPr>
        <w:t>.</w:t>
      </w:r>
      <w:r w:rsidR="002C66AA">
        <w:rPr>
          <w:rFonts w:ascii="Times New Roman" w:eastAsia="Times New Roman" w:hAnsi="Times New Roman" w:cs="Times New Roman"/>
          <w:color w:val="auto"/>
        </w:rPr>
        <w:t xml:space="preserve"> </w:t>
      </w:r>
      <w:r w:rsidR="005E22FF" w:rsidRPr="002C66AA">
        <w:rPr>
          <w:rFonts w:ascii="Times New Roman" w:eastAsia="Times New Roman" w:hAnsi="Times New Roman" w:cs="Times New Roman"/>
          <w:color w:val="auto"/>
        </w:rPr>
        <w:t>W</w:t>
      </w:r>
      <w:r w:rsidR="00441B67" w:rsidRPr="002C66AA">
        <w:rPr>
          <w:rFonts w:ascii="Times New Roman" w:eastAsia="Times New Roman" w:hAnsi="Times New Roman" w:cs="Times New Roman"/>
          <w:color w:val="auto"/>
        </w:rPr>
        <w:t xml:space="preserve">e are excited to </w:t>
      </w:r>
      <w:r w:rsidR="005E22FF" w:rsidRPr="002C66AA">
        <w:rPr>
          <w:rFonts w:ascii="Times New Roman" w:eastAsia="Times New Roman" w:hAnsi="Times New Roman" w:cs="Times New Roman"/>
          <w:color w:val="auto"/>
        </w:rPr>
        <w:t>partner</w:t>
      </w:r>
      <w:r w:rsidR="0089060F" w:rsidRPr="002C66AA">
        <w:rPr>
          <w:rFonts w:ascii="Times New Roman" w:eastAsia="Times New Roman" w:hAnsi="Times New Roman" w:cs="Times New Roman"/>
          <w:color w:val="auto"/>
        </w:rPr>
        <w:t xml:space="preserve"> with</w:t>
      </w:r>
      <w:r w:rsidR="00441B67" w:rsidRPr="002C66AA">
        <w:rPr>
          <w:rFonts w:ascii="Times New Roman" w:eastAsia="Times New Roman" w:hAnsi="Times New Roman" w:cs="Times New Roman"/>
          <w:color w:val="auto"/>
        </w:rPr>
        <w:t xml:space="preserve"> Clinica Verde </w:t>
      </w:r>
      <w:r w:rsidR="0089060F" w:rsidRPr="002C66AA">
        <w:rPr>
          <w:rFonts w:ascii="Times New Roman" w:eastAsia="Times New Roman" w:hAnsi="Times New Roman" w:cs="Times New Roman"/>
          <w:color w:val="auto"/>
        </w:rPr>
        <w:t xml:space="preserve">to add more of their outstanding </w:t>
      </w:r>
      <w:r w:rsidR="00441B67" w:rsidRPr="002C66AA">
        <w:rPr>
          <w:rFonts w:ascii="Times New Roman" w:eastAsia="Times New Roman" w:hAnsi="Times New Roman" w:cs="Times New Roman"/>
          <w:color w:val="auto"/>
        </w:rPr>
        <w:t xml:space="preserve">dispensaries </w:t>
      </w:r>
      <w:r w:rsidR="0089060F" w:rsidRPr="002C66AA">
        <w:rPr>
          <w:rFonts w:ascii="Times New Roman" w:eastAsia="Times New Roman" w:hAnsi="Times New Roman" w:cs="Times New Roman"/>
          <w:color w:val="auto"/>
        </w:rPr>
        <w:t>providing</w:t>
      </w:r>
      <w:r w:rsidR="00441B67" w:rsidRPr="002C66AA">
        <w:rPr>
          <w:rFonts w:ascii="Times New Roman" w:eastAsia="Times New Roman" w:hAnsi="Times New Roman" w:cs="Times New Roman"/>
          <w:color w:val="auto"/>
        </w:rPr>
        <w:t xml:space="preserve"> legal, </w:t>
      </w:r>
      <w:r w:rsidR="0089060F" w:rsidRPr="002C66AA">
        <w:rPr>
          <w:rFonts w:ascii="Times New Roman" w:eastAsia="Times New Roman" w:hAnsi="Times New Roman" w:cs="Times New Roman"/>
          <w:color w:val="auto"/>
        </w:rPr>
        <w:t xml:space="preserve">high </w:t>
      </w:r>
      <w:r w:rsidR="00441B67" w:rsidRPr="002C66AA">
        <w:rPr>
          <w:rFonts w:ascii="Times New Roman" w:eastAsia="Times New Roman" w:hAnsi="Times New Roman" w:cs="Times New Roman"/>
          <w:color w:val="auto"/>
        </w:rPr>
        <w:t>quality flower, edibles and concentrates to patients residing on and visiting Puerto Rico at this time of island-wide restoration and growth</w:t>
      </w:r>
      <w:r w:rsidRPr="002C66AA">
        <w:rPr>
          <w:rFonts w:ascii="Times New Roman" w:eastAsia="Times New Roman" w:hAnsi="Times New Roman" w:cs="Times New Roman"/>
          <w:color w:val="auto"/>
        </w:rPr>
        <w:t>.”</w:t>
      </w:r>
    </w:p>
    <w:p w14:paraId="5D329BFB" w14:textId="58C03949" w:rsidR="00441B67" w:rsidRPr="002C66AA" w:rsidRDefault="00441B67" w:rsidP="00441B67">
      <w:pPr>
        <w:pStyle w:val="NormalWeb"/>
        <w:jc w:val="both"/>
        <w:rPr>
          <w:rFonts w:eastAsia="Times New Roman"/>
        </w:rPr>
      </w:pPr>
      <w:r w:rsidRPr="002C66AA">
        <w:rPr>
          <w:rFonts w:eastAsia="Times New Roman"/>
        </w:rPr>
        <w:t xml:space="preserve">Future Farm’s expansion into Puerto Rico comes at a time of tremendous growth for the medical marijuana industry in Puerto Rico. The island now has over </w:t>
      </w:r>
      <w:hyperlink r:id="rId7" w:anchor="search=dispensary" w:history="1">
        <w:r w:rsidRPr="002C66AA">
          <w:rPr>
            <w:rStyle w:val="Hyperlink"/>
            <w:rFonts w:eastAsia="Times New Roman"/>
            <w:color w:val="auto"/>
          </w:rPr>
          <w:t>100 licensed medical marijuana businesses</w:t>
        </w:r>
      </w:hyperlink>
      <w:r w:rsidRPr="002C66AA">
        <w:rPr>
          <w:rFonts w:eastAsia="Times New Roman"/>
        </w:rPr>
        <w:t xml:space="preserve"> in operation to serve its </w:t>
      </w:r>
      <w:hyperlink r:id="rId8" w:history="1">
        <w:r w:rsidRPr="002C66AA">
          <w:rPr>
            <w:rStyle w:val="Hyperlink"/>
            <w:rFonts w:eastAsia="Times New Roman"/>
            <w:color w:val="auto"/>
          </w:rPr>
          <w:t>more than 56,000 patients.</w:t>
        </w:r>
      </w:hyperlink>
      <w:r w:rsidRPr="002C66AA">
        <w:rPr>
          <w:rFonts w:eastAsia="Times New Roman"/>
        </w:rPr>
        <w:t xml:space="preserve"> </w:t>
      </w:r>
    </w:p>
    <w:p w14:paraId="24119A64" w14:textId="58BE5F58" w:rsidR="00E954AD" w:rsidRPr="002C66AA" w:rsidRDefault="00E954AD" w:rsidP="006E67CE">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r w:rsidRPr="002C66AA">
        <w:rPr>
          <w:rFonts w:ascii="Times New Roman" w:hAnsi="Times New Roman" w:cs="Times New Roman"/>
          <w:color w:val="auto"/>
        </w:rPr>
        <w:t>Under the terms of the</w:t>
      </w:r>
      <w:r w:rsidR="005E22FF" w:rsidRPr="002C66AA">
        <w:rPr>
          <w:rFonts w:ascii="Times New Roman" w:hAnsi="Times New Roman" w:cs="Times New Roman"/>
          <w:color w:val="auto"/>
        </w:rPr>
        <w:t xml:space="preserve"> Yorkville</w:t>
      </w:r>
      <w:r w:rsidRPr="002C66AA">
        <w:rPr>
          <w:rFonts w:ascii="Times New Roman" w:hAnsi="Times New Roman" w:cs="Times New Roman"/>
          <w:color w:val="auto"/>
        </w:rPr>
        <w:t xml:space="preserve"> financing, the Company has </w:t>
      </w:r>
      <w:proofErr w:type="gramStart"/>
      <w:r w:rsidRPr="002C66AA">
        <w:rPr>
          <w:rFonts w:ascii="Times New Roman" w:hAnsi="Times New Roman" w:cs="Times New Roman"/>
          <w:color w:val="auto"/>
        </w:rPr>
        <w:t>entered</w:t>
      </w:r>
      <w:r w:rsidR="00765288" w:rsidRPr="002C66AA">
        <w:rPr>
          <w:rFonts w:ascii="Times New Roman" w:hAnsi="Times New Roman" w:cs="Times New Roman"/>
          <w:color w:val="auto"/>
        </w:rPr>
        <w:t xml:space="preserve"> </w:t>
      </w:r>
      <w:r w:rsidRPr="002C66AA">
        <w:rPr>
          <w:rFonts w:ascii="Times New Roman" w:hAnsi="Times New Roman" w:cs="Times New Roman"/>
          <w:color w:val="auto"/>
        </w:rPr>
        <w:t>into</w:t>
      </w:r>
      <w:proofErr w:type="gramEnd"/>
      <w:r w:rsidRPr="002C66AA">
        <w:rPr>
          <w:rFonts w:ascii="Times New Roman" w:hAnsi="Times New Roman" w:cs="Times New Roman"/>
          <w:color w:val="auto"/>
        </w:rPr>
        <w:t xml:space="preserve"> </w:t>
      </w:r>
      <w:r w:rsidR="00D549A1" w:rsidRPr="002C66AA">
        <w:rPr>
          <w:rFonts w:ascii="Times New Roman" w:hAnsi="Times New Roman" w:cs="Times New Roman"/>
          <w:color w:val="auto"/>
        </w:rPr>
        <w:t>two</w:t>
      </w:r>
      <w:r w:rsidRPr="002C66AA">
        <w:rPr>
          <w:rFonts w:ascii="Times New Roman" w:hAnsi="Times New Roman" w:cs="Times New Roman"/>
          <w:color w:val="auto"/>
        </w:rPr>
        <w:t xml:space="preserve"> Secured Convertible Debenture</w:t>
      </w:r>
      <w:r w:rsidR="00D549A1" w:rsidRPr="002C66AA">
        <w:rPr>
          <w:rFonts w:ascii="Times New Roman" w:hAnsi="Times New Roman" w:cs="Times New Roman"/>
          <w:color w:val="auto"/>
        </w:rPr>
        <w:t>s</w:t>
      </w:r>
      <w:r w:rsidR="00765288" w:rsidRPr="002C66AA">
        <w:rPr>
          <w:rFonts w:ascii="Times New Roman" w:hAnsi="Times New Roman" w:cs="Times New Roman"/>
          <w:color w:val="auto"/>
        </w:rPr>
        <w:t>.</w:t>
      </w:r>
      <w:r w:rsidR="002C66AA">
        <w:rPr>
          <w:rFonts w:ascii="Times New Roman" w:hAnsi="Times New Roman" w:cs="Times New Roman"/>
          <w:color w:val="auto"/>
        </w:rPr>
        <w:t xml:space="preserve"> </w:t>
      </w:r>
      <w:r w:rsidR="00765288" w:rsidRPr="002C66AA">
        <w:rPr>
          <w:rFonts w:ascii="Times New Roman" w:hAnsi="Times New Roman" w:cs="Times New Roman"/>
          <w:color w:val="auto"/>
        </w:rPr>
        <w:t>One Debenture is</w:t>
      </w:r>
      <w:r w:rsidRPr="002C66AA">
        <w:rPr>
          <w:rFonts w:ascii="Times New Roman" w:hAnsi="Times New Roman" w:cs="Times New Roman"/>
          <w:color w:val="auto"/>
        </w:rPr>
        <w:t xml:space="preserve"> in the Principal Amount of US</w:t>
      </w:r>
      <w:r w:rsidR="00765288" w:rsidRPr="002C66AA">
        <w:rPr>
          <w:rFonts w:ascii="Times New Roman" w:hAnsi="Times New Roman" w:cs="Times New Roman"/>
          <w:color w:val="auto"/>
        </w:rPr>
        <w:t>$</w:t>
      </w:r>
      <w:r w:rsidR="00EB4625" w:rsidRPr="002C66AA">
        <w:rPr>
          <w:rFonts w:ascii="Times New Roman" w:hAnsi="Times New Roman" w:cs="Times New Roman"/>
          <w:color w:val="auto"/>
        </w:rPr>
        <w:t>696,197</w:t>
      </w:r>
      <w:r w:rsidRPr="002C66AA">
        <w:rPr>
          <w:rFonts w:ascii="Times New Roman" w:hAnsi="Times New Roman" w:cs="Times New Roman"/>
          <w:color w:val="auto"/>
        </w:rPr>
        <w:t xml:space="preserve">, </w:t>
      </w:r>
      <w:r w:rsidR="00765288" w:rsidRPr="002C66AA">
        <w:rPr>
          <w:rFonts w:ascii="Times New Roman" w:hAnsi="Times New Roman" w:cs="Times New Roman"/>
          <w:color w:val="auto"/>
        </w:rPr>
        <w:t>which</w:t>
      </w:r>
      <w:r w:rsidRPr="002C66AA">
        <w:rPr>
          <w:rFonts w:ascii="Times New Roman" w:hAnsi="Times New Roman" w:cs="Times New Roman"/>
          <w:color w:val="auto"/>
        </w:rPr>
        <w:t xml:space="preserve"> refinances the principal and accrued interest on the US$</w:t>
      </w:r>
      <w:r w:rsidR="00EB4625" w:rsidRPr="002C66AA">
        <w:rPr>
          <w:rFonts w:ascii="Times New Roman" w:hAnsi="Times New Roman" w:cs="Times New Roman"/>
          <w:color w:val="auto"/>
        </w:rPr>
        <w:t>1,340,000</w:t>
      </w:r>
      <w:r w:rsidRPr="002C66AA">
        <w:rPr>
          <w:rFonts w:ascii="Times New Roman" w:hAnsi="Times New Roman" w:cs="Times New Roman"/>
          <w:color w:val="auto"/>
        </w:rPr>
        <w:t xml:space="preserve"> Convertible Debenture </w:t>
      </w:r>
      <w:proofErr w:type="gramStart"/>
      <w:r w:rsidRPr="002C66AA">
        <w:rPr>
          <w:rFonts w:ascii="Times New Roman" w:hAnsi="Times New Roman" w:cs="Times New Roman"/>
          <w:color w:val="auto"/>
        </w:rPr>
        <w:t>entered into</w:t>
      </w:r>
      <w:proofErr w:type="gramEnd"/>
      <w:r w:rsidRPr="002C66AA">
        <w:rPr>
          <w:rFonts w:ascii="Times New Roman" w:hAnsi="Times New Roman" w:cs="Times New Roman"/>
          <w:color w:val="auto"/>
        </w:rPr>
        <w:t xml:space="preserve"> with Yorkville in </w:t>
      </w:r>
      <w:r w:rsidR="00EB4625" w:rsidRPr="002C66AA">
        <w:rPr>
          <w:rFonts w:ascii="Times New Roman" w:hAnsi="Times New Roman" w:cs="Times New Roman"/>
          <w:color w:val="auto"/>
        </w:rPr>
        <w:t>November 2018</w:t>
      </w:r>
      <w:r w:rsidRPr="002C66AA">
        <w:rPr>
          <w:rFonts w:ascii="Times New Roman" w:hAnsi="Times New Roman" w:cs="Times New Roman"/>
          <w:color w:val="auto"/>
        </w:rPr>
        <w:t>.</w:t>
      </w:r>
      <w:r w:rsidR="00765288" w:rsidRPr="002C66AA">
        <w:rPr>
          <w:rFonts w:ascii="Times New Roman" w:hAnsi="Times New Roman" w:cs="Times New Roman"/>
          <w:color w:val="auto"/>
        </w:rPr>
        <w:t xml:space="preserve">  The other Debenture is in the principal amount of US$</w:t>
      </w:r>
      <w:r w:rsidR="00EB4625" w:rsidRPr="002C66AA">
        <w:rPr>
          <w:rFonts w:ascii="Times New Roman" w:hAnsi="Times New Roman" w:cs="Times New Roman"/>
          <w:color w:val="auto"/>
        </w:rPr>
        <w:t>500</w:t>
      </w:r>
      <w:r w:rsidR="00765288" w:rsidRPr="002C66AA">
        <w:rPr>
          <w:rFonts w:ascii="Times New Roman" w:hAnsi="Times New Roman" w:cs="Times New Roman"/>
          <w:color w:val="auto"/>
        </w:rPr>
        <w:t>,</w:t>
      </w:r>
      <w:r w:rsidR="00EB4625" w:rsidRPr="002C66AA">
        <w:rPr>
          <w:rFonts w:ascii="Times New Roman" w:hAnsi="Times New Roman" w:cs="Times New Roman"/>
          <w:color w:val="auto"/>
        </w:rPr>
        <w:t>0</w:t>
      </w:r>
      <w:r w:rsidR="00765288" w:rsidRPr="002C66AA">
        <w:rPr>
          <w:rFonts w:ascii="Times New Roman" w:hAnsi="Times New Roman" w:cs="Times New Roman"/>
          <w:color w:val="auto"/>
        </w:rPr>
        <w:t>00, which was paid to the Company in cash net of certain fees and expenses.</w:t>
      </w:r>
      <w:r w:rsidRPr="002C66AA">
        <w:rPr>
          <w:rFonts w:ascii="Times New Roman" w:hAnsi="Times New Roman" w:cs="Times New Roman"/>
          <w:color w:val="auto"/>
        </w:rPr>
        <w:t xml:space="preserve"> The new Debenture</w:t>
      </w:r>
      <w:r w:rsidR="00765288" w:rsidRPr="002C66AA">
        <w:rPr>
          <w:rFonts w:ascii="Times New Roman" w:hAnsi="Times New Roman" w:cs="Times New Roman"/>
          <w:color w:val="auto"/>
        </w:rPr>
        <w:t>s</w:t>
      </w:r>
      <w:r w:rsidRPr="002C66AA">
        <w:rPr>
          <w:rFonts w:ascii="Times New Roman" w:hAnsi="Times New Roman" w:cs="Times New Roman"/>
          <w:color w:val="auto"/>
        </w:rPr>
        <w:t xml:space="preserve"> bear annual interest at 8% and </w:t>
      </w:r>
      <w:r w:rsidR="00765288" w:rsidRPr="002C66AA">
        <w:rPr>
          <w:rFonts w:ascii="Times New Roman" w:hAnsi="Times New Roman" w:cs="Times New Roman"/>
          <w:color w:val="auto"/>
        </w:rPr>
        <w:t>are</w:t>
      </w:r>
      <w:r w:rsidRPr="002C66AA">
        <w:rPr>
          <w:rFonts w:ascii="Times New Roman" w:hAnsi="Times New Roman" w:cs="Times New Roman"/>
          <w:color w:val="auto"/>
        </w:rPr>
        <w:t xml:space="preserve"> repayable within 12 months, or convertible into Common Shares of the Company at a price of C$0.</w:t>
      </w:r>
      <w:r w:rsidR="00EB4625" w:rsidRPr="002C66AA">
        <w:rPr>
          <w:rFonts w:ascii="Times New Roman" w:hAnsi="Times New Roman" w:cs="Times New Roman"/>
          <w:color w:val="auto"/>
        </w:rPr>
        <w:t>16</w:t>
      </w:r>
      <w:r w:rsidRPr="002C66AA">
        <w:rPr>
          <w:rFonts w:ascii="Times New Roman" w:hAnsi="Times New Roman" w:cs="Times New Roman"/>
          <w:color w:val="auto"/>
        </w:rPr>
        <w:t xml:space="preserve"> per share. </w:t>
      </w:r>
    </w:p>
    <w:p w14:paraId="5F4CD7CF" w14:textId="338E44A2" w:rsidR="006E67CE" w:rsidRPr="002C66AA" w:rsidRDefault="006E67CE" w:rsidP="006E67CE">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color w:val="auto"/>
        </w:rPr>
      </w:pPr>
    </w:p>
    <w:p w14:paraId="20AA1B44" w14:textId="758B33D9" w:rsidR="005B7977" w:rsidRPr="002C66AA" w:rsidRDefault="000137DE" w:rsidP="006E67CE">
      <w:pPr>
        <w:pStyle w:val="Normal1"/>
        <w:jc w:val="both"/>
        <w:rPr>
          <w:rFonts w:ascii="Times New Roman" w:eastAsia="Times New Roman" w:hAnsi="Times New Roman" w:cs="Times New Roman"/>
          <w:color w:val="auto"/>
        </w:rPr>
      </w:pPr>
      <w:r w:rsidRPr="002C66AA">
        <w:rPr>
          <w:rFonts w:ascii="Times New Roman" w:eastAsia="Times New Roman" w:hAnsi="Times New Roman" w:cs="Times New Roman"/>
          <w:color w:val="auto"/>
        </w:rPr>
        <w:t xml:space="preserve">For further information, contact </w:t>
      </w:r>
      <w:r w:rsidR="00E66F75" w:rsidRPr="002C66AA">
        <w:rPr>
          <w:rFonts w:ascii="Times New Roman" w:eastAsia="Times New Roman" w:hAnsi="Times New Roman" w:cs="Times New Roman"/>
          <w:color w:val="auto"/>
        </w:rPr>
        <w:t>Investor Relations</w:t>
      </w:r>
      <w:r w:rsidRPr="002C66AA">
        <w:rPr>
          <w:rFonts w:ascii="Times New Roman" w:eastAsia="Times New Roman" w:hAnsi="Times New Roman" w:cs="Times New Roman"/>
          <w:color w:val="auto"/>
        </w:rPr>
        <w:t xml:space="preserve"> at </w:t>
      </w:r>
      <w:r w:rsidR="00E66F75" w:rsidRPr="002C66AA">
        <w:rPr>
          <w:rFonts w:ascii="Times New Roman" w:eastAsia="Times New Roman" w:hAnsi="Times New Roman" w:cs="Times New Roman"/>
          <w:color w:val="auto"/>
        </w:rPr>
        <w:t>(888) 387-3761 ext. 710</w:t>
      </w:r>
      <w:r w:rsidRPr="002C66AA">
        <w:rPr>
          <w:rFonts w:ascii="Times New Roman" w:eastAsia="Times New Roman" w:hAnsi="Times New Roman" w:cs="Times New Roman"/>
          <w:color w:val="auto"/>
        </w:rPr>
        <w:t xml:space="preserve">. </w:t>
      </w:r>
    </w:p>
    <w:p w14:paraId="38E4B32E" w14:textId="77777777" w:rsidR="005B7977" w:rsidRPr="002C66AA" w:rsidRDefault="005B7977" w:rsidP="006E67CE">
      <w:pPr>
        <w:pStyle w:val="Normal1"/>
        <w:jc w:val="both"/>
        <w:rPr>
          <w:rFonts w:ascii="Times New Roman" w:eastAsia="Times New Roman" w:hAnsi="Times New Roman" w:cs="Times New Roman"/>
          <w:color w:val="auto"/>
        </w:rPr>
      </w:pPr>
    </w:p>
    <w:p w14:paraId="38BABD62" w14:textId="77777777" w:rsidR="005B7977" w:rsidRPr="002C66AA" w:rsidRDefault="000137DE" w:rsidP="006E67CE">
      <w:pPr>
        <w:pStyle w:val="Normal1"/>
        <w:jc w:val="both"/>
        <w:rPr>
          <w:rFonts w:ascii="Times New Roman" w:eastAsia="Times New Roman" w:hAnsi="Times New Roman" w:cs="Times New Roman"/>
          <w:color w:val="auto"/>
        </w:rPr>
      </w:pPr>
      <w:r w:rsidRPr="002C66AA">
        <w:rPr>
          <w:rFonts w:ascii="Times New Roman" w:eastAsia="Times New Roman" w:hAnsi="Times New Roman" w:cs="Times New Roman"/>
          <w:color w:val="auto"/>
        </w:rPr>
        <w:t xml:space="preserve">On behalf of the Board, </w:t>
      </w:r>
    </w:p>
    <w:p w14:paraId="6F0031FD" w14:textId="77777777" w:rsidR="005B7977" w:rsidRPr="002C66AA" w:rsidRDefault="005B7977" w:rsidP="006E67CE">
      <w:pPr>
        <w:pStyle w:val="Normal1"/>
        <w:jc w:val="both"/>
        <w:rPr>
          <w:rFonts w:ascii="Times New Roman" w:eastAsia="Times New Roman" w:hAnsi="Times New Roman" w:cs="Times New Roman"/>
          <w:color w:val="auto"/>
        </w:rPr>
      </w:pPr>
    </w:p>
    <w:p w14:paraId="758AAB7F" w14:textId="6E2452A8" w:rsidR="005B7977" w:rsidRPr="002C66AA" w:rsidRDefault="000137DE" w:rsidP="006E67CE">
      <w:pPr>
        <w:pStyle w:val="Normal1"/>
        <w:jc w:val="both"/>
        <w:rPr>
          <w:rFonts w:ascii="Times New Roman" w:eastAsia="Times New Roman" w:hAnsi="Times New Roman" w:cs="Times New Roman"/>
          <w:color w:val="auto"/>
        </w:rPr>
      </w:pPr>
      <w:r w:rsidRPr="002C66AA">
        <w:rPr>
          <w:rFonts w:ascii="Times New Roman" w:eastAsia="Times New Roman" w:hAnsi="Times New Roman" w:cs="Times New Roman"/>
          <w:b/>
          <w:color w:val="auto"/>
        </w:rPr>
        <w:t>Future Farm</w:t>
      </w:r>
      <w:r w:rsidRPr="002C66AA">
        <w:rPr>
          <w:rFonts w:ascii="Times New Roman" w:eastAsia="Times New Roman" w:hAnsi="Times New Roman" w:cs="Times New Roman"/>
          <w:color w:val="auto"/>
        </w:rPr>
        <w:t xml:space="preserve"> </w:t>
      </w:r>
      <w:r w:rsidRPr="002C66AA">
        <w:rPr>
          <w:rFonts w:ascii="Times New Roman" w:eastAsia="Times New Roman" w:hAnsi="Times New Roman" w:cs="Times New Roman"/>
          <w:b/>
          <w:color w:val="auto"/>
        </w:rPr>
        <w:t>Technologies Inc.</w:t>
      </w:r>
      <w:r w:rsidRPr="002C66AA">
        <w:rPr>
          <w:rFonts w:ascii="Times New Roman" w:eastAsia="Times New Roman" w:hAnsi="Times New Roman" w:cs="Times New Roman"/>
          <w:color w:val="auto"/>
        </w:rPr>
        <w:t xml:space="preserve"> </w:t>
      </w:r>
    </w:p>
    <w:p w14:paraId="0283E28F" w14:textId="77777777" w:rsidR="006E67CE" w:rsidRPr="002C66AA" w:rsidRDefault="006E67CE" w:rsidP="006E67CE">
      <w:pPr>
        <w:pStyle w:val="Normal1"/>
        <w:jc w:val="both"/>
        <w:rPr>
          <w:rFonts w:ascii="Times New Roman" w:eastAsia="Times New Roman" w:hAnsi="Times New Roman" w:cs="Times New Roman"/>
          <w:color w:val="auto"/>
        </w:rPr>
      </w:pPr>
    </w:p>
    <w:p w14:paraId="63E21940" w14:textId="56AB4C08" w:rsidR="005B7977" w:rsidRPr="002C66AA" w:rsidRDefault="000137DE" w:rsidP="006E67CE">
      <w:pPr>
        <w:pStyle w:val="Normal1"/>
        <w:jc w:val="both"/>
        <w:rPr>
          <w:rFonts w:ascii="Times New Roman" w:eastAsia="Times New Roman" w:hAnsi="Times New Roman" w:cs="Times New Roman"/>
          <w:color w:val="auto"/>
        </w:rPr>
      </w:pPr>
      <w:r w:rsidRPr="002C66AA">
        <w:rPr>
          <w:rFonts w:ascii="Times New Roman" w:eastAsia="Times New Roman" w:hAnsi="Times New Roman" w:cs="Times New Roman"/>
          <w:color w:val="auto"/>
        </w:rPr>
        <w:t xml:space="preserve">William Gildea, </w:t>
      </w:r>
      <w:r w:rsidR="00EF4967" w:rsidRPr="002C66AA">
        <w:rPr>
          <w:rFonts w:ascii="Times New Roman" w:eastAsia="Times New Roman" w:hAnsi="Times New Roman" w:cs="Times New Roman"/>
          <w:color w:val="auto"/>
        </w:rPr>
        <w:t>CEO</w:t>
      </w:r>
    </w:p>
    <w:p w14:paraId="7AD5AD08" w14:textId="77777777" w:rsidR="006E67CE" w:rsidRPr="002C66AA" w:rsidRDefault="006E67CE" w:rsidP="006E67CE">
      <w:pPr>
        <w:pStyle w:val="Normal1"/>
        <w:jc w:val="both"/>
        <w:rPr>
          <w:rFonts w:ascii="Times New Roman" w:eastAsia="Times New Roman" w:hAnsi="Times New Roman" w:cs="Times New Roman"/>
          <w:color w:val="auto"/>
        </w:rPr>
      </w:pPr>
    </w:p>
    <w:p w14:paraId="4677BE3B" w14:textId="77777777" w:rsidR="001D30E0" w:rsidRPr="002C66AA" w:rsidRDefault="001D30E0" w:rsidP="001D30E0">
      <w:pPr>
        <w:jc w:val="both"/>
        <w:rPr>
          <w:rFonts w:ascii="Times New Roman" w:hAnsi="Times New Roman" w:cs="Times New Roman"/>
          <w:b/>
          <w:color w:val="auto"/>
        </w:rPr>
      </w:pPr>
      <w:r w:rsidRPr="002C66AA">
        <w:rPr>
          <w:rFonts w:ascii="Times New Roman" w:hAnsi="Times New Roman" w:cs="Times New Roman"/>
          <w:b/>
          <w:color w:val="auto"/>
        </w:rPr>
        <w:t xml:space="preserve">About Future Farm Technologies Inc. </w:t>
      </w:r>
    </w:p>
    <w:p w14:paraId="7AC9B0E7" w14:textId="77777777" w:rsidR="001D30E0" w:rsidRPr="002C66AA" w:rsidRDefault="001D30E0" w:rsidP="001D30E0">
      <w:pPr>
        <w:jc w:val="both"/>
        <w:rPr>
          <w:rFonts w:ascii="Times New Roman" w:hAnsi="Times New Roman" w:cs="Times New Roman"/>
          <w:b/>
          <w:color w:val="auto"/>
        </w:rPr>
      </w:pPr>
    </w:p>
    <w:p w14:paraId="6FC72474" w14:textId="77777777" w:rsidR="001A3832" w:rsidRPr="002C66AA" w:rsidRDefault="001A3832" w:rsidP="001A3832">
      <w:pPr>
        <w:jc w:val="both"/>
        <w:rPr>
          <w:rFonts w:ascii="Times New Roman" w:hAnsi="Times New Roman" w:cs="Times New Roman"/>
          <w:color w:val="auto"/>
        </w:rPr>
      </w:pPr>
      <w:r w:rsidRPr="002C66AA">
        <w:rPr>
          <w:rFonts w:ascii="Times New Roman" w:hAnsi="Times New Roman" w:cs="Times New Roman"/>
          <w:color w:val="auto"/>
        </w:rPr>
        <w:t>Future Farm Technologies is a diversified Canadian company focused on the emerging cannabis market with holdings throughout North America including California, Massachusetts, Florida, Maine, Puerto Rico and Newfoundland. Future Farm is operating or developing cultivation, processing, retail and technology/breeding innovation businesses in both the marijuana and hemp-for-wellness segments of the cannabis market. The Company also has significant experience in sustainably growing organic produce indoors and is developing opportunities in that market. The deep operational, financial and regulatory expertise of Future Farm’s outstanding management team put it in a strong position to grow its existing businesses and through acquisitions and joint ventures.</w:t>
      </w:r>
    </w:p>
    <w:p w14:paraId="285CF835" w14:textId="77777777" w:rsidR="001D30E0" w:rsidRPr="002C66AA" w:rsidRDefault="001D30E0" w:rsidP="001D30E0">
      <w:pPr>
        <w:jc w:val="both"/>
        <w:rPr>
          <w:rFonts w:ascii="Times New Roman" w:hAnsi="Times New Roman" w:cs="Times New Roman"/>
          <w:color w:val="auto"/>
        </w:rPr>
      </w:pPr>
    </w:p>
    <w:p w14:paraId="11AABE9B" w14:textId="77777777" w:rsidR="001D30E0" w:rsidRPr="002C66AA" w:rsidRDefault="001D30E0" w:rsidP="001D30E0">
      <w:pPr>
        <w:jc w:val="center"/>
        <w:rPr>
          <w:rFonts w:ascii="Times New Roman" w:hAnsi="Times New Roman" w:cs="Times New Roman"/>
          <w:color w:val="auto"/>
        </w:rPr>
      </w:pPr>
      <w:r w:rsidRPr="002C66AA">
        <w:rPr>
          <w:rFonts w:ascii="Times New Roman" w:hAnsi="Times New Roman" w:cs="Times New Roman"/>
          <w:color w:val="auto"/>
        </w:rPr>
        <w:t>###</w:t>
      </w:r>
    </w:p>
    <w:p w14:paraId="5E5F005F" w14:textId="77777777" w:rsidR="001D30E0" w:rsidRPr="002C66AA" w:rsidRDefault="001D30E0" w:rsidP="001D30E0">
      <w:pPr>
        <w:jc w:val="both"/>
        <w:rPr>
          <w:rFonts w:ascii="Times New Roman" w:hAnsi="Times New Roman" w:cs="Times New Roman"/>
          <w:color w:val="auto"/>
        </w:rPr>
      </w:pPr>
    </w:p>
    <w:p w14:paraId="7D9E21F6" w14:textId="77777777" w:rsidR="001D30E0" w:rsidRPr="002C66AA" w:rsidRDefault="001D30E0" w:rsidP="001D30E0">
      <w:pPr>
        <w:jc w:val="both"/>
        <w:rPr>
          <w:rFonts w:ascii="Times New Roman" w:hAnsi="Times New Roman" w:cs="Times New Roman"/>
          <w:i/>
          <w:color w:val="auto"/>
        </w:rPr>
      </w:pPr>
      <w:r w:rsidRPr="002C66AA">
        <w:rPr>
          <w:rFonts w:ascii="Times New Roman" w:hAnsi="Times New Roman" w:cs="Times New Roman"/>
          <w:i/>
          <w:color w:val="auto"/>
        </w:rPr>
        <w:t xml:space="preserve">Neither the Canadian Securities Exchange nor its Market Regulator (as that term is defined in the policies of the Canadian Securities Exchange) accepts responsibility for the adequacy or accuracy of this release. The Canadian Securities Exchange has not in any way passed upon the merits of the proposed transaction and has neither approved nor disapproved the contents of this press release. </w:t>
      </w:r>
    </w:p>
    <w:p w14:paraId="3689D853" w14:textId="77777777" w:rsidR="001D30E0" w:rsidRPr="002C66AA" w:rsidRDefault="001D30E0" w:rsidP="001D30E0">
      <w:pPr>
        <w:jc w:val="both"/>
        <w:rPr>
          <w:rFonts w:ascii="Times New Roman" w:hAnsi="Times New Roman" w:cs="Times New Roman"/>
          <w:i/>
          <w:color w:val="auto"/>
        </w:rPr>
      </w:pPr>
    </w:p>
    <w:p w14:paraId="613CA8AA" w14:textId="77777777" w:rsidR="001D30E0" w:rsidRPr="002C66AA" w:rsidRDefault="001D30E0" w:rsidP="001D30E0">
      <w:pPr>
        <w:jc w:val="both"/>
        <w:rPr>
          <w:rFonts w:ascii="Times New Roman" w:hAnsi="Times New Roman" w:cs="Times New Roman"/>
          <w:i/>
          <w:color w:val="auto"/>
        </w:rPr>
      </w:pPr>
      <w:r w:rsidRPr="002C66AA">
        <w:rPr>
          <w:rFonts w:ascii="Times New Roman" w:hAnsi="Times New Roman" w:cs="Times New Roman"/>
          <w:i/>
          <w:color w:val="auto"/>
        </w:rPr>
        <w:t>This news release may include forward-looking statements that are subject to risks and uncertainties. All statements within, other than statements of historical fact, are to be considered forward looking.  Although the Company believes the expectations expressed in such forward-looking statements are based on reasonable assumptions, such statements are not guarantees of future performance and actual results or developments may differ materially from those in forward-looking statements.  Factors that could cause actual results to differ materially from those in forward-looking statements include market prices, exploitation and exploration successes, continued availability of capital and financing, and general economic, market or business conditions.  There can be no assurances that such statements will prove accurate and, therefore, readers are advised to rely on their own evaluation of such uncertainties.  We do not assume any obligation to update any forward-looking statements except as required under the applicable laws.</w:t>
      </w:r>
    </w:p>
    <w:p w14:paraId="358185D3" w14:textId="48497E1B" w:rsidR="005B7977" w:rsidRPr="002C66AA" w:rsidRDefault="005B7977" w:rsidP="001D30E0">
      <w:pPr>
        <w:pStyle w:val="Normal1"/>
        <w:jc w:val="both"/>
        <w:rPr>
          <w:rFonts w:ascii="Times New Roman" w:eastAsia="Times New Roman" w:hAnsi="Times New Roman" w:cs="Times New Roman"/>
          <w:color w:val="auto"/>
        </w:rPr>
      </w:pPr>
    </w:p>
    <w:sectPr w:rsidR="005B7977" w:rsidRPr="002C66AA" w:rsidSect="0047285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G Times">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977"/>
    <w:rsid w:val="000137DE"/>
    <w:rsid w:val="00040CD6"/>
    <w:rsid w:val="000767B8"/>
    <w:rsid w:val="000D20D3"/>
    <w:rsid w:val="001047F0"/>
    <w:rsid w:val="00106C77"/>
    <w:rsid w:val="00116181"/>
    <w:rsid w:val="001737F0"/>
    <w:rsid w:val="00176422"/>
    <w:rsid w:val="001A3832"/>
    <w:rsid w:val="001B1DC9"/>
    <w:rsid w:val="001B2EDF"/>
    <w:rsid w:val="001D30E0"/>
    <w:rsid w:val="001F0349"/>
    <w:rsid w:val="00207C8B"/>
    <w:rsid w:val="002121CD"/>
    <w:rsid w:val="0027308A"/>
    <w:rsid w:val="002737D4"/>
    <w:rsid w:val="00294249"/>
    <w:rsid w:val="002C66AA"/>
    <w:rsid w:val="003042F6"/>
    <w:rsid w:val="00323ABF"/>
    <w:rsid w:val="003310D3"/>
    <w:rsid w:val="00385E48"/>
    <w:rsid w:val="003B5AEA"/>
    <w:rsid w:val="003B5DA1"/>
    <w:rsid w:val="003C323A"/>
    <w:rsid w:val="003D4FD4"/>
    <w:rsid w:val="003D56D0"/>
    <w:rsid w:val="003E7CAF"/>
    <w:rsid w:val="003F02D0"/>
    <w:rsid w:val="0041252B"/>
    <w:rsid w:val="0041631F"/>
    <w:rsid w:val="00425600"/>
    <w:rsid w:val="00441B67"/>
    <w:rsid w:val="00462F6F"/>
    <w:rsid w:val="00472857"/>
    <w:rsid w:val="004769CD"/>
    <w:rsid w:val="004829D4"/>
    <w:rsid w:val="004B657E"/>
    <w:rsid w:val="004C10E1"/>
    <w:rsid w:val="004C17C1"/>
    <w:rsid w:val="004C1FA9"/>
    <w:rsid w:val="004C6038"/>
    <w:rsid w:val="004E5287"/>
    <w:rsid w:val="005329CE"/>
    <w:rsid w:val="00553BD7"/>
    <w:rsid w:val="005906E5"/>
    <w:rsid w:val="005A59BC"/>
    <w:rsid w:val="005B7977"/>
    <w:rsid w:val="005C0CAA"/>
    <w:rsid w:val="005E11BC"/>
    <w:rsid w:val="005E22FF"/>
    <w:rsid w:val="005E60DC"/>
    <w:rsid w:val="006101DA"/>
    <w:rsid w:val="00611EA4"/>
    <w:rsid w:val="006146C5"/>
    <w:rsid w:val="00651162"/>
    <w:rsid w:val="00665142"/>
    <w:rsid w:val="006672AB"/>
    <w:rsid w:val="006A1E51"/>
    <w:rsid w:val="006A2412"/>
    <w:rsid w:val="006A2E91"/>
    <w:rsid w:val="006A5BFD"/>
    <w:rsid w:val="006B5508"/>
    <w:rsid w:val="006C03B3"/>
    <w:rsid w:val="006E67CE"/>
    <w:rsid w:val="006F3C29"/>
    <w:rsid w:val="00730498"/>
    <w:rsid w:val="007506B3"/>
    <w:rsid w:val="00765288"/>
    <w:rsid w:val="00775DD3"/>
    <w:rsid w:val="00817BF7"/>
    <w:rsid w:val="00832B5E"/>
    <w:rsid w:val="00881E0C"/>
    <w:rsid w:val="0089060F"/>
    <w:rsid w:val="008A179F"/>
    <w:rsid w:val="008B1C3F"/>
    <w:rsid w:val="00933ADC"/>
    <w:rsid w:val="00973C34"/>
    <w:rsid w:val="00A42B21"/>
    <w:rsid w:val="00A57D43"/>
    <w:rsid w:val="00A646F2"/>
    <w:rsid w:val="00A82D36"/>
    <w:rsid w:val="00A9347C"/>
    <w:rsid w:val="00AC45FE"/>
    <w:rsid w:val="00AD7699"/>
    <w:rsid w:val="00AE7054"/>
    <w:rsid w:val="00AF5E70"/>
    <w:rsid w:val="00AF71C3"/>
    <w:rsid w:val="00B1381D"/>
    <w:rsid w:val="00B21B30"/>
    <w:rsid w:val="00B50098"/>
    <w:rsid w:val="00B63689"/>
    <w:rsid w:val="00B849AF"/>
    <w:rsid w:val="00B85D7F"/>
    <w:rsid w:val="00B95F64"/>
    <w:rsid w:val="00BA28B8"/>
    <w:rsid w:val="00BC0A64"/>
    <w:rsid w:val="00BC10A9"/>
    <w:rsid w:val="00BC4EA4"/>
    <w:rsid w:val="00C30C4F"/>
    <w:rsid w:val="00C5166B"/>
    <w:rsid w:val="00C602D3"/>
    <w:rsid w:val="00C81673"/>
    <w:rsid w:val="00C85B19"/>
    <w:rsid w:val="00CE7C4A"/>
    <w:rsid w:val="00D057D0"/>
    <w:rsid w:val="00D20A1D"/>
    <w:rsid w:val="00D549A1"/>
    <w:rsid w:val="00D91AFE"/>
    <w:rsid w:val="00DE40B5"/>
    <w:rsid w:val="00DE491C"/>
    <w:rsid w:val="00E05819"/>
    <w:rsid w:val="00E07B6A"/>
    <w:rsid w:val="00E35AD6"/>
    <w:rsid w:val="00E405FC"/>
    <w:rsid w:val="00E53755"/>
    <w:rsid w:val="00E54E00"/>
    <w:rsid w:val="00E66F75"/>
    <w:rsid w:val="00E77C1E"/>
    <w:rsid w:val="00E954AD"/>
    <w:rsid w:val="00EB4625"/>
    <w:rsid w:val="00ED19CA"/>
    <w:rsid w:val="00EE3A5C"/>
    <w:rsid w:val="00EF4967"/>
    <w:rsid w:val="00EF4BA9"/>
    <w:rsid w:val="00EF641B"/>
    <w:rsid w:val="00F056F4"/>
    <w:rsid w:val="00F2361D"/>
    <w:rsid w:val="00F60158"/>
    <w:rsid w:val="00FD6DB4"/>
    <w:rsid w:val="00FE62BD"/>
    <w:rsid w:val="00FE6F7F"/>
    <w:rsid w:val="00FF4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0FF1E9"/>
  <w15:docId w15:val="{B757F682-0CE4-41FF-9966-EDC44A53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137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37DE"/>
    <w:rPr>
      <w:rFonts w:ascii="Lucida Grande" w:hAnsi="Lucida Grande" w:cs="Lucida Grande"/>
      <w:sz w:val="18"/>
      <w:szCs w:val="18"/>
    </w:rPr>
  </w:style>
  <w:style w:type="paragraph" w:styleId="BodyTextIndent">
    <w:name w:val="Body Text Indent"/>
    <w:basedOn w:val="Normal"/>
    <w:link w:val="BodyTextIndentChar"/>
    <w:rsid w:val="0027308A"/>
    <w:pPr>
      <w:pBdr>
        <w:top w:val="none" w:sz="0" w:space="0" w:color="auto"/>
        <w:left w:val="none" w:sz="0" w:space="0" w:color="auto"/>
        <w:bottom w:val="none" w:sz="0" w:space="0" w:color="auto"/>
        <w:right w:val="none" w:sz="0" w:space="0" w:color="auto"/>
        <w:between w:val="none" w:sz="0" w:space="0" w:color="auto"/>
      </w:pBdr>
      <w:tabs>
        <w:tab w:val="num" w:pos="0"/>
      </w:tabs>
      <w:ind w:firstLine="720"/>
      <w:jc w:val="both"/>
    </w:pPr>
    <w:rPr>
      <w:rFonts w:ascii="CG Times" w:eastAsia="Times New Roman" w:hAnsi="CG Times" w:cs="Times New Roman"/>
      <w:color w:val="auto"/>
      <w:szCs w:val="20"/>
    </w:rPr>
  </w:style>
  <w:style w:type="character" w:customStyle="1" w:styleId="BodyTextIndentChar">
    <w:name w:val="Body Text Indent Char"/>
    <w:basedOn w:val="DefaultParagraphFont"/>
    <w:link w:val="BodyTextIndent"/>
    <w:rsid w:val="0027308A"/>
    <w:rPr>
      <w:rFonts w:ascii="CG Times" w:eastAsia="Times New Roman" w:hAnsi="CG Times" w:cs="Times New Roman"/>
      <w:color w:val="auto"/>
      <w:szCs w:val="20"/>
    </w:rPr>
  </w:style>
  <w:style w:type="paragraph" w:styleId="ListParagraph">
    <w:name w:val="List Paragraph"/>
    <w:basedOn w:val="Normal"/>
    <w:uiPriority w:val="34"/>
    <w:qFormat/>
    <w:rsid w:val="0027308A"/>
    <w:pPr>
      <w:pBdr>
        <w:top w:val="none" w:sz="0" w:space="0" w:color="auto"/>
        <w:left w:val="none" w:sz="0" w:space="0" w:color="auto"/>
        <w:bottom w:val="none" w:sz="0" w:space="0" w:color="auto"/>
        <w:right w:val="none" w:sz="0" w:space="0" w:color="auto"/>
        <w:between w:val="none" w:sz="0" w:space="0" w:color="auto"/>
      </w:pBdr>
      <w:ind w:left="720"/>
      <w:contextualSpacing/>
    </w:pPr>
    <w:rPr>
      <w:rFonts w:ascii="CG Times" w:eastAsia="Times New Roman" w:hAnsi="CG Times" w:cs="Times New Roman"/>
      <w:color w:val="auto"/>
      <w:szCs w:val="20"/>
    </w:rPr>
  </w:style>
  <w:style w:type="paragraph" w:styleId="NormalWeb">
    <w:name w:val="Normal (Web)"/>
    <w:basedOn w:val="Normal"/>
    <w:uiPriority w:val="99"/>
    <w:unhideWhenUsed/>
    <w:rsid w:val="00E77C1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color w:val="auto"/>
    </w:rPr>
  </w:style>
  <w:style w:type="character" w:customStyle="1" w:styleId="apple-converted-space">
    <w:name w:val="apple-converted-space"/>
    <w:basedOn w:val="DefaultParagraphFont"/>
    <w:rsid w:val="00E77C1E"/>
  </w:style>
  <w:style w:type="character" w:styleId="Hyperlink">
    <w:name w:val="Hyperlink"/>
    <w:basedOn w:val="DefaultParagraphFont"/>
    <w:uiPriority w:val="99"/>
    <w:unhideWhenUsed/>
    <w:rsid w:val="00E77C1E"/>
    <w:rPr>
      <w:color w:val="0000FF"/>
      <w:u w:val="single"/>
    </w:rPr>
  </w:style>
  <w:style w:type="character" w:styleId="FollowedHyperlink">
    <w:name w:val="FollowedHyperlink"/>
    <w:basedOn w:val="DefaultParagraphFont"/>
    <w:uiPriority w:val="99"/>
    <w:semiHidden/>
    <w:unhideWhenUsed/>
    <w:rsid w:val="00E77C1E"/>
    <w:rPr>
      <w:color w:val="800080" w:themeColor="followedHyperlink"/>
      <w:u w:val="single"/>
    </w:rPr>
  </w:style>
  <w:style w:type="paragraph" w:customStyle="1" w:styleId="m2324375000464826210m-15206100976857827m-7612293587103079761gmail-msolistparagraph">
    <w:name w:val="m_2324375000464826210m_-15206100976857827m_-7612293587103079761gmail-msolistparagraph"/>
    <w:basedOn w:val="Normal"/>
    <w:rsid w:val="004B657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color w:val="auto"/>
    </w:rPr>
  </w:style>
  <w:style w:type="paragraph" w:customStyle="1" w:styleId="m875321131396651990gmail-msonospacing">
    <w:name w:val="m_875321131396651990gmail-msonospacing"/>
    <w:basedOn w:val="Normal"/>
    <w:rsid w:val="004C603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color w:val="auto"/>
    </w:rPr>
  </w:style>
  <w:style w:type="paragraph" w:styleId="NoSpacing">
    <w:name w:val="No Spacing"/>
    <w:uiPriority w:val="1"/>
    <w:qFormat/>
    <w:rsid w:val="00EF641B"/>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style>
  <w:style w:type="character" w:customStyle="1" w:styleId="textexposedshow">
    <w:name w:val="text_exposed_show"/>
    <w:basedOn w:val="DefaultParagraphFont"/>
    <w:rsid w:val="000767B8"/>
  </w:style>
  <w:style w:type="paragraph" w:styleId="CommentSubject">
    <w:name w:val="annotation subject"/>
    <w:basedOn w:val="CommentText"/>
    <w:next w:val="CommentText"/>
    <w:link w:val="CommentSubjectChar"/>
    <w:uiPriority w:val="99"/>
    <w:semiHidden/>
    <w:unhideWhenUsed/>
    <w:rsid w:val="006B5508"/>
    <w:rPr>
      <w:b/>
      <w:bCs/>
      <w:sz w:val="20"/>
      <w:szCs w:val="20"/>
    </w:rPr>
  </w:style>
  <w:style w:type="character" w:customStyle="1" w:styleId="CommentSubjectChar">
    <w:name w:val="Comment Subject Char"/>
    <w:basedOn w:val="CommentTextChar"/>
    <w:link w:val="CommentSubject"/>
    <w:uiPriority w:val="99"/>
    <w:semiHidden/>
    <w:rsid w:val="006B5508"/>
    <w:rPr>
      <w:b/>
      <w:bCs/>
      <w:sz w:val="20"/>
      <w:szCs w:val="20"/>
    </w:rPr>
  </w:style>
  <w:style w:type="character" w:customStyle="1" w:styleId="aqj">
    <w:name w:val="aqj"/>
    <w:basedOn w:val="DefaultParagraphFont"/>
    <w:rsid w:val="006B5508"/>
  </w:style>
  <w:style w:type="character" w:styleId="UnresolvedMention">
    <w:name w:val="Unresolved Mention"/>
    <w:basedOn w:val="DefaultParagraphFont"/>
    <w:uiPriority w:val="99"/>
    <w:semiHidden/>
    <w:unhideWhenUsed/>
    <w:rsid w:val="003D5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569733">
      <w:bodyDiv w:val="1"/>
      <w:marLeft w:val="0"/>
      <w:marRight w:val="0"/>
      <w:marTop w:val="0"/>
      <w:marBottom w:val="0"/>
      <w:divBdr>
        <w:top w:val="none" w:sz="0" w:space="0" w:color="auto"/>
        <w:left w:val="none" w:sz="0" w:space="0" w:color="auto"/>
        <w:bottom w:val="none" w:sz="0" w:space="0" w:color="auto"/>
        <w:right w:val="none" w:sz="0" w:space="0" w:color="auto"/>
      </w:divBdr>
    </w:div>
    <w:div w:id="1075587321">
      <w:bodyDiv w:val="1"/>
      <w:marLeft w:val="0"/>
      <w:marRight w:val="0"/>
      <w:marTop w:val="0"/>
      <w:marBottom w:val="0"/>
      <w:divBdr>
        <w:top w:val="none" w:sz="0" w:space="0" w:color="auto"/>
        <w:left w:val="none" w:sz="0" w:space="0" w:color="auto"/>
        <w:bottom w:val="none" w:sz="0" w:space="0" w:color="auto"/>
        <w:right w:val="none" w:sz="0" w:space="0" w:color="auto"/>
      </w:divBdr>
      <w:divsChild>
        <w:div w:id="822700990">
          <w:marLeft w:val="0"/>
          <w:marRight w:val="0"/>
          <w:marTop w:val="0"/>
          <w:marBottom w:val="0"/>
          <w:divBdr>
            <w:top w:val="none" w:sz="0" w:space="0" w:color="auto"/>
            <w:left w:val="none" w:sz="0" w:space="0" w:color="auto"/>
            <w:bottom w:val="none" w:sz="0" w:space="0" w:color="auto"/>
            <w:right w:val="none" w:sz="0" w:space="0" w:color="auto"/>
          </w:divBdr>
        </w:div>
        <w:div w:id="1880046827">
          <w:marLeft w:val="0"/>
          <w:marRight w:val="0"/>
          <w:marTop w:val="0"/>
          <w:marBottom w:val="0"/>
          <w:divBdr>
            <w:top w:val="none" w:sz="0" w:space="0" w:color="auto"/>
            <w:left w:val="none" w:sz="0" w:space="0" w:color="auto"/>
            <w:bottom w:val="none" w:sz="0" w:space="0" w:color="auto"/>
            <w:right w:val="none" w:sz="0" w:space="0" w:color="auto"/>
          </w:divBdr>
        </w:div>
        <w:div w:id="1095782511">
          <w:marLeft w:val="0"/>
          <w:marRight w:val="0"/>
          <w:marTop w:val="0"/>
          <w:marBottom w:val="0"/>
          <w:divBdr>
            <w:top w:val="none" w:sz="0" w:space="0" w:color="auto"/>
            <w:left w:val="none" w:sz="0" w:space="0" w:color="auto"/>
            <w:bottom w:val="none" w:sz="0" w:space="0" w:color="auto"/>
            <w:right w:val="none" w:sz="0" w:space="0" w:color="auto"/>
          </w:divBdr>
          <w:divsChild>
            <w:div w:id="390158992">
              <w:marLeft w:val="0"/>
              <w:marRight w:val="0"/>
              <w:marTop w:val="0"/>
              <w:marBottom w:val="0"/>
              <w:divBdr>
                <w:top w:val="none" w:sz="0" w:space="0" w:color="auto"/>
                <w:left w:val="none" w:sz="0" w:space="0" w:color="auto"/>
                <w:bottom w:val="none" w:sz="0" w:space="0" w:color="auto"/>
                <w:right w:val="none" w:sz="0" w:space="0" w:color="auto"/>
              </w:divBdr>
            </w:div>
            <w:div w:id="16747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5765">
      <w:bodyDiv w:val="1"/>
      <w:marLeft w:val="0"/>
      <w:marRight w:val="0"/>
      <w:marTop w:val="0"/>
      <w:marBottom w:val="0"/>
      <w:divBdr>
        <w:top w:val="none" w:sz="0" w:space="0" w:color="auto"/>
        <w:left w:val="none" w:sz="0" w:space="0" w:color="auto"/>
        <w:bottom w:val="none" w:sz="0" w:space="0" w:color="auto"/>
        <w:right w:val="none" w:sz="0" w:space="0" w:color="auto"/>
      </w:divBdr>
    </w:div>
    <w:div w:id="1332872021">
      <w:bodyDiv w:val="1"/>
      <w:marLeft w:val="0"/>
      <w:marRight w:val="0"/>
      <w:marTop w:val="0"/>
      <w:marBottom w:val="0"/>
      <w:divBdr>
        <w:top w:val="none" w:sz="0" w:space="0" w:color="auto"/>
        <w:left w:val="none" w:sz="0" w:space="0" w:color="auto"/>
        <w:bottom w:val="none" w:sz="0" w:space="0" w:color="auto"/>
        <w:right w:val="none" w:sz="0" w:space="0" w:color="auto"/>
      </w:divBdr>
      <w:divsChild>
        <w:div w:id="441388431">
          <w:marLeft w:val="0"/>
          <w:marRight w:val="0"/>
          <w:marTop w:val="0"/>
          <w:marBottom w:val="0"/>
          <w:divBdr>
            <w:top w:val="none" w:sz="0" w:space="0" w:color="auto"/>
            <w:left w:val="none" w:sz="0" w:space="0" w:color="auto"/>
            <w:bottom w:val="none" w:sz="0" w:space="0" w:color="auto"/>
            <w:right w:val="none" w:sz="0" w:space="0" w:color="auto"/>
          </w:divBdr>
        </w:div>
        <w:div w:id="737705247">
          <w:marLeft w:val="0"/>
          <w:marRight w:val="0"/>
          <w:marTop w:val="0"/>
          <w:marBottom w:val="0"/>
          <w:divBdr>
            <w:top w:val="none" w:sz="0" w:space="0" w:color="auto"/>
            <w:left w:val="none" w:sz="0" w:space="0" w:color="auto"/>
            <w:bottom w:val="none" w:sz="0" w:space="0" w:color="auto"/>
            <w:right w:val="none" w:sz="0" w:space="0" w:color="auto"/>
          </w:divBdr>
        </w:div>
        <w:div w:id="1080979773">
          <w:marLeft w:val="0"/>
          <w:marRight w:val="0"/>
          <w:marTop w:val="0"/>
          <w:marBottom w:val="0"/>
          <w:divBdr>
            <w:top w:val="none" w:sz="0" w:space="0" w:color="auto"/>
            <w:left w:val="none" w:sz="0" w:space="0" w:color="auto"/>
            <w:bottom w:val="none" w:sz="0" w:space="0" w:color="auto"/>
            <w:right w:val="none" w:sz="0" w:space="0" w:color="auto"/>
          </w:divBdr>
        </w:div>
        <w:div w:id="1434865289">
          <w:marLeft w:val="0"/>
          <w:marRight w:val="0"/>
          <w:marTop w:val="0"/>
          <w:marBottom w:val="0"/>
          <w:divBdr>
            <w:top w:val="none" w:sz="0" w:space="0" w:color="auto"/>
            <w:left w:val="none" w:sz="0" w:space="0" w:color="auto"/>
            <w:bottom w:val="none" w:sz="0" w:space="0" w:color="auto"/>
            <w:right w:val="none" w:sz="0" w:space="0" w:color="auto"/>
          </w:divBdr>
        </w:div>
        <w:div w:id="159082562">
          <w:marLeft w:val="0"/>
          <w:marRight w:val="0"/>
          <w:marTop w:val="0"/>
          <w:marBottom w:val="0"/>
          <w:divBdr>
            <w:top w:val="none" w:sz="0" w:space="0" w:color="auto"/>
            <w:left w:val="none" w:sz="0" w:space="0" w:color="auto"/>
            <w:bottom w:val="none" w:sz="0" w:space="0" w:color="auto"/>
            <w:right w:val="none" w:sz="0" w:space="0" w:color="auto"/>
          </w:divBdr>
        </w:div>
      </w:divsChild>
    </w:div>
    <w:div w:id="1608387608">
      <w:bodyDiv w:val="1"/>
      <w:marLeft w:val="0"/>
      <w:marRight w:val="0"/>
      <w:marTop w:val="0"/>
      <w:marBottom w:val="0"/>
      <w:divBdr>
        <w:top w:val="none" w:sz="0" w:space="0" w:color="auto"/>
        <w:left w:val="none" w:sz="0" w:space="0" w:color="auto"/>
        <w:bottom w:val="none" w:sz="0" w:space="0" w:color="auto"/>
        <w:right w:val="none" w:sz="0" w:space="0" w:color="auto"/>
      </w:divBdr>
    </w:div>
    <w:div w:id="1676763833">
      <w:bodyDiv w:val="1"/>
      <w:marLeft w:val="0"/>
      <w:marRight w:val="0"/>
      <w:marTop w:val="0"/>
      <w:marBottom w:val="0"/>
      <w:divBdr>
        <w:top w:val="none" w:sz="0" w:space="0" w:color="auto"/>
        <w:left w:val="none" w:sz="0" w:space="0" w:color="auto"/>
        <w:bottom w:val="none" w:sz="0" w:space="0" w:color="auto"/>
        <w:right w:val="none" w:sz="0" w:space="0" w:color="auto"/>
      </w:divBdr>
    </w:div>
    <w:div w:id="1713655012">
      <w:bodyDiv w:val="1"/>
      <w:marLeft w:val="0"/>
      <w:marRight w:val="0"/>
      <w:marTop w:val="0"/>
      <w:marBottom w:val="0"/>
      <w:divBdr>
        <w:top w:val="none" w:sz="0" w:space="0" w:color="auto"/>
        <w:left w:val="none" w:sz="0" w:space="0" w:color="auto"/>
        <w:bottom w:val="none" w:sz="0" w:space="0" w:color="auto"/>
        <w:right w:val="none" w:sz="0" w:space="0" w:color="auto"/>
      </w:divBdr>
    </w:div>
    <w:div w:id="1945648888">
      <w:bodyDiv w:val="1"/>
      <w:marLeft w:val="0"/>
      <w:marRight w:val="0"/>
      <w:marTop w:val="0"/>
      <w:marBottom w:val="0"/>
      <w:divBdr>
        <w:top w:val="none" w:sz="0" w:space="0" w:color="auto"/>
        <w:left w:val="none" w:sz="0" w:space="0" w:color="auto"/>
        <w:bottom w:val="none" w:sz="0" w:space="0" w:color="auto"/>
        <w:right w:val="none" w:sz="0" w:space="0" w:color="auto"/>
      </w:divBdr>
      <w:divsChild>
        <w:div w:id="2139756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124028">
              <w:marLeft w:val="0"/>
              <w:marRight w:val="0"/>
              <w:marTop w:val="0"/>
              <w:marBottom w:val="0"/>
              <w:divBdr>
                <w:top w:val="none" w:sz="0" w:space="0" w:color="auto"/>
                <w:left w:val="none" w:sz="0" w:space="0" w:color="auto"/>
                <w:bottom w:val="none" w:sz="0" w:space="0" w:color="auto"/>
                <w:right w:val="none" w:sz="0" w:space="0" w:color="auto"/>
              </w:divBdr>
              <w:divsChild>
                <w:div w:id="341318226">
                  <w:marLeft w:val="0"/>
                  <w:marRight w:val="0"/>
                  <w:marTop w:val="0"/>
                  <w:marBottom w:val="0"/>
                  <w:divBdr>
                    <w:top w:val="none" w:sz="0" w:space="0" w:color="auto"/>
                    <w:left w:val="none" w:sz="0" w:space="0" w:color="auto"/>
                    <w:bottom w:val="none" w:sz="0" w:space="0" w:color="auto"/>
                    <w:right w:val="none" w:sz="0" w:space="0" w:color="auto"/>
                  </w:divBdr>
                  <w:divsChild>
                    <w:div w:id="901989925">
                      <w:marLeft w:val="0"/>
                      <w:marRight w:val="0"/>
                      <w:marTop w:val="0"/>
                      <w:marBottom w:val="0"/>
                      <w:divBdr>
                        <w:top w:val="none" w:sz="0" w:space="0" w:color="auto"/>
                        <w:left w:val="none" w:sz="0" w:space="0" w:color="auto"/>
                        <w:bottom w:val="none" w:sz="0" w:space="0" w:color="auto"/>
                        <w:right w:val="none" w:sz="0" w:space="0" w:color="auto"/>
                      </w:divBdr>
                      <w:divsChild>
                        <w:div w:id="9381805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9864965">
                              <w:marLeft w:val="0"/>
                              <w:marRight w:val="0"/>
                              <w:marTop w:val="0"/>
                              <w:marBottom w:val="0"/>
                              <w:divBdr>
                                <w:top w:val="none" w:sz="0" w:space="0" w:color="auto"/>
                                <w:left w:val="none" w:sz="0" w:space="0" w:color="auto"/>
                                <w:bottom w:val="none" w:sz="0" w:space="0" w:color="auto"/>
                                <w:right w:val="none" w:sz="0" w:space="0" w:color="auto"/>
                              </w:divBdr>
                              <w:divsChild>
                                <w:div w:id="8304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ribbeanbusiness.com/puerto-rico-cannabis-industry-left-without-financial-institution-backing/" TargetMode="External"/><Relationship Id="rId3" Type="http://schemas.openxmlformats.org/officeDocument/2006/relationships/webSettings" Target="webSettings.xml"/><Relationship Id="rId7" Type="http://schemas.openxmlformats.org/officeDocument/2006/relationships/hyperlink" Target="http://salud.gov.pr/Documents/Cannabis/Establecimientos%20con%20licencia_rev_DIC_1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tuteFarmTech.com" TargetMode="External"/><Relationship Id="rId5" Type="http://schemas.openxmlformats.org/officeDocument/2006/relationships/hyperlink" Target="https://maps.google.com/?q=543+Granville+St.+Vancouver+BC%0D+V6c&amp;entry=gmail&amp;source=g" TargetMode="External"/><Relationship Id="rId10" Type="http://schemas.openxmlformats.org/officeDocument/2006/relationships/theme" Target="theme/theme1.xml"/><Relationship Id="rId4" Type="http://schemas.openxmlformats.org/officeDocument/2006/relationships/hyperlink" Target="https://maps.google.com/?q=543+Granville+St.+Vancouver+BC%0D+V6c&amp;entry=gmail&amp;source=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Shelli Barry</cp:lastModifiedBy>
  <cp:revision>4</cp:revision>
  <cp:lastPrinted>2017-12-22T17:18:00Z</cp:lastPrinted>
  <dcterms:created xsi:type="dcterms:W3CDTF">2019-03-15T19:29:00Z</dcterms:created>
  <dcterms:modified xsi:type="dcterms:W3CDTF">2019-03-15T19:34:00Z</dcterms:modified>
</cp:coreProperties>
</file>