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9B69" w14:textId="77777777" w:rsidR="007D1632" w:rsidRDefault="00862BC1">
      <w:pPr>
        <w:pStyle w:val="Title"/>
        <w:spacing w:before="0"/>
        <w:rPr>
          <w:sz w:val="28"/>
          <w:lang w:val="en-CA"/>
        </w:rPr>
      </w:pPr>
      <w:r>
        <w:rPr>
          <w:sz w:val="28"/>
          <w:lang w:val="en-CA"/>
        </w:rPr>
        <w:t>FORM 9</w:t>
      </w:r>
    </w:p>
    <w:p w14:paraId="626BD09A" w14:textId="77777777" w:rsidR="007D1632" w:rsidRDefault="00862BC1">
      <w:pPr>
        <w:pStyle w:val="Title"/>
        <w:spacing w:before="0" w:after="0"/>
        <w:rPr>
          <w:sz w:val="28"/>
          <w:u w:val="single"/>
          <w:lang w:val="en-CA"/>
        </w:rPr>
      </w:pPr>
      <w:r>
        <w:rPr>
          <w:sz w:val="28"/>
          <w:u w:val="single"/>
          <w:lang w:val="en-CA"/>
        </w:rPr>
        <w:t xml:space="preserve">NOTICE OF ISSUANCE OR PROPOSED ISSUANCE OF LISTED SECURITIES </w:t>
      </w:r>
    </w:p>
    <w:p w14:paraId="5D2E8C65" w14:textId="77777777" w:rsidR="007D1632" w:rsidRDefault="00862BC1">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14:paraId="5DCCE079" w14:textId="77777777" w:rsidR="007D1632" w:rsidRDefault="00862BC1">
      <w:pPr>
        <w:pStyle w:val="BodyText"/>
        <w:rPr>
          <w:rFonts w:ascii="Arial" w:hAnsi="Arial"/>
          <w:lang w:val="en-CA"/>
        </w:rPr>
      </w:pPr>
      <w:r>
        <w:rPr>
          <w:rFonts w:ascii="Arial" w:hAnsi="Arial"/>
          <w:lang w:val="en-CA"/>
        </w:rPr>
        <w:t xml:space="preserve">Name of Listed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firstRow="1" w:lastRow="0" w:firstColumn="1" w:lastColumn="0" w:noHBand="0" w:noVBand="1"/>
      </w:tblPr>
      <w:tblGrid>
        <w:gridCol w:w="6327"/>
        <w:gridCol w:w="3023"/>
      </w:tblGrid>
      <w:tr w:rsidR="007D1632" w14:paraId="6A08EBBF" w14:textId="77777777">
        <w:tc>
          <w:tcPr>
            <w:tcW w:w="6487" w:type="dxa"/>
          </w:tcPr>
          <w:p w14:paraId="17CC5D5F" w14:textId="77777777" w:rsidR="007D1632" w:rsidRDefault="00862BC1">
            <w:pPr>
              <w:pStyle w:val="BodyText"/>
              <w:rPr>
                <w:rFonts w:ascii="Arial" w:hAnsi="Arial"/>
                <w:lang w:val="en-CA"/>
              </w:rPr>
            </w:pPr>
            <w:r>
              <w:rPr>
                <w:rFonts w:ascii="Arial" w:hAnsi="Arial"/>
                <w:lang w:val="en-CA"/>
              </w:rPr>
              <w:t xml:space="preserve">Verano Holdings Corp. (the “Issuer”).  </w:t>
            </w:r>
          </w:p>
        </w:tc>
        <w:tc>
          <w:tcPr>
            <w:tcW w:w="3089" w:type="dxa"/>
          </w:tcPr>
          <w:p w14:paraId="1626D011" w14:textId="77777777" w:rsidR="007D1632" w:rsidRDefault="00862BC1">
            <w:pPr>
              <w:pStyle w:val="BodyText"/>
              <w:rPr>
                <w:rFonts w:ascii="Arial" w:hAnsi="Arial"/>
                <w:lang w:val="en-CA"/>
              </w:rPr>
            </w:pPr>
            <w:r>
              <w:rPr>
                <w:rFonts w:ascii="Arial" w:hAnsi="Arial"/>
                <w:lang w:val="en-CA"/>
              </w:rPr>
              <w:t>VRNO</w:t>
            </w:r>
          </w:p>
        </w:tc>
      </w:tr>
    </w:tbl>
    <w:p w14:paraId="7348FAD7" w14:textId="77777777" w:rsidR="007D1632" w:rsidRDefault="00862BC1">
      <w:pPr>
        <w:pStyle w:val="BodyText"/>
        <w:spacing w:after="240"/>
        <w:rPr>
          <w:rFonts w:ascii="Arial" w:hAnsi="Arial"/>
          <w:lang w:val="en-CA"/>
        </w:rPr>
      </w:pPr>
      <w:r>
        <w:rPr>
          <w:rFonts w:ascii="Arial" w:hAnsi="Arial"/>
          <w:lang w:val="en-CA"/>
        </w:rPr>
        <w:t xml:space="preserve">Date: February 22, 2022 </w:t>
      </w:r>
    </w:p>
    <w:p w14:paraId="51CBFEFE" w14:textId="77777777" w:rsidR="007D1632" w:rsidRDefault="00862BC1">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t>X Yes</w:t>
      </w:r>
      <w:r>
        <w:rPr>
          <w:rFonts w:ascii="Arial" w:hAnsi="Arial"/>
          <w:lang w:val="en-CA"/>
        </w:rPr>
        <w:tab/>
      </w:r>
      <w:r>
        <w:rPr>
          <w:rFonts w:ascii="Arial" w:hAnsi="Arial"/>
          <w:lang w:val="en-CA"/>
        </w:rPr>
        <w:tab/>
        <w:t xml:space="preserve"> No</w:t>
      </w:r>
      <w:r>
        <w:rPr>
          <w:rFonts w:ascii="Arial" w:hAnsi="Arial"/>
          <w:sz w:val="32"/>
          <w:lang w:val="en-CA"/>
        </w:rPr>
        <w:tab/>
      </w:r>
    </w:p>
    <w:p w14:paraId="1A023DE7" w14:textId="77777777" w:rsidR="007D1632" w:rsidRDefault="00862BC1">
      <w:pPr>
        <w:pStyle w:val="BodyText"/>
        <w:tabs>
          <w:tab w:val="left" w:pos="9180"/>
        </w:tabs>
        <w:spacing w:before="0" w:after="120"/>
        <w:rPr>
          <w:rFonts w:ascii="Arial" w:hAnsi="Arial"/>
          <w:lang w:val="en-CA"/>
        </w:rPr>
      </w:pPr>
      <w:r>
        <w:rPr>
          <w:rFonts w:ascii="Arial" w:hAnsi="Arial"/>
          <w:lang w:val="en-CA"/>
        </w:rPr>
        <w:t>If yes provide date(s) of prior Notices:  April 23, 2021, July 12, 2021 and January 7, 2022</w:t>
      </w:r>
    </w:p>
    <w:p w14:paraId="630D8269" w14:textId="77777777" w:rsidR="007D1632" w:rsidRDefault="00862BC1">
      <w:pPr>
        <w:pStyle w:val="BodyText"/>
        <w:tabs>
          <w:tab w:val="left" w:pos="9180"/>
        </w:tabs>
        <w:spacing w:before="0" w:after="120"/>
        <w:rPr>
          <w:rFonts w:ascii="Arial" w:hAnsi="Arial"/>
          <w:u w:val="single"/>
          <w:lang w:val="en-CA"/>
        </w:rPr>
      </w:pPr>
      <w:bookmarkStart w:id="0" w:name="_Hlk64643418"/>
      <w:r>
        <w:rPr>
          <w:rFonts w:ascii="Arial" w:hAnsi="Arial"/>
          <w:lang w:val="en-CA"/>
        </w:rPr>
        <w:t xml:space="preserve">Issued and Outstanding Securities of Issuer Prior to Issuance:  </w:t>
      </w:r>
    </w:p>
    <w:bookmarkEnd w:id="0"/>
    <w:p w14:paraId="1850D887" w14:textId="77777777" w:rsidR="007D1632" w:rsidRDefault="00862BC1">
      <w:pPr>
        <w:pStyle w:val="BodyText"/>
        <w:tabs>
          <w:tab w:val="left" w:pos="9180"/>
        </w:tabs>
        <w:spacing w:before="0" w:after="120"/>
        <w:rPr>
          <w:rFonts w:ascii="Arial" w:hAnsi="Arial"/>
          <w:b/>
          <w:bCs/>
          <w:i/>
          <w:iCs/>
          <w:lang w:val="en-CA"/>
        </w:rPr>
      </w:pPr>
      <w:r>
        <w:rPr>
          <w:rFonts w:ascii="Arial" w:hAnsi="Arial"/>
          <w:i/>
          <w:iCs/>
          <w:lang w:val="en-CA"/>
        </w:rPr>
        <w:t>302,127,396.0938 Class A subordinate voting shares in the capital of the Issuer (“</w:t>
      </w:r>
      <w:r>
        <w:rPr>
          <w:rFonts w:ascii="Arial" w:hAnsi="Arial"/>
          <w:b/>
          <w:bCs/>
          <w:i/>
          <w:iCs/>
          <w:lang w:val="en-CA"/>
        </w:rPr>
        <w:t>Subordinate Voting Shares</w:t>
      </w:r>
      <w:r>
        <w:rPr>
          <w:rFonts w:ascii="Arial" w:hAnsi="Arial"/>
          <w:i/>
          <w:iCs/>
          <w:lang w:val="en-CA"/>
        </w:rPr>
        <w:t>”) and 245,658.5910 Class B proportionate voting shares in the capital of the Issuer</w:t>
      </w:r>
      <w:r>
        <w:rPr>
          <w:rFonts w:ascii="Arial" w:hAnsi="Arial"/>
          <w:i/>
          <w:iCs/>
          <w:lang w:val="en-CA"/>
        </w:rPr>
        <w:t xml:space="preserve"> (“</w:t>
      </w:r>
      <w:r>
        <w:rPr>
          <w:rFonts w:ascii="Arial" w:hAnsi="Arial"/>
          <w:b/>
          <w:bCs/>
          <w:i/>
          <w:iCs/>
          <w:lang w:val="en-CA"/>
        </w:rPr>
        <w:t>Proportionate Voting Shares</w:t>
      </w:r>
      <w:r>
        <w:rPr>
          <w:rFonts w:ascii="Arial" w:hAnsi="Arial"/>
          <w:i/>
          <w:iCs/>
          <w:lang w:val="en-CA"/>
        </w:rPr>
        <w:t xml:space="preserve">”). </w:t>
      </w:r>
    </w:p>
    <w:p w14:paraId="708F7979" w14:textId="77777777" w:rsidR="007D1632" w:rsidRDefault="007D1632">
      <w:pPr>
        <w:pStyle w:val="BodyText"/>
        <w:tabs>
          <w:tab w:val="left" w:pos="9180"/>
        </w:tabs>
        <w:spacing w:before="0" w:after="120"/>
        <w:rPr>
          <w:rFonts w:ascii="Arial" w:hAnsi="Arial"/>
          <w:b/>
          <w:lang w:val="en-CA"/>
        </w:rPr>
      </w:pPr>
    </w:p>
    <w:p w14:paraId="4B340D45" w14:textId="77777777" w:rsidR="007D1632" w:rsidRDefault="00862BC1">
      <w:pPr>
        <w:pStyle w:val="BodyText"/>
        <w:tabs>
          <w:tab w:val="left" w:pos="9180"/>
        </w:tabs>
        <w:spacing w:before="0" w:after="120"/>
        <w:rPr>
          <w:rFonts w:ascii="Arial" w:hAnsi="Arial"/>
          <w:b/>
          <w:lang w:val="en-CA"/>
        </w:rPr>
      </w:pPr>
      <w:r>
        <w:rPr>
          <w:rFonts w:ascii="Arial" w:hAnsi="Arial"/>
          <w:b/>
          <w:lang w:val="en-CA"/>
        </w:rPr>
        <w:t>Pricing</w:t>
      </w:r>
    </w:p>
    <w:p w14:paraId="26EDE2B7" w14:textId="77777777" w:rsidR="007D1632" w:rsidRDefault="00862BC1">
      <w:pPr>
        <w:pStyle w:val="BodyText"/>
        <w:tabs>
          <w:tab w:val="left" w:pos="9180"/>
        </w:tabs>
        <w:spacing w:before="0" w:after="120"/>
        <w:rPr>
          <w:rFonts w:ascii="Arial" w:hAnsi="Arial"/>
          <w:lang w:val="en-CA"/>
        </w:rPr>
      </w:pPr>
      <w:r>
        <w:rPr>
          <w:rFonts w:ascii="Arial" w:hAnsi="Arial"/>
          <w:lang w:val="en-CA"/>
        </w:rPr>
        <w:t xml:space="preserve">Date of news release announcing proposed issuance:  N/A </w:t>
      </w:r>
    </w:p>
    <w:p w14:paraId="0F1F475F" w14:textId="77777777" w:rsidR="007D1632" w:rsidRDefault="00862BC1">
      <w:pPr>
        <w:pStyle w:val="BodyText"/>
        <w:tabs>
          <w:tab w:val="left" w:pos="9180"/>
        </w:tabs>
        <w:spacing w:before="0" w:after="120"/>
        <w:rPr>
          <w:rFonts w:ascii="Arial" w:hAnsi="Arial"/>
          <w:i/>
          <w:iCs/>
          <w:lang w:val="en-CA"/>
        </w:rPr>
      </w:pPr>
      <w:r>
        <w:rPr>
          <w:rFonts w:ascii="Arial" w:hAnsi="Arial"/>
          <w:lang w:val="en-CA"/>
        </w:rPr>
        <w:t>Date of confidential request for price protection: N/A</w:t>
      </w:r>
    </w:p>
    <w:p w14:paraId="3E01C687" w14:textId="77777777" w:rsidR="007D1632" w:rsidRDefault="00862BC1">
      <w:pPr>
        <w:pStyle w:val="BodyText"/>
        <w:tabs>
          <w:tab w:val="left" w:pos="9180"/>
        </w:tabs>
        <w:spacing w:before="0" w:after="120"/>
        <w:rPr>
          <w:rFonts w:ascii="Arial" w:hAnsi="Arial"/>
          <w:lang w:val="en-CA"/>
        </w:rPr>
      </w:pPr>
      <w:r>
        <w:rPr>
          <w:rFonts w:ascii="Arial" w:hAnsi="Arial"/>
          <w:lang w:val="en-CA"/>
        </w:rPr>
        <w:t>Closing Market Price on Day Preceding the news release: N/A</w:t>
      </w:r>
    </w:p>
    <w:p w14:paraId="6529F9AA" w14:textId="77777777" w:rsidR="007D1632" w:rsidRDefault="00862BC1">
      <w:pPr>
        <w:pStyle w:val="BodyText"/>
        <w:tabs>
          <w:tab w:val="left" w:pos="9180"/>
        </w:tabs>
        <w:spacing w:before="0" w:after="120"/>
        <w:rPr>
          <w:rFonts w:ascii="Arial" w:hAnsi="Arial"/>
          <w:lang w:val="en-CA"/>
        </w:rPr>
      </w:pPr>
      <w:r>
        <w:rPr>
          <w:rFonts w:ascii="Arial" w:hAnsi="Arial"/>
          <w:lang w:val="en-CA"/>
        </w:rPr>
        <w:t xml:space="preserve">Day preceding request for price </w:t>
      </w:r>
      <w:r>
        <w:rPr>
          <w:rFonts w:ascii="Arial" w:hAnsi="Arial"/>
          <w:lang w:val="en-CA"/>
        </w:rPr>
        <w:t>protection: N/A</w:t>
      </w:r>
    </w:p>
    <w:p w14:paraId="165BD9AF" w14:textId="77777777" w:rsidR="007D1632" w:rsidRDefault="007D1632">
      <w:pPr>
        <w:pStyle w:val="BodyText"/>
        <w:tabs>
          <w:tab w:val="left" w:pos="9180"/>
        </w:tabs>
        <w:spacing w:before="0" w:after="120"/>
        <w:rPr>
          <w:rFonts w:ascii="Arial" w:hAnsi="Arial"/>
          <w:b/>
          <w:lang w:val="en-CA"/>
        </w:rPr>
      </w:pPr>
    </w:p>
    <w:p w14:paraId="5CBAC9C4" w14:textId="77777777" w:rsidR="007D1632" w:rsidRDefault="00862BC1">
      <w:pPr>
        <w:pStyle w:val="BodyText"/>
        <w:tabs>
          <w:tab w:val="left" w:pos="9180"/>
        </w:tabs>
        <w:spacing w:before="0" w:after="120"/>
        <w:rPr>
          <w:rFonts w:ascii="Arial" w:hAnsi="Arial"/>
          <w:b/>
          <w:lang w:val="en-CA"/>
        </w:rPr>
      </w:pPr>
      <w:r>
        <w:rPr>
          <w:rFonts w:ascii="Arial" w:hAnsi="Arial"/>
          <w:b/>
          <w:lang w:val="en-CA"/>
        </w:rPr>
        <w:t>Closing</w:t>
      </w:r>
    </w:p>
    <w:p w14:paraId="04DB5114" w14:textId="77777777" w:rsidR="007D1632" w:rsidRDefault="00862BC1">
      <w:pPr>
        <w:pStyle w:val="BodyText"/>
        <w:tabs>
          <w:tab w:val="left" w:pos="9180"/>
        </w:tabs>
        <w:spacing w:before="0" w:after="120"/>
        <w:rPr>
          <w:rFonts w:ascii="Arial" w:hAnsi="Arial"/>
          <w:i/>
          <w:iCs/>
          <w:lang w:val="en-CA"/>
        </w:rPr>
      </w:pPr>
      <w:r>
        <w:rPr>
          <w:rFonts w:ascii="Arial" w:hAnsi="Arial"/>
          <w:lang w:val="en-CA"/>
        </w:rPr>
        <w:t xml:space="preserve">Number of securities to be issued:  </w:t>
      </w:r>
      <w:r>
        <w:rPr>
          <w:rFonts w:ascii="Arial" w:hAnsi="Arial"/>
          <w:i/>
          <w:iCs/>
          <w:lang w:val="en-CA"/>
        </w:rPr>
        <w:t>83,566 Subordinate Voting Shares</w:t>
      </w:r>
    </w:p>
    <w:p w14:paraId="6CC21CD1" w14:textId="77777777" w:rsidR="007D1632" w:rsidRDefault="00862BC1">
      <w:pPr>
        <w:pStyle w:val="BodyText"/>
        <w:tabs>
          <w:tab w:val="left" w:pos="9180"/>
        </w:tabs>
        <w:spacing w:before="0" w:after="120"/>
      </w:pPr>
      <w:r>
        <w:rPr>
          <w:rFonts w:ascii="Arial" w:hAnsi="Arial"/>
          <w:lang w:val="en-CA"/>
        </w:rPr>
        <w:t>Issued and outstanding securities following issuance:</w:t>
      </w:r>
      <w:r>
        <w:t xml:space="preserve"> </w:t>
      </w:r>
    </w:p>
    <w:p w14:paraId="6DD872BD" w14:textId="77777777" w:rsidR="007D1632" w:rsidRDefault="00862BC1">
      <w:pPr>
        <w:pStyle w:val="BodyText"/>
        <w:tabs>
          <w:tab w:val="left" w:pos="9180"/>
        </w:tabs>
        <w:spacing w:before="0" w:after="120"/>
        <w:jc w:val="both"/>
        <w:rPr>
          <w:rFonts w:ascii="Arial" w:hAnsi="Arial"/>
          <w:i/>
          <w:iCs/>
          <w:lang w:val="en-CA"/>
        </w:rPr>
      </w:pPr>
      <w:r>
        <w:rPr>
          <w:rFonts w:ascii="Arial" w:hAnsi="Arial"/>
          <w:i/>
          <w:iCs/>
          <w:lang w:val="en-CA"/>
        </w:rPr>
        <w:t xml:space="preserve">Following the issuance, </w:t>
      </w:r>
      <w:bookmarkStart w:id="1" w:name="_Hlk96414657"/>
      <w:r>
        <w:rPr>
          <w:rFonts w:ascii="Arial" w:hAnsi="Arial"/>
          <w:i/>
          <w:iCs/>
          <w:lang w:val="en-CA"/>
        </w:rPr>
        <w:t xml:space="preserve">302,210,962.0938 </w:t>
      </w:r>
      <w:bookmarkEnd w:id="1"/>
      <w:r>
        <w:rPr>
          <w:rFonts w:ascii="Arial" w:hAnsi="Arial"/>
          <w:i/>
          <w:iCs/>
          <w:lang w:val="en-CA"/>
        </w:rPr>
        <w:t>Subordinate Voting Shares will be issued and outstanding and 245,6</w:t>
      </w:r>
      <w:r>
        <w:rPr>
          <w:rFonts w:ascii="Arial" w:hAnsi="Arial"/>
          <w:i/>
          <w:iCs/>
          <w:lang w:val="en-CA"/>
        </w:rPr>
        <w:t>58.5910 Proportionate Voting Shares will be issued and outstanding.</w:t>
      </w:r>
    </w:p>
    <w:p w14:paraId="23B69D65" w14:textId="77777777" w:rsidR="007D1632" w:rsidRDefault="007D1632">
      <w:pPr>
        <w:pStyle w:val="BodyText"/>
        <w:tabs>
          <w:tab w:val="left" w:pos="9180"/>
        </w:tabs>
        <w:spacing w:before="0" w:after="120"/>
        <w:jc w:val="both"/>
        <w:rPr>
          <w:rFonts w:ascii="Arial" w:hAnsi="Arial"/>
          <w:i/>
          <w:iCs/>
          <w:lang w:val="en-CA"/>
        </w:rPr>
      </w:pPr>
    </w:p>
    <w:p w14:paraId="2FC0F25A" w14:textId="77777777" w:rsidR="007D1632" w:rsidRDefault="00862BC1">
      <w:pPr>
        <w:rPr>
          <w:rFonts w:ascii="Arial" w:hAnsi="Arial"/>
          <w:i/>
          <w:iCs/>
          <w:sz w:val="24"/>
          <w:lang w:val="en-CA"/>
        </w:rPr>
      </w:pPr>
      <w:r>
        <w:rPr>
          <w:rFonts w:ascii="Arial" w:hAnsi="Arial"/>
          <w:i/>
          <w:iCs/>
          <w:lang w:val="en-CA"/>
        </w:rPr>
        <w:br w:type="page"/>
      </w:r>
    </w:p>
    <w:p w14:paraId="181E2530" w14:textId="77777777" w:rsidR="007D1632" w:rsidRDefault="007D1632">
      <w:pPr>
        <w:pStyle w:val="BodyText"/>
        <w:tabs>
          <w:tab w:val="left" w:pos="9180"/>
        </w:tabs>
        <w:spacing w:before="0" w:after="120"/>
        <w:jc w:val="both"/>
        <w:rPr>
          <w:rFonts w:ascii="Arial" w:hAnsi="Arial"/>
          <w:i/>
          <w:iCs/>
          <w:lang w:val="en-CA"/>
        </w:rPr>
      </w:pPr>
    </w:p>
    <w:p w14:paraId="578568A5" w14:textId="77777777" w:rsidR="007D1632" w:rsidRDefault="007D1632">
      <w:pPr>
        <w:pStyle w:val="BodyText"/>
        <w:tabs>
          <w:tab w:val="left" w:pos="9180"/>
        </w:tabs>
        <w:spacing w:before="0" w:after="120"/>
        <w:rPr>
          <w:rFonts w:ascii="Arial" w:hAnsi="Arial"/>
          <w:b/>
          <w:lang w:val="en-CA"/>
        </w:rPr>
      </w:pPr>
    </w:p>
    <w:p w14:paraId="340C6359" w14:textId="77777777" w:rsidR="007D1632" w:rsidRDefault="00862BC1">
      <w:pPr>
        <w:pStyle w:val="BodyText"/>
        <w:tabs>
          <w:tab w:val="left" w:pos="9180"/>
        </w:tabs>
        <w:spacing w:before="0" w:after="120"/>
        <w:rPr>
          <w:rFonts w:ascii="Arial" w:hAnsi="Arial"/>
          <w:b/>
          <w:lang w:val="en-CA"/>
        </w:rPr>
      </w:pPr>
      <w:r>
        <w:rPr>
          <w:rFonts w:ascii="Arial" w:hAnsi="Arial"/>
          <w:b/>
          <w:lang w:val="en-CA"/>
        </w:rPr>
        <w:t>Instructions:</w:t>
      </w:r>
    </w:p>
    <w:p w14:paraId="5A4C2C44" w14:textId="77777777" w:rsidR="007D1632" w:rsidRDefault="00862BC1">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74B0BDD" w14:textId="77777777" w:rsidR="007D1632" w:rsidRDefault="00862BC1">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w:t>
      </w:r>
      <w:r>
        <w:rPr>
          <w:rFonts w:ascii="Arial" w:hAnsi="Arial"/>
          <w:lang w:val="en-CA"/>
        </w:rPr>
        <w:t>ntified in Item 8.</w:t>
      </w:r>
    </w:p>
    <w:p w14:paraId="5512EAFC" w14:textId="77777777" w:rsidR="007D1632" w:rsidRDefault="00862BC1">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51CDAD3F" w14:textId="77777777" w:rsidR="007D1632" w:rsidRDefault="00862BC1">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A7C32B6" w14:textId="77777777" w:rsidR="007D1632" w:rsidRDefault="00862BC1">
      <w:pPr>
        <w:pStyle w:val="BodyText"/>
        <w:numPr>
          <w:ilvl w:val="0"/>
          <w:numId w:val="18"/>
        </w:numPr>
        <w:tabs>
          <w:tab w:val="left" w:pos="9180"/>
        </w:tabs>
        <w:spacing w:before="0" w:after="120"/>
        <w:ind w:left="426"/>
        <w:rPr>
          <w:rFonts w:ascii="Arial" w:hAnsi="Arial"/>
          <w:lang w:val="en-CA"/>
        </w:rPr>
      </w:pPr>
      <w:r>
        <w:rPr>
          <w:rFonts w:ascii="Arial" w:hAnsi="Arial"/>
          <w:lang w:val="en-CA"/>
        </w:rPr>
        <w:t>An issuan</w:t>
      </w:r>
      <w:r>
        <w:rPr>
          <w:rFonts w:ascii="Arial" w:hAnsi="Arial"/>
          <w:lang w:val="en-CA"/>
        </w:rPr>
        <w:t>ce of non-convertible debt does not have to be reported unless it is a significant transaction as defined in Policy 7, in which case it is to be reported on Form 10 – Notice of Proposed Transaction</w:t>
      </w:r>
    </w:p>
    <w:p w14:paraId="69B24E60" w14:textId="77777777" w:rsidR="007D1632" w:rsidRDefault="00862BC1">
      <w:pPr>
        <w:pStyle w:val="BodyText"/>
        <w:numPr>
          <w:ilvl w:val="0"/>
          <w:numId w:val="18"/>
        </w:numPr>
        <w:tabs>
          <w:tab w:val="left" w:pos="9180"/>
        </w:tabs>
        <w:spacing w:before="0" w:after="120"/>
        <w:ind w:left="426"/>
        <w:rPr>
          <w:rFonts w:ascii="Arial" w:hAnsi="Arial"/>
          <w:b/>
          <w:lang w:val="en-CA"/>
        </w:rPr>
      </w:pPr>
      <w:r>
        <w:rPr>
          <w:rFonts w:ascii="Arial" w:hAnsi="Arial"/>
          <w:lang w:val="en-CA"/>
        </w:rPr>
        <w:t xml:space="preserve">Post the completed Form 9 to the CSE website in accordance with </w:t>
      </w:r>
      <w:r>
        <w:rPr>
          <w:rFonts w:ascii="Arial" w:hAnsi="Arial"/>
          <w:i/>
          <w:lang w:val="en-CA"/>
        </w:rPr>
        <w:t>Policy 6 – Distributions.</w:t>
      </w:r>
      <w:r>
        <w:rPr>
          <w:rFonts w:ascii="Arial" w:hAnsi="Arial"/>
          <w:lang w:val="en-CA"/>
        </w:rPr>
        <w:t xml:space="preserve">  In addition, the completed form must be delivered to </w:t>
      </w:r>
      <w:hyperlink r:id="rId7" w:history="1">
        <w:r>
          <w:rPr>
            <w:rStyle w:val="Hyperlink"/>
            <w:rFonts w:ascii="Arial" w:hAnsi="Arial"/>
            <w:lang w:val="en-CA"/>
          </w:rPr>
          <w:t>listings@thecse.com</w:t>
        </w:r>
      </w:hyperlink>
      <w:r>
        <w:rPr>
          <w:rFonts w:ascii="Arial" w:hAnsi="Arial"/>
          <w:lang w:val="en-CA"/>
        </w:rPr>
        <w:t xml:space="preserve"> with an appendix that includes the information in</w:t>
      </w:r>
      <w:r>
        <w:rPr>
          <w:rFonts w:ascii="Arial" w:hAnsi="Arial"/>
          <w:lang w:val="en-CA"/>
        </w:rPr>
        <w:t xml:space="preserve"> Table 1B for ALL placees.</w:t>
      </w:r>
      <w:r>
        <w:rPr>
          <w:rFonts w:ascii="Arial" w:hAnsi="Arial"/>
          <w:b/>
          <w:lang w:val="en-CA"/>
        </w:rPr>
        <w:br w:type="page"/>
      </w:r>
    </w:p>
    <w:p w14:paraId="7875A60B" w14:textId="77777777" w:rsidR="007D1632" w:rsidRDefault="00862BC1">
      <w:pPr>
        <w:pStyle w:val="BodyText"/>
        <w:spacing w:before="0" w:after="240"/>
        <w:rPr>
          <w:rFonts w:ascii="Arial" w:hAnsi="Arial"/>
          <w:b/>
          <w:lang w:val="en-CA"/>
        </w:rPr>
      </w:pPr>
      <w:r>
        <w:rPr>
          <w:rFonts w:ascii="Arial" w:hAnsi="Arial"/>
          <w:b/>
          <w:lang w:val="en-CA"/>
        </w:rPr>
        <w:lastRenderedPageBreak/>
        <w:t>Part 1.</w:t>
      </w:r>
      <w:r>
        <w:rPr>
          <w:rFonts w:ascii="Arial" w:hAnsi="Arial"/>
          <w:b/>
          <w:lang w:val="en-CA"/>
        </w:rPr>
        <w:tab/>
        <w:t xml:space="preserve">Private Placement </w:t>
      </w:r>
    </w:p>
    <w:p w14:paraId="546FE6C9" w14:textId="77777777" w:rsidR="007D1632" w:rsidRDefault="00862BC1">
      <w:pPr>
        <w:pStyle w:val="BodyText"/>
        <w:spacing w:before="0" w:after="240"/>
        <w:rPr>
          <w:rFonts w:ascii="Arial" w:hAnsi="Arial"/>
          <w:bCs/>
          <w:lang w:val="en-CA"/>
        </w:rPr>
      </w:pPr>
      <w:r>
        <w:rPr>
          <w:rFonts w:ascii="Arial" w:hAnsi="Arial"/>
          <w:bCs/>
          <w:lang w:val="en-CA"/>
        </w:rPr>
        <w:t>This part is not applicable.</w:t>
      </w:r>
    </w:p>
    <w:p w14:paraId="63F59159" w14:textId="77777777" w:rsidR="007D1632" w:rsidRDefault="00862BC1">
      <w:pPr>
        <w:pStyle w:val="List"/>
        <w:tabs>
          <w:tab w:val="left" w:pos="1080"/>
        </w:tabs>
        <w:jc w:val="both"/>
        <w:rPr>
          <w:rFonts w:ascii="Arial" w:hAnsi="Arial"/>
        </w:rPr>
      </w:pPr>
      <w:r>
        <w:rPr>
          <w:rFonts w:ascii="Arial" w:hAnsi="Arial"/>
          <w:b/>
          <w:color w:val="000000"/>
        </w:rPr>
        <w:t>Part 2.</w:t>
      </w:r>
      <w:r>
        <w:rPr>
          <w:rFonts w:ascii="Arial" w:hAnsi="Arial"/>
          <w:b/>
          <w:color w:val="000000"/>
        </w:rPr>
        <w:tab/>
        <w:t>Acquisition</w:t>
      </w:r>
    </w:p>
    <w:p w14:paraId="5ED5E57D" w14:textId="77777777" w:rsidR="007D1632" w:rsidRDefault="007D1632">
      <w:pPr>
        <w:pStyle w:val="List"/>
        <w:tabs>
          <w:tab w:val="left" w:pos="9180"/>
        </w:tabs>
        <w:spacing w:before="0"/>
        <w:ind w:left="0" w:firstLine="0"/>
        <w:jc w:val="both"/>
        <w:rPr>
          <w:rFonts w:ascii="Arial" w:hAnsi="Arial"/>
          <w:color w:val="000000"/>
        </w:rPr>
      </w:pPr>
    </w:p>
    <w:p w14:paraId="4ED1C44D" w14:textId="77777777" w:rsidR="007D1632" w:rsidRDefault="00862BC1">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w:t>
      </w:r>
      <w:r>
        <w:rPr>
          <w:rFonts w:ascii="Arial" w:hAnsi="Arial"/>
          <w:color w:val="000000"/>
        </w:rPr>
        <w:t xml:space="preserve">other material: </w:t>
      </w:r>
    </w:p>
    <w:p w14:paraId="60649A48" w14:textId="77777777" w:rsidR="007D1632" w:rsidRDefault="007D1632">
      <w:pPr>
        <w:pStyle w:val="List"/>
        <w:tabs>
          <w:tab w:val="left" w:pos="1080"/>
          <w:tab w:val="left" w:pos="9180"/>
        </w:tabs>
        <w:spacing w:before="0"/>
        <w:ind w:firstLine="0"/>
        <w:jc w:val="both"/>
        <w:rPr>
          <w:rFonts w:ascii="Arial" w:hAnsi="Arial"/>
          <w:color w:val="000000"/>
        </w:rPr>
      </w:pPr>
    </w:p>
    <w:p w14:paraId="0E7FB3F8" w14:textId="77777777" w:rsidR="007D1632" w:rsidRDefault="00862BC1">
      <w:pPr>
        <w:pStyle w:val="List"/>
        <w:tabs>
          <w:tab w:val="left" w:pos="1080"/>
          <w:tab w:val="left" w:pos="9180"/>
        </w:tabs>
        <w:spacing w:before="0"/>
        <w:ind w:firstLine="0"/>
        <w:jc w:val="both"/>
        <w:rPr>
          <w:rFonts w:ascii="Arial" w:hAnsi="Arial" w:cs="Arial"/>
          <w:i/>
          <w:iCs/>
          <w:szCs w:val="24"/>
        </w:rPr>
      </w:pPr>
      <w:r>
        <w:rPr>
          <w:rFonts w:ascii="Arial" w:hAnsi="Arial"/>
          <w:i/>
          <w:iCs/>
          <w:color w:val="000000"/>
          <w:lang w:val="en-US"/>
        </w:rPr>
        <w:t>The Issuer acquired all of the ownership interests of Agronomed Biologics, LLC, a Pennsylvania limited liability company (the “</w:t>
      </w:r>
      <w:r>
        <w:rPr>
          <w:rFonts w:ascii="Arial" w:hAnsi="Arial"/>
          <w:b/>
          <w:bCs/>
          <w:i/>
          <w:iCs/>
          <w:color w:val="000000"/>
          <w:lang w:val="en-US"/>
        </w:rPr>
        <w:t>Company</w:t>
      </w:r>
      <w:r>
        <w:rPr>
          <w:rFonts w:ascii="Arial" w:hAnsi="Arial"/>
          <w:i/>
          <w:iCs/>
          <w:color w:val="000000"/>
          <w:lang w:val="en-US"/>
        </w:rPr>
        <w:t>”), on July 12, 2021 (the “</w:t>
      </w:r>
      <w:r>
        <w:rPr>
          <w:rFonts w:ascii="Arial" w:hAnsi="Arial"/>
          <w:b/>
          <w:bCs/>
          <w:i/>
          <w:iCs/>
          <w:color w:val="000000"/>
          <w:lang w:val="en-US"/>
        </w:rPr>
        <w:t>Acquisition</w:t>
      </w:r>
      <w:r>
        <w:rPr>
          <w:rFonts w:ascii="Arial" w:hAnsi="Arial"/>
          <w:i/>
          <w:iCs/>
          <w:color w:val="000000"/>
          <w:lang w:val="en-US"/>
        </w:rPr>
        <w:t>”). Since the Acquisition, the Company has been, and currently is,</w:t>
      </w:r>
      <w:r>
        <w:rPr>
          <w:rFonts w:ascii="Arial" w:hAnsi="Arial"/>
          <w:i/>
          <w:iCs/>
          <w:color w:val="000000"/>
          <w:lang w:val="en-US"/>
        </w:rPr>
        <w:t xml:space="preserve"> a wholly-owned indirect subsidiary of the Issuer.</w:t>
      </w:r>
    </w:p>
    <w:p w14:paraId="5427F594" w14:textId="77777777" w:rsidR="007D1632" w:rsidRDefault="007D1632">
      <w:pPr>
        <w:pStyle w:val="List"/>
        <w:tabs>
          <w:tab w:val="left" w:pos="1080"/>
          <w:tab w:val="left" w:pos="9180"/>
        </w:tabs>
        <w:spacing w:before="0"/>
        <w:ind w:firstLine="0"/>
        <w:jc w:val="both"/>
        <w:rPr>
          <w:rFonts w:ascii="Arial" w:hAnsi="Arial" w:cs="Arial"/>
          <w:i/>
          <w:iCs/>
          <w:szCs w:val="24"/>
        </w:rPr>
      </w:pPr>
    </w:p>
    <w:p w14:paraId="1C05095B" w14:textId="77777777" w:rsidR="007D1632" w:rsidRDefault="00862BC1">
      <w:pPr>
        <w:pStyle w:val="List"/>
        <w:tabs>
          <w:tab w:val="left" w:pos="1080"/>
          <w:tab w:val="left" w:pos="9180"/>
        </w:tabs>
        <w:spacing w:before="0"/>
        <w:ind w:firstLine="0"/>
        <w:jc w:val="both"/>
        <w:rPr>
          <w:rFonts w:ascii="Arial" w:hAnsi="Arial" w:cs="Arial"/>
          <w:i/>
          <w:iCs/>
          <w:color w:val="000000"/>
          <w:lang w:val="en-US"/>
        </w:rPr>
      </w:pPr>
      <w:r>
        <w:rPr>
          <w:rFonts w:ascii="Arial" w:hAnsi="Arial" w:cs="Arial"/>
          <w:i/>
          <w:iCs/>
          <w:szCs w:val="24"/>
        </w:rPr>
        <w:t>The Company has been provisionally awarded a clinical registrant permit from the Pennsylvania Department of Health to research, cultivate, manufacture, distribute, transport and dispense medical marijuana</w:t>
      </w:r>
      <w:r>
        <w:rPr>
          <w:rFonts w:ascii="Arial" w:hAnsi="Arial" w:cs="Arial"/>
          <w:i/>
          <w:iCs/>
          <w:szCs w:val="24"/>
        </w:rPr>
        <w:t xml:space="preserve"> in partnership with Drexel University in the Commonwealth of Pennsylvania.  </w:t>
      </w:r>
    </w:p>
    <w:p w14:paraId="0844B2B1" w14:textId="77777777" w:rsidR="007D1632" w:rsidRDefault="007D1632">
      <w:pPr>
        <w:pStyle w:val="List"/>
        <w:tabs>
          <w:tab w:val="left" w:pos="1080"/>
          <w:tab w:val="left" w:pos="9180"/>
        </w:tabs>
        <w:spacing w:before="0"/>
        <w:ind w:firstLine="0"/>
        <w:jc w:val="both"/>
        <w:rPr>
          <w:rFonts w:ascii="Arial" w:hAnsi="Arial"/>
          <w:i/>
          <w:iCs/>
          <w:color w:val="000000"/>
          <w:lang w:val="en-US"/>
        </w:rPr>
      </w:pPr>
    </w:p>
    <w:p w14:paraId="4E87E07B" w14:textId="77777777" w:rsidR="007D1632" w:rsidRDefault="00862BC1">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Provide details of the acquisition including the date, parties to and type of agreement (eg: sale, option, license etc.) and relationship to the Issuer. The disclosure should be</w:t>
      </w:r>
      <w:r>
        <w:rPr>
          <w:rFonts w:ascii="Arial" w:hAnsi="Arial"/>
          <w:color w:val="000000"/>
        </w:rPr>
        <w:t xml:space="preserve"> sufficiently complete to enable a reader to appreciate the significance of the acquisition without reference to any other material: </w:t>
      </w:r>
    </w:p>
    <w:p w14:paraId="4DBBA0A8" w14:textId="77777777" w:rsidR="007D1632" w:rsidRDefault="00862BC1">
      <w:pPr>
        <w:pStyle w:val="List"/>
        <w:tabs>
          <w:tab w:val="left" w:pos="9180"/>
        </w:tabs>
        <w:ind w:firstLine="0"/>
        <w:jc w:val="both"/>
        <w:rPr>
          <w:rFonts w:ascii="Arial" w:hAnsi="Arial"/>
          <w:i/>
          <w:iCs/>
          <w:color w:val="000000"/>
        </w:rPr>
      </w:pPr>
      <w:r>
        <w:rPr>
          <w:rFonts w:ascii="Arial" w:hAnsi="Arial"/>
          <w:i/>
          <w:iCs/>
          <w:color w:val="000000"/>
        </w:rPr>
        <w:t>The Acquisition was completed pursuant to an Agreement and Plan of Merger (the “</w:t>
      </w:r>
      <w:r>
        <w:rPr>
          <w:rFonts w:ascii="Arial" w:hAnsi="Arial"/>
          <w:b/>
          <w:bCs/>
          <w:i/>
          <w:iCs/>
          <w:color w:val="000000"/>
        </w:rPr>
        <w:t>Agreement</w:t>
      </w:r>
      <w:r>
        <w:rPr>
          <w:rFonts w:ascii="Arial" w:hAnsi="Arial"/>
          <w:i/>
          <w:iCs/>
          <w:color w:val="000000"/>
        </w:rPr>
        <w:t xml:space="preserve">”), dated April 21, 2021, by and </w:t>
      </w:r>
      <w:r>
        <w:rPr>
          <w:rFonts w:ascii="Arial" w:hAnsi="Arial"/>
          <w:i/>
          <w:iCs/>
          <w:color w:val="000000"/>
        </w:rPr>
        <w:t>among the Issuer, AB Merger Sub, LLC, the Company, T</w:t>
      </w:r>
      <w:r>
        <w:rPr>
          <w:rFonts w:ascii="Arial" w:hAnsi="Arial" w:cs="Arial"/>
          <w:i/>
          <w:iCs/>
          <w:szCs w:val="24"/>
        </w:rPr>
        <w:t>he Healing Research Center LLC, Agronomed Pharmaceuticals, LLC, and the sellers’ representatives named therein</w:t>
      </w:r>
      <w:r>
        <w:rPr>
          <w:rFonts w:ascii="Arial" w:hAnsi="Arial"/>
          <w:i/>
          <w:iCs/>
          <w:color w:val="000000"/>
        </w:rPr>
        <w:t xml:space="preserve">. </w:t>
      </w:r>
    </w:p>
    <w:p w14:paraId="320F1BEF" w14:textId="77777777" w:rsidR="007D1632" w:rsidRDefault="00862BC1">
      <w:pPr>
        <w:pStyle w:val="List"/>
        <w:tabs>
          <w:tab w:val="left" w:pos="9180"/>
        </w:tabs>
        <w:ind w:firstLine="0"/>
        <w:jc w:val="both"/>
        <w:rPr>
          <w:rFonts w:ascii="Arial" w:hAnsi="Arial"/>
          <w:i/>
          <w:iCs/>
          <w:color w:val="000000"/>
        </w:rPr>
      </w:pPr>
      <w:r>
        <w:rPr>
          <w:rFonts w:ascii="Arial" w:hAnsi="Arial"/>
          <w:i/>
          <w:iCs/>
          <w:color w:val="000000"/>
        </w:rPr>
        <w:t xml:space="preserve">The parties (other than AB Merger Sub, LLC) were all arm’s length parties to the Issuer at </w:t>
      </w:r>
      <w:r>
        <w:rPr>
          <w:rFonts w:ascii="Arial" w:hAnsi="Arial"/>
          <w:i/>
          <w:iCs/>
          <w:color w:val="000000"/>
        </w:rPr>
        <w:t>the time the Acquisition was consummated.  As of the date hereof, the Company is wholly owned by the Issuer and the Company’s former owners (collectively, the “</w:t>
      </w:r>
      <w:r>
        <w:rPr>
          <w:rFonts w:ascii="Arial" w:hAnsi="Arial"/>
          <w:b/>
          <w:bCs/>
          <w:i/>
          <w:iCs/>
          <w:color w:val="000000"/>
        </w:rPr>
        <w:t>Sellers</w:t>
      </w:r>
      <w:r>
        <w:rPr>
          <w:rFonts w:ascii="Arial" w:hAnsi="Arial"/>
          <w:i/>
          <w:iCs/>
          <w:color w:val="000000"/>
        </w:rPr>
        <w:t xml:space="preserve">”) are shareholders of the Issuer as a result of being issued Subordinate Voting Shares upon consummation of the Acquisition and the Earn-Out (as defined below).  </w:t>
      </w:r>
    </w:p>
    <w:p w14:paraId="08AF5D92" w14:textId="77777777" w:rsidR="007D1632" w:rsidRDefault="00862BC1">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 xml:space="preserve">Provide the following information in relation to the total consideration for the </w:t>
      </w:r>
      <w:r>
        <w:rPr>
          <w:rFonts w:ascii="Arial" w:hAnsi="Arial"/>
          <w:color w:val="000000"/>
        </w:rPr>
        <w:t>acquisition (including details of all cash, securities or other consideration) and any required work commitments:</w:t>
      </w:r>
    </w:p>
    <w:p w14:paraId="4AA550ED" w14:textId="77777777" w:rsidR="007D1632" w:rsidRDefault="00862BC1">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
    <w:p w14:paraId="431E785A" w14:textId="77777777" w:rsidR="007D1632" w:rsidRDefault="00862BC1">
      <w:pPr>
        <w:pStyle w:val="List"/>
        <w:tabs>
          <w:tab w:val="left" w:pos="9180"/>
        </w:tabs>
        <w:ind w:left="2160" w:firstLine="0"/>
        <w:jc w:val="both"/>
        <w:rPr>
          <w:rFonts w:ascii="Arial" w:hAnsi="Arial"/>
          <w:i/>
          <w:iCs/>
          <w:color w:val="000000"/>
        </w:rPr>
      </w:pPr>
      <w:r>
        <w:rPr>
          <w:rFonts w:ascii="Arial" w:hAnsi="Arial"/>
          <w:i/>
          <w:iCs/>
          <w:color w:val="000000"/>
        </w:rPr>
        <w:t>Pursuant to the Agreement, at the time of the Acquisition the aggregate consideration to t</w:t>
      </w:r>
      <w:r>
        <w:rPr>
          <w:rFonts w:ascii="Arial" w:hAnsi="Arial"/>
          <w:i/>
          <w:iCs/>
          <w:color w:val="000000"/>
        </w:rPr>
        <w:t xml:space="preserve">he Sellers for their ownership interests </w:t>
      </w:r>
      <w:r>
        <w:rPr>
          <w:rFonts w:ascii="Arial" w:hAnsi="Arial"/>
          <w:i/>
          <w:iCs/>
          <w:color w:val="000000"/>
        </w:rPr>
        <w:lastRenderedPageBreak/>
        <w:t>in the Company (collectively, the “</w:t>
      </w:r>
      <w:r>
        <w:rPr>
          <w:rFonts w:ascii="Arial" w:hAnsi="Arial"/>
          <w:b/>
          <w:bCs/>
          <w:i/>
          <w:iCs/>
          <w:color w:val="000000"/>
        </w:rPr>
        <w:t>Purchase Price</w:t>
      </w:r>
      <w:r>
        <w:rPr>
          <w:rFonts w:ascii="Arial" w:hAnsi="Arial"/>
          <w:i/>
          <w:iCs/>
          <w:color w:val="000000"/>
        </w:rPr>
        <w:t>”) was (i) US$60,000,000 (C$74,850,000)</w:t>
      </w:r>
      <w:r>
        <w:rPr>
          <w:rStyle w:val="FootnoteReference"/>
          <w:rFonts w:ascii="Arial" w:hAnsi="Arial"/>
          <w:i/>
          <w:iCs/>
          <w:color w:val="000000"/>
        </w:rPr>
        <w:footnoteReference w:id="1"/>
      </w:r>
      <w:r>
        <w:rPr>
          <w:rFonts w:ascii="Arial" w:hAnsi="Arial"/>
          <w:i/>
          <w:iCs/>
          <w:color w:val="000000"/>
        </w:rPr>
        <w:t xml:space="preserve">, </w:t>
      </w:r>
      <w:bookmarkStart w:id="3" w:name="_Hlk64743882"/>
      <w:r>
        <w:rPr>
          <w:rFonts w:ascii="Arial" w:hAnsi="Arial"/>
          <w:i/>
          <w:iCs/>
          <w:color w:val="000000"/>
        </w:rPr>
        <w:t xml:space="preserve">subject to </w:t>
      </w:r>
      <w:bookmarkStart w:id="4" w:name="_Hlk64743662"/>
      <w:bookmarkEnd w:id="3"/>
      <w:r>
        <w:rPr>
          <w:rFonts w:ascii="Arial" w:hAnsi="Arial"/>
          <w:i/>
          <w:iCs/>
          <w:color w:val="000000"/>
        </w:rPr>
        <w:t>adjustment as provided in the Agreement, plus (ii) a subsequent earn-out of US$15,000,000 (C$18,712,500) payable</w:t>
      </w:r>
      <w:r>
        <w:rPr>
          <w:rFonts w:ascii="Arial" w:hAnsi="Arial"/>
          <w:i/>
          <w:iCs/>
          <w:color w:val="000000"/>
        </w:rPr>
        <w:t xml:space="preserve"> upon specified events occurring (the “</w:t>
      </w:r>
      <w:r>
        <w:rPr>
          <w:rFonts w:ascii="Arial" w:hAnsi="Arial"/>
          <w:b/>
          <w:bCs/>
          <w:i/>
          <w:iCs/>
          <w:color w:val="000000"/>
        </w:rPr>
        <w:t>Earn-Out</w:t>
      </w:r>
      <w:r>
        <w:rPr>
          <w:rFonts w:ascii="Arial" w:hAnsi="Arial"/>
          <w:i/>
          <w:iCs/>
          <w:color w:val="000000"/>
        </w:rPr>
        <w:t xml:space="preserve">”). </w:t>
      </w:r>
      <w:bookmarkEnd w:id="4"/>
      <w:r>
        <w:rPr>
          <w:rFonts w:ascii="Arial" w:hAnsi="Arial"/>
          <w:i/>
          <w:iCs/>
          <w:color w:val="000000"/>
        </w:rPr>
        <w:t xml:space="preserve">In addition, “make-whole” issuances of Subordinate Voting Shares may become payable on each of the six and 12 months following the consummation of the Acquisition, as outlined below </w:t>
      </w:r>
      <w:r>
        <w:rPr>
          <w:rFonts w:ascii="Arial" w:hAnsi="Arial" w:cs="Arial"/>
          <w:i/>
          <w:iCs/>
          <w:color w:val="000000"/>
        </w:rPr>
        <w:t>(the “</w:t>
      </w:r>
      <w:r>
        <w:rPr>
          <w:rFonts w:ascii="Arial" w:hAnsi="Arial" w:cs="Arial"/>
          <w:b/>
          <w:bCs/>
          <w:i/>
          <w:iCs/>
          <w:color w:val="000000"/>
        </w:rPr>
        <w:t>Make Whole Paymen</w:t>
      </w:r>
      <w:r>
        <w:rPr>
          <w:rFonts w:ascii="Arial" w:hAnsi="Arial" w:cs="Arial"/>
          <w:b/>
          <w:bCs/>
          <w:i/>
          <w:iCs/>
          <w:color w:val="000000"/>
        </w:rPr>
        <w:t>ts</w:t>
      </w:r>
      <w:r>
        <w:rPr>
          <w:rFonts w:ascii="Arial" w:hAnsi="Arial" w:cs="Arial"/>
          <w:i/>
          <w:iCs/>
          <w:color w:val="000000"/>
        </w:rPr>
        <w:t>”)</w:t>
      </w:r>
      <w:r>
        <w:rPr>
          <w:rFonts w:ascii="Arial" w:hAnsi="Arial"/>
          <w:i/>
          <w:iCs/>
          <w:color w:val="000000"/>
        </w:rPr>
        <w:t>.</w:t>
      </w:r>
    </w:p>
    <w:p w14:paraId="02FBEFE3" w14:textId="77777777" w:rsidR="007D1632" w:rsidRDefault="00862BC1">
      <w:pPr>
        <w:pStyle w:val="List"/>
        <w:tabs>
          <w:tab w:val="left" w:pos="9180"/>
        </w:tabs>
        <w:ind w:left="2160" w:firstLine="0"/>
        <w:jc w:val="both"/>
        <w:rPr>
          <w:rFonts w:ascii="Arial" w:hAnsi="Arial"/>
          <w:color w:val="000000"/>
        </w:rPr>
      </w:pPr>
      <w:r>
        <w:rPr>
          <w:rFonts w:ascii="Arial" w:hAnsi="Arial"/>
          <w:i/>
          <w:iCs/>
          <w:color w:val="000000"/>
        </w:rPr>
        <w:t>This form is being filed in connection with the issuance of Subordinate Voting Shares as the first contingent Make Whole Payment.</w:t>
      </w:r>
    </w:p>
    <w:p w14:paraId="162E8D1E" w14:textId="77777777" w:rsidR="007D1632" w:rsidRDefault="00862BC1">
      <w:pPr>
        <w:pStyle w:val="List"/>
        <w:numPr>
          <w:ilvl w:val="0"/>
          <w:numId w:val="13"/>
        </w:numPr>
        <w:tabs>
          <w:tab w:val="left" w:pos="2160"/>
          <w:tab w:val="left" w:pos="9180"/>
        </w:tabs>
        <w:rPr>
          <w:rFonts w:ascii="Arial" w:hAnsi="Arial"/>
          <w:color w:val="000000"/>
        </w:rPr>
      </w:pPr>
      <w:r>
        <w:rPr>
          <w:rFonts w:ascii="Arial" w:hAnsi="Arial"/>
          <w:color w:val="000000"/>
        </w:rPr>
        <w:t>Cash:</w:t>
      </w:r>
      <w:r>
        <w:rPr>
          <w:rFonts w:ascii="Arial" w:hAnsi="Arial"/>
          <w:i/>
          <w:iCs/>
          <w:color w:val="000000"/>
        </w:rPr>
        <w:t xml:space="preserve">  </w:t>
      </w:r>
    </w:p>
    <w:p w14:paraId="12E86D7A" w14:textId="77777777" w:rsidR="007D1632" w:rsidRDefault="00862BC1">
      <w:pPr>
        <w:pStyle w:val="List"/>
        <w:tabs>
          <w:tab w:val="left" w:pos="2160"/>
          <w:tab w:val="left" w:pos="9180"/>
        </w:tabs>
        <w:ind w:left="2160" w:firstLine="0"/>
        <w:rPr>
          <w:rFonts w:ascii="Arial" w:hAnsi="Arial"/>
          <w:color w:val="000000"/>
        </w:rPr>
      </w:pPr>
      <w:r>
        <w:rPr>
          <w:rFonts w:ascii="Arial" w:hAnsi="Arial"/>
          <w:i/>
          <w:iCs/>
          <w:color w:val="000000"/>
        </w:rPr>
        <w:t>Upon consummation of the Acquisition, US$10,000,000 (C$12,475,000</w:t>
      </w:r>
      <w:r>
        <w:rPr>
          <w:rFonts w:ascii="Arial" w:hAnsi="Arial"/>
          <w:color w:val="000000"/>
        </w:rPr>
        <w:t>).  Subsequently as</w:t>
      </w:r>
      <w:r>
        <w:rPr>
          <w:rFonts w:ascii="Arial" w:hAnsi="Arial"/>
          <w:i/>
          <w:iCs/>
          <w:color w:val="000000"/>
        </w:rPr>
        <w:t xml:space="preserve"> partial payment for the Ear</w:t>
      </w:r>
      <w:r>
        <w:rPr>
          <w:rFonts w:ascii="Arial" w:hAnsi="Arial"/>
          <w:i/>
          <w:iCs/>
          <w:color w:val="000000"/>
        </w:rPr>
        <w:t>n-Out, US$3,000,000 (C$3,846,154).</w:t>
      </w:r>
    </w:p>
    <w:p w14:paraId="79BCA6ED" w14:textId="77777777" w:rsidR="007D1632" w:rsidRDefault="00862BC1">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p>
    <w:p w14:paraId="555CC87C" w14:textId="77777777" w:rsidR="007D1632" w:rsidRDefault="00862BC1">
      <w:pPr>
        <w:pStyle w:val="List"/>
        <w:tabs>
          <w:tab w:val="left" w:pos="9180"/>
        </w:tabs>
        <w:ind w:left="2160" w:firstLine="0"/>
        <w:rPr>
          <w:rFonts w:ascii="Arial" w:hAnsi="Arial"/>
          <w:i/>
          <w:iCs/>
          <w:lang w:val="en-CA"/>
        </w:rPr>
      </w:pPr>
      <w:r>
        <w:rPr>
          <w:rFonts w:ascii="Arial" w:hAnsi="Arial"/>
          <w:i/>
          <w:iCs/>
          <w:color w:val="000000"/>
        </w:rPr>
        <w:t xml:space="preserve">Upon consummation of the Acquisition, 3,240,436 Subordinate Voting Shares valued at C$19.12 per share. Subsequently as partial payment for the Earn-Out, </w:t>
      </w:r>
      <w:r>
        <w:rPr>
          <w:rFonts w:ascii="Arial" w:hAnsi="Arial"/>
          <w:i/>
          <w:iCs/>
          <w:lang w:val="en-CA"/>
        </w:rPr>
        <w:t>1,2</w:t>
      </w:r>
      <w:r>
        <w:rPr>
          <w:rFonts w:ascii="Arial" w:hAnsi="Arial"/>
          <w:i/>
          <w:iCs/>
          <w:lang w:val="en-CA"/>
        </w:rPr>
        <w:t>15,035 Subordinate Voting Shares valued at C$12.66.</w:t>
      </w:r>
    </w:p>
    <w:p w14:paraId="63841696" w14:textId="77777777" w:rsidR="007D1632" w:rsidRDefault="00862BC1">
      <w:pPr>
        <w:pStyle w:val="List"/>
        <w:tabs>
          <w:tab w:val="left" w:pos="9180"/>
        </w:tabs>
        <w:ind w:left="2160" w:firstLine="0"/>
        <w:rPr>
          <w:rFonts w:ascii="Arial" w:hAnsi="Arial"/>
          <w:i/>
          <w:iCs/>
          <w:color w:val="000000"/>
        </w:rPr>
      </w:pPr>
      <w:r>
        <w:rPr>
          <w:rFonts w:ascii="Arial" w:hAnsi="Arial"/>
          <w:i/>
          <w:iCs/>
          <w:lang w:val="en-CA"/>
        </w:rPr>
        <w:t>Pursuant to the first Make Whole Payment, an additional 83,566 Subordinate Voting Shares valued at C$15.85, as outlined below.</w:t>
      </w:r>
    </w:p>
    <w:p w14:paraId="5D6354A7" w14:textId="77777777" w:rsidR="007D1632" w:rsidRDefault="00862BC1">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
    <w:p w14:paraId="46B3748B" w14:textId="77777777" w:rsidR="007D1632" w:rsidRDefault="00862BC1">
      <w:pPr>
        <w:pStyle w:val="List"/>
        <w:tabs>
          <w:tab w:val="left" w:pos="9180"/>
        </w:tabs>
        <w:ind w:left="2160" w:firstLine="0"/>
        <w:jc w:val="both"/>
        <w:rPr>
          <w:rFonts w:ascii="Arial" w:hAnsi="Arial" w:cs="Arial"/>
          <w:i/>
          <w:iCs/>
          <w:color w:val="000000"/>
        </w:rPr>
      </w:pPr>
      <w:r>
        <w:rPr>
          <w:rFonts w:ascii="Arial" w:hAnsi="Arial"/>
          <w:i/>
          <w:iCs/>
          <w:color w:val="000000"/>
        </w:rPr>
        <w:t>Pursuant to the Agreement, the first Make Whole Payment became payabl</w:t>
      </w:r>
      <w:r>
        <w:rPr>
          <w:rFonts w:ascii="Arial" w:hAnsi="Arial"/>
          <w:i/>
          <w:iCs/>
          <w:color w:val="000000"/>
        </w:rPr>
        <w:t>e in February, 2022, as</w:t>
      </w:r>
      <w:r>
        <w:rPr>
          <w:rFonts w:ascii="Arial" w:hAnsi="Arial" w:cs="Arial"/>
          <w:i/>
          <w:iCs/>
          <w:color w:val="000000"/>
        </w:rPr>
        <w:t xml:space="preserve"> the closing market price of the Subordinate Voting Shares on the Canadian Stock Exchange on the trading day immediately prior to the six month anniversary of the Acquisition was less than the share price of the Subordinate Voting Sh</w:t>
      </w:r>
      <w:r>
        <w:rPr>
          <w:rFonts w:ascii="Arial" w:hAnsi="Arial" w:cs="Arial"/>
          <w:i/>
          <w:iCs/>
          <w:color w:val="000000"/>
        </w:rPr>
        <w:t>ares used to calculate the number of Subordinate Voting Shares issued upon consummation of the Acquisition (the “</w:t>
      </w:r>
      <w:r>
        <w:rPr>
          <w:rFonts w:ascii="Arial" w:hAnsi="Arial" w:cs="Arial"/>
          <w:b/>
          <w:bCs/>
          <w:i/>
          <w:iCs/>
          <w:color w:val="000000"/>
        </w:rPr>
        <w:t>Initial Share Price</w:t>
      </w:r>
      <w:r>
        <w:rPr>
          <w:rFonts w:ascii="Arial" w:hAnsi="Arial" w:cs="Arial"/>
          <w:i/>
          <w:iCs/>
          <w:color w:val="000000"/>
        </w:rPr>
        <w:t>”). As a result, the Issuer will pay to the Sellers an aggregate amount equal to (a) 12.5% of the number of Subordinate Voting Shares that would have been issued on the closing date of the acquisition, multiplied by (b) the Initial Share Price less the clo</w:t>
      </w:r>
      <w:r>
        <w:rPr>
          <w:rFonts w:ascii="Arial" w:hAnsi="Arial" w:cs="Arial"/>
          <w:i/>
          <w:iCs/>
          <w:color w:val="000000"/>
        </w:rPr>
        <w:t xml:space="preserve">sing market price of the Subordinate Voting Shares on the Canadian Stock Exchange on the trading day immediately prior to the six month anniversary of the of the Acquisition, which amount will be satisfied </w:t>
      </w:r>
      <w:r>
        <w:rPr>
          <w:rFonts w:ascii="Arial" w:hAnsi="Arial" w:cs="Arial"/>
          <w:i/>
          <w:iCs/>
          <w:color w:val="000000"/>
        </w:rPr>
        <w:lastRenderedPageBreak/>
        <w:t>by delivery of Subordinate Voting Shares determine</w:t>
      </w:r>
      <w:r>
        <w:rPr>
          <w:rFonts w:ascii="Arial" w:hAnsi="Arial" w:cs="Arial"/>
          <w:i/>
          <w:iCs/>
          <w:color w:val="000000"/>
        </w:rPr>
        <w:t>d by dividing the foregoing amount by the closing market price of the Subordinate Voting Shares on the Canadian Stock Exchange immediately prior to the six month anniversary of the closing date of the Acquisition.</w:t>
      </w:r>
    </w:p>
    <w:p w14:paraId="6D8AC538" w14:textId="77777777" w:rsidR="007D1632" w:rsidRDefault="00862BC1">
      <w:pPr>
        <w:pStyle w:val="List"/>
        <w:tabs>
          <w:tab w:val="left" w:pos="9180"/>
        </w:tabs>
        <w:ind w:left="2160" w:firstLine="0"/>
        <w:jc w:val="both"/>
        <w:rPr>
          <w:rFonts w:ascii="Arial" w:hAnsi="Arial" w:cs="Arial"/>
          <w:i/>
          <w:iCs/>
          <w:color w:val="000000"/>
        </w:rPr>
      </w:pPr>
      <w:r>
        <w:rPr>
          <w:rFonts w:ascii="Arial" w:hAnsi="Arial" w:cs="Arial"/>
          <w:i/>
          <w:iCs/>
          <w:color w:val="000000"/>
        </w:rPr>
        <w:t>A future Make Whole Payment may become pay</w:t>
      </w:r>
      <w:r>
        <w:rPr>
          <w:rFonts w:ascii="Arial" w:hAnsi="Arial" w:cs="Arial"/>
          <w:i/>
          <w:iCs/>
          <w:color w:val="000000"/>
        </w:rPr>
        <w:t xml:space="preserve">able if the closing market price of the Subordinate Voting Shares on the Canadian Stock Exchange on the trading day immediately prior to the 12 month anniversary of the Acquisition is less than the Initial Share Price. In that case, the Issuer will pay to </w:t>
      </w:r>
      <w:r>
        <w:rPr>
          <w:rFonts w:ascii="Arial" w:hAnsi="Arial" w:cs="Arial"/>
          <w:i/>
          <w:iCs/>
          <w:color w:val="000000"/>
        </w:rPr>
        <w:t>the Sellers an aggregate amount equal to (a) 12.5% of the number of Subordinate Voting Shares that would have been issued on the closing date of the Acquisition, multiplied by (b) the Initial Share Price less the closing market price of the Subordinate Vot</w:t>
      </w:r>
      <w:r>
        <w:rPr>
          <w:rFonts w:ascii="Arial" w:hAnsi="Arial" w:cs="Arial"/>
          <w:i/>
          <w:iCs/>
          <w:color w:val="000000"/>
        </w:rPr>
        <w:t>ing Shares on the Canadian Stock Exchange on the trading day immediately prior to the 12 month anniversary of the of the Acquisition, which amount will be satisfied by delivery of Subordinate Voting Shares determined by dividing the foregoing amount by the</w:t>
      </w:r>
      <w:r>
        <w:rPr>
          <w:rFonts w:ascii="Arial" w:hAnsi="Arial" w:cs="Arial"/>
          <w:i/>
          <w:iCs/>
          <w:color w:val="000000"/>
        </w:rPr>
        <w:t xml:space="preserve"> closing market price of the Subordinate Voting Shares on the Canadian Stock Exchange immediately prior to the 12 month anniversary of the closing date of the Acquisition.</w:t>
      </w:r>
    </w:p>
    <w:p w14:paraId="7FBCF58B" w14:textId="77777777" w:rsidR="007D1632" w:rsidRDefault="00862BC1">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i/>
          <w:iCs/>
          <w:color w:val="000000"/>
        </w:rPr>
        <w:t>N/A</w:t>
      </w:r>
    </w:p>
    <w:p w14:paraId="0F24CD9C" w14:textId="77777777" w:rsidR="007D1632" w:rsidRDefault="00862BC1">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i/>
          <w:iCs/>
          <w:color w:val="000000"/>
        </w:rPr>
        <w:t>N/A</w:t>
      </w:r>
    </w:p>
    <w:p w14:paraId="11F093BF" w14:textId="77777777" w:rsidR="007D1632" w:rsidRDefault="00862BC1">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State ho</w:t>
      </w:r>
      <w:r>
        <w:rPr>
          <w:rFonts w:ascii="Arial" w:hAnsi="Arial"/>
          <w:color w:val="000000"/>
        </w:rPr>
        <w:t>w the purchase or sale price was determined (e.g. arm’s-length negotiation, independent committee of the Board, third party valuation etc).</w:t>
      </w:r>
    </w:p>
    <w:p w14:paraId="5560B118" w14:textId="77777777" w:rsidR="007D1632" w:rsidRDefault="00862BC1">
      <w:pPr>
        <w:pStyle w:val="List"/>
        <w:tabs>
          <w:tab w:val="left" w:pos="9180"/>
        </w:tabs>
        <w:rPr>
          <w:rFonts w:ascii="Arial" w:hAnsi="Arial"/>
          <w:color w:val="000000"/>
          <w:u w:val="single"/>
        </w:rPr>
      </w:pPr>
      <w:r>
        <w:rPr>
          <w:rFonts w:ascii="Arial" w:hAnsi="Arial"/>
          <w:i/>
          <w:iCs/>
          <w:color w:val="000000"/>
        </w:rPr>
        <w:tab/>
        <w:t>The Purchase Price and the Make Whole Payments were determined by arm’s length negotiation among the parties to the</w:t>
      </w:r>
      <w:r>
        <w:rPr>
          <w:rFonts w:ascii="Arial" w:hAnsi="Arial"/>
          <w:i/>
          <w:iCs/>
          <w:color w:val="000000"/>
        </w:rPr>
        <w:t xml:space="preserve"> Agreement.</w:t>
      </w:r>
      <w:r>
        <w:rPr>
          <w:rFonts w:ascii="Arial" w:hAnsi="Arial"/>
          <w:color w:val="000000"/>
        </w:rPr>
        <w:t xml:space="preserve"> </w:t>
      </w:r>
    </w:p>
    <w:p w14:paraId="7976D416" w14:textId="77777777" w:rsidR="007D1632" w:rsidRDefault="00862BC1">
      <w:pPr>
        <w:pStyle w:val="List"/>
        <w:numPr>
          <w:ilvl w:val="0"/>
          <w:numId w:val="14"/>
        </w:numPr>
        <w:tabs>
          <w:tab w:val="clear" w:pos="360"/>
          <w:tab w:val="num" w:pos="1080"/>
          <w:tab w:val="left" w:pos="9180"/>
        </w:tabs>
        <w:ind w:left="1080" w:hanging="1080"/>
        <w:jc w:val="both"/>
        <w:rPr>
          <w:rFonts w:ascii="Arial" w:hAnsi="Arial"/>
          <w:i/>
          <w:iCs/>
          <w:color w:val="000000"/>
        </w:rPr>
      </w:pPr>
      <w:r>
        <w:rPr>
          <w:rFonts w:ascii="Arial" w:hAnsi="Arial"/>
          <w:color w:val="000000"/>
        </w:rPr>
        <w:t>Provide details of any appraisal or valuation of the subject of the acquisition known to management of the Issuer:</w:t>
      </w:r>
      <w:r>
        <w:rPr>
          <w:rFonts w:ascii="Arial" w:hAnsi="Arial"/>
          <w:i/>
          <w:iCs/>
          <w:color w:val="000000"/>
        </w:rPr>
        <w:t xml:space="preserve"> N/A</w:t>
      </w:r>
    </w:p>
    <w:p w14:paraId="5EB33F2F" w14:textId="77777777" w:rsidR="007D1632" w:rsidRDefault="00862BC1">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 xml:space="preserve">The names of parties receiving securities of the Issuer pursuant to the acquisition and the number of securities to be </w:t>
      </w:r>
      <w:r>
        <w:rPr>
          <w:rFonts w:ascii="Arial" w:hAnsi="Arial"/>
          <w:color w:val="000000"/>
        </w:rPr>
        <w:t>issued are described as follows:</w:t>
      </w:r>
    </w:p>
    <w:tbl>
      <w:tblPr>
        <w:tblW w:w="1026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10"/>
        <w:gridCol w:w="1170"/>
        <w:gridCol w:w="1350"/>
        <w:gridCol w:w="1620"/>
        <w:gridCol w:w="1530"/>
        <w:gridCol w:w="1350"/>
      </w:tblGrid>
      <w:tr w:rsidR="007D1632" w14:paraId="2694C08F" w14:textId="77777777">
        <w:tc>
          <w:tcPr>
            <w:tcW w:w="1530" w:type="dxa"/>
          </w:tcPr>
          <w:p w14:paraId="1D8BDD32" w14:textId="77777777" w:rsidR="007D1632" w:rsidRDefault="007D1632">
            <w:pPr>
              <w:pStyle w:val="BodyText"/>
              <w:keepNext/>
              <w:keepLines/>
              <w:spacing w:before="0" w:line="280" w:lineRule="exact"/>
              <w:jc w:val="center"/>
              <w:rPr>
                <w:rFonts w:ascii="Arial" w:hAnsi="Arial"/>
                <w:b/>
                <w:sz w:val="20"/>
                <w:lang w:val="en-CA"/>
              </w:rPr>
            </w:pPr>
          </w:p>
          <w:p w14:paraId="19B188F4" w14:textId="77777777" w:rsidR="007D1632" w:rsidRDefault="00862BC1">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710" w:type="dxa"/>
          </w:tcPr>
          <w:p w14:paraId="4ADFBE8C" w14:textId="77777777" w:rsidR="007D1632" w:rsidRDefault="007D1632">
            <w:pPr>
              <w:pStyle w:val="BodyText"/>
              <w:keepNext/>
              <w:keepLines/>
              <w:spacing w:before="0" w:line="280" w:lineRule="exact"/>
              <w:jc w:val="center"/>
              <w:rPr>
                <w:rFonts w:ascii="Arial" w:hAnsi="Arial"/>
                <w:b/>
                <w:sz w:val="20"/>
                <w:lang w:val="en-CA"/>
              </w:rPr>
            </w:pPr>
          </w:p>
          <w:p w14:paraId="049DECC3" w14:textId="77777777" w:rsidR="007D1632" w:rsidRDefault="00862BC1">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170" w:type="dxa"/>
          </w:tcPr>
          <w:p w14:paraId="39909788" w14:textId="77777777" w:rsidR="007D1632" w:rsidRDefault="007D1632">
            <w:pPr>
              <w:pStyle w:val="BodyText"/>
              <w:keepNext/>
              <w:keepLines/>
              <w:spacing w:before="0" w:line="280" w:lineRule="exact"/>
              <w:jc w:val="center"/>
              <w:rPr>
                <w:rFonts w:ascii="Arial" w:hAnsi="Arial"/>
                <w:b/>
                <w:sz w:val="20"/>
                <w:lang w:val="en-CA"/>
              </w:rPr>
            </w:pPr>
          </w:p>
          <w:p w14:paraId="7B121A10" w14:textId="77777777" w:rsidR="007D1632" w:rsidRDefault="00862BC1">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350" w:type="dxa"/>
          </w:tcPr>
          <w:p w14:paraId="007ED9F8" w14:textId="77777777" w:rsidR="007D1632" w:rsidRDefault="007D1632">
            <w:pPr>
              <w:pStyle w:val="BodyText"/>
              <w:keepNext/>
              <w:keepLines/>
              <w:spacing w:before="0" w:line="280" w:lineRule="exact"/>
              <w:jc w:val="center"/>
              <w:rPr>
                <w:rFonts w:ascii="Arial" w:hAnsi="Arial"/>
                <w:b/>
                <w:sz w:val="20"/>
                <w:lang w:val="en-CA"/>
              </w:rPr>
            </w:pPr>
          </w:p>
          <w:p w14:paraId="1D7C9FD7" w14:textId="77777777" w:rsidR="007D1632" w:rsidRDefault="00862BC1">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620" w:type="dxa"/>
          </w:tcPr>
          <w:p w14:paraId="510CBD0B" w14:textId="77777777" w:rsidR="007D1632" w:rsidRDefault="007D1632">
            <w:pPr>
              <w:pStyle w:val="BodyText"/>
              <w:keepNext/>
              <w:keepLines/>
              <w:spacing w:before="0" w:line="280" w:lineRule="exact"/>
              <w:jc w:val="center"/>
              <w:rPr>
                <w:rFonts w:ascii="Arial" w:hAnsi="Arial"/>
                <w:b/>
                <w:sz w:val="20"/>
                <w:lang w:val="en-CA"/>
              </w:rPr>
            </w:pPr>
          </w:p>
          <w:p w14:paraId="70BD2E57" w14:textId="77777777" w:rsidR="007D1632" w:rsidRDefault="00862BC1">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530" w:type="dxa"/>
          </w:tcPr>
          <w:p w14:paraId="24A7B1F3" w14:textId="77777777" w:rsidR="007D1632" w:rsidRDefault="007D1632">
            <w:pPr>
              <w:pStyle w:val="BodyText"/>
              <w:keepNext/>
              <w:keepLines/>
              <w:spacing w:before="0" w:line="280" w:lineRule="exact"/>
              <w:jc w:val="center"/>
              <w:rPr>
                <w:rFonts w:ascii="Arial" w:hAnsi="Arial"/>
                <w:b/>
                <w:sz w:val="20"/>
              </w:rPr>
            </w:pPr>
          </w:p>
          <w:p w14:paraId="506271F2" w14:textId="77777777" w:rsidR="007D1632" w:rsidRDefault="00862BC1">
            <w:pPr>
              <w:pStyle w:val="BodyText"/>
              <w:keepNext/>
              <w:keepLines/>
              <w:spacing w:before="0" w:line="280" w:lineRule="exact"/>
              <w:jc w:val="center"/>
              <w:rPr>
                <w:rFonts w:ascii="Arial" w:hAnsi="Arial"/>
                <w:b/>
                <w:sz w:val="20"/>
                <w:lang w:val="en-CA"/>
              </w:rPr>
            </w:pPr>
            <w:r>
              <w:rPr>
                <w:rFonts w:ascii="Arial" w:hAnsi="Arial"/>
                <w:b/>
                <w:sz w:val="20"/>
              </w:rPr>
              <w:t xml:space="preserve">Total Securities, </w:t>
            </w:r>
            <w:r>
              <w:rPr>
                <w:rFonts w:ascii="Arial" w:hAnsi="Arial"/>
                <w:b/>
                <w:sz w:val="20"/>
              </w:rPr>
              <w:t>Previously Owned, Controlled or Directed by Party</w:t>
            </w:r>
          </w:p>
        </w:tc>
        <w:tc>
          <w:tcPr>
            <w:tcW w:w="1350" w:type="dxa"/>
          </w:tcPr>
          <w:p w14:paraId="6BBA335E" w14:textId="77777777" w:rsidR="007D1632" w:rsidRDefault="007D1632">
            <w:pPr>
              <w:pStyle w:val="BodyText"/>
              <w:keepNext/>
              <w:keepLines/>
              <w:spacing w:before="0" w:line="280" w:lineRule="exact"/>
              <w:jc w:val="center"/>
              <w:rPr>
                <w:rFonts w:ascii="Arial" w:hAnsi="Arial"/>
                <w:b/>
                <w:color w:val="000000"/>
                <w:sz w:val="20"/>
                <w:lang w:val="en-CA"/>
              </w:rPr>
            </w:pPr>
          </w:p>
          <w:p w14:paraId="615190E9" w14:textId="77777777" w:rsidR="007D1632" w:rsidRDefault="00862BC1">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11312CEA" w14:textId="77777777" w:rsidR="007D1632" w:rsidRDefault="00862BC1">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7D1632" w14:paraId="5575054A" w14:textId="77777777">
        <w:trPr>
          <w:trHeight w:hRule="exact" w:val="3592"/>
        </w:trPr>
        <w:tc>
          <w:tcPr>
            <w:tcW w:w="1530" w:type="dxa"/>
          </w:tcPr>
          <w:p w14:paraId="33AC0697" w14:textId="77777777" w:rsidR="007D1632" w:rsidRDefault="00862BC1">
            <w:pPr>
              <w:pStyle w:val="BodyText"/>
              <w:keepNext/>
              <w:keepLines/>
              <w:rPr>
                <w:rFonts w:ascii="Arial" w:hAnsi="Arial"/>
                <w:sz w:val="20"/>
                <w:lang w:val="en-CA"/>
              </w:rPr>
            </w:pPr>
            <w:r>
              <w:rPr>
                <w:rFonts w:ascii="Arial" w:hAnsi="Arial"/>
                <w:sz w:val="20"/>
                <w:lang w:val="en-CA"/>
              </w:rPr>
              <w:t>Sellers</w:t>
            </w:r>
          </w:p>
        </w:tc>
        <w:tc>
          <w:tcPr>
            <w:tcW w:w="1710" w:type="dxa"/>
          </w:tcPr>
          <w:p w14:paraId="6985A41F" w14:textId="77777777" w:rsidR="007D1632" w:rsidRDefault="00862BC1">
            <w:pPr>
              <w:pStyle w:val="BodyText"/>
              <w:keepNext/>
              <w:keepLines/>
              <w:spacing w:before="0"/>
              <w:jc w:val="both"/>
              <w:rPr>
                <w:rFonts w:ascii="Arial" w:hAnsi="Arial"/>
                <w:sz w:val="20"/>
                <w:lang w:val="en-CA"/>
              </w:rPr>
            </w:pPr>
            <w:r>
              <w:rPr>
                <w:rFonts w:ascii="Arial" w:hAnsi="Arial"/>
                <w:sz w:val="20"/>
                <w:lang w:val="en-CA"/>
              </w:rPr>
              <w:t>83,566 Subordinate Voting Shares</w:t>
            </w:r>
          </w:p>
        </w:tc>
        <w:tc>
          <w:tcPr>
            <w:tcW w:w="1170" w:type="dxa"/>
          </w:tcPr>
          <w:p w14:paraId="46F62E3A" w14:textId="77777777" w:rsidR="007D1632" w:rsidRDefault="00862BC1">
            <w:pPr>
              <w:pStyle w:val="BodyText"/>
              <w:keepNext/>
              <w:keepLines/>
              <w:jc w:val="both"/>
              <w:rPr>
                <w:rFonts w:ascii="Arial" w:hAnsi="Arial"/>
                <w:sz w:val="20"/>
                <w:lang w:val="en-CA"/>
              </w:rPr>
            </w:pPr>
            <w:r>
              <w:rPr>
                <w:rFonts w:ascii="Arial" w:hAnsi="Arial"/>
                <w:sz w:val="20"/>
                <w:lang w:val="en-CA"/>
              </w:rPr>
              <w:t>$15.85</w:t>
            </w:r>
          </w:p>
          <w:p w14:paraId="6D582F4C" w14:textId="77777777" w:rsidR="007D1632" w:rsidRDefault="007D1632">
            <w:pPr>
              <w:pStyle w:val="BodyText"/>
              <w:keepNext/>
              <w:keepLines/>
              <w:jc w:val="both"/>
              <w:rPr>
                <w:rFonts w:ascii="Arial" w:hAnsi="Arial"/>
                <w:sz w:val="20"/>
                <w:lang w:val="en-CA"/>
              </w:rPr>
            </w:pPr>
          </w:p>
          <w:p w14:paraId="6B1B7AB5" w14:textId="77777777" w:rsidR="007D1632" w:rsidRDefault="007D1632">
            <w:pPr>
              <w:pStyle w:val="BodyText"/>
              <w:keepNext/>
              <w:keepLines/>
              <w:jc w:val="both"/>
              <w:rPr>
                <w:rFonts w:ascii="Arial" w:hAnsi="Arial"/>
                <w:sz w:val="20"/>
                <w:lang w:val="en-CA"/>
              </w:rPr>
            </w:pPr>
          </w:p>
          <w:p w14:paraId="183F5496" w14:textId="77777777" w:rsidR="007D1632" w:rsidRDefault="007D1632">
            <w:pPr>
              <w:pStyle w:val="BodyText"/>
              <w:keepNext/>
              <w:keepLines/>
              <w:jc w:val="both"/>
              <w:rPr>
                <w:rFonts w:ascii="Arial" w:hAnsi="Arial"/>
                <w:sz w:val="20"/>
                <w:lang w:val="en-CA"/>
              </w:rPr>
            </w:pPr>
          </w:p>
        </w:tc>
        <w:tc>
          <w:tcPr>
            <w:tcW w:w="1350" w:type="dxa"/>
          </w:tcPr>
          <w:p w14:paraId="509CC872" w14:textId="77777777" w:rsidR="007D1632" w:rsidRDefault="00862BC1">
            <w:pPr>
              <w:pStyle w:val="BodyText"/>
              <w:keepNext/>
              <w:keepLines/>
              <w:jc w:val="both"/>
              <w:rPr>
                <w:rFonts w:ascii="Arial" w:hAnsi="Arial"/>
                <w:sz w:val="20"/>
                <w:lang w:val="en-CA"/>
              </w:rPr>
            </w:pPr>
            <w:r>
              <w:rPr>
                <w:rFonts w:ascii="Arial" w:hAnsi="Arial"/>
                <w:sz w:val="20"/>
                <w:lang w:val="en-CA"/>
              </w:rPr>
              <w:t>N/A</w:t>
            </w:r>
          </w:p>
        </w:tc>
        <w:tc>
          <w:tcPr>
            <w:tcW w:w="1620" w:type="dxa"/>
          </w:tcPr>
          <w:p w14:paraId="29C2A1F8" w14:textId="77777777" w:rsidR="007D1632" w:rsidRDefault="007D1632">
            <w:pPr>
              <w:pStyle w:val="BodyText"/>
              <w:keepNext/>
              <w:keepLines/>
              <w:spacing w:before="0"/>
              <w:jc w:val="both"/>
              <w:rPr>
                <w:rFonts w:ascii="Arial" w:hAnsi="Arial"/>
                <w:sz w:val="20"/>
                <w:lang w:val="en-CA"/>
              </w:rPr>
            </w:pPr>
          </w:p>
          <w:p w14:paraId="2ACC77CB" w14:textId="77777777" w:rsidR="007D1632" w:rsidRDefault="00862BC1">
            <w:pPr>
              <w:pStyle w:val="BodyText"/>
              <w:keepNext/>
              <w:keepLines/>
              <w:spacing w:before="0"/>
              <w:jc w:val="both"/>
              <w:rPr>
                <w:rFonts w:ascii="Arial" w:hAnsi="Arial"/>
                <w:sz w:val="20"/>
                <w:lang w:val="en-CA"/>
              </w:rPr>
            </w:pPr>
            <w:r>
              <w:rPr>
                <w:rFonts w:ascii="Arial" w:hAnsi="Arial"/>
                <w:sz w:val="20"/>
                <w:lang w:val="en-CA"/>
              </w:rPr>
              <w:t xml:space="preserve">S. 2.11 of </w:t>
            </w:r>
          </w:p>
          <w:p w14:paraId="011C7247" w14:textId="77777777" w:rsidR="007D1632" w:rsidRDefault="00862BC1">
            <w:pPr>
              <w:pStyle w:val="BodyText"/>
              <w:keepNext/>
              <w:keepLines/>
              <w:spacing w:before="0"/>
              <w:jc w:val="both"/>
              <w:rPr>
                <w:rFonts w:ascii="Arial" w:hAnsi="Arial"/>
                <w:sz w:val="20"/>
                <w:lang w:val="en-CA"/>
              </w:rPr>
            </w:pPr>
            <w:r>
              <w:rPr>
                <w:rFonts w:ascii="Arial" w:hAnsi="Arial"/>
                <w:sz w:val="20"/>
                <w:lang w:val="en-CA"/>
              </w:rPr>
              <w:t xml:space="preserve">National </w:t>
            </w:r>
          </w:p>
          <w:p w14:paraId="3B58C4DE" w14:textId="77777777" w:rsidR="007D1632" w:rsidRDefault="00862BC1">
            <w:pPr>
              <w:pStyle w:val="BodyText"/>
              <w:keepNext/>
              <w:keepLines/>
              <w:spacing w:before="0"/>
              <w:jc w:val="both"/>
              <w:rPr>
                <w:rFonts w:ascii="Arial" w:hAnsi="Arial"/>
                <w:sz w:val="20"/>
                <w:lang w:val="en-CA"/>
              </w:rPr>
            </w:pPr>
            <w:r>
              <w:rPr>
                <w:rFonts w:ascii="Arial" w:hAnsi="Arial"/>
                <w:sz w:val="20"/>
                <w:lang w:val="en-CA"/>
              </w:rPr>
              <w:t xml:space="preserve">Instrument </w:t>
            </w:r>
          </w:p>
          <w:p w14:paraId="57853F88" w14:textId="77777777" w:rsidR="007D1632" w:rsidRDefault="00862BC1">
            <w:pPr>
              <w:pStyle w:val="BodyText"/>
              <w:keepNext/>
              <w:keepLines/>
              <w:spacing w:before="0"/>
              <w:jc w:val="both"/>
              <w:rPr>
                <w:rFonts w:ascii="Arial" w:hAnsi="Arial"/>
                <w:sz w:val="20"/>
                <w:lang w:val="en-CA"/>
              </w:rPr>
            </w:pPr>
            <w:r>
              <w:rPr>
                <w:rFonts w:ascii="Arial" w:hAnsi="Arial"/>
                <w:sz w:val="20"/>
                <w:lang w:val="en-CA"/>
              </w:rPr>
              <w:t>45-106.</w:t>
            </w:r>
          </w:p>
        </w:tc>
        <w:tc>
          <w:tcPr>
            <w:tcW w:w="1530" w:type="dxa"/>
          </w:tcPr>
          <w:p w14:paraId="2DE32344" w14:textId="77777777" w:rsidR="007D1632" w:rsidRDefault="007D1632">
            <w:pPr>
              <w:pStyle w:val="BodyText"/>
              <w:keepNext/>
              <w:keepLines/>
              <w:spacing w:before="0"/>
              <w:jc w:val="both"/>
              <w:rPr>
                <w:rFonts w:ascii="Arial" w:hAnsi="Arial"/>
                <w:sz w:val="20"/>
                <w:lang w:val="en-CA"/>
              </w:rPr>
            </w:pPr>
          </w:p>
          <w:p w14:paraId="7DCCBFE4" w14:textId="77777777" w:rsidR="007D1632" w:rsidRDefault="00862BC1">
            <w:pPr>
              <w:pStyle w:val="BodyText"/>
              <w:keepNext/>
              <w:keepLines/>
              <w:spacing w:before="0"/>
              <w:jc w:val="both"/>
              <w:rPr>
                <w:rFonts w:ascii="Arial" w:hAnsi="Arial"/>
                <w:sz w:val="20"/>
                <w:lang w:val="en-CA"/>
              </w:rPr>
            </w:pPr>
            <w:r>
              <w:rPr>
                <w:rFonts w:ascii="Arial" w:hAnsi="Arial"/>
                <w:sz w:val="20"/>
                <w:lang w:val="en-CA"/>
              </w:rPr>
              <w:t>4,455,471</w:t>
            </w:r>
          </w:p>
          <w:p w14:paraId="32EA8604" w14:textId="77777777" w:rsidR="007D1632" w:rsidRDefault="00862BC1">
            <w:pPr>
              <w:pStyle w:val="BodyText"/>
              <w:keepNext/>
              <w:keepLines/>
              <w:spacing w:before="0"/>
              <w:rPr>
                <w:rFonts w:ascii="Arial" w:hAnsi="Arial"/>
                <w:sz w:val="20"/>
                <w:lang w:val="en-CA"/>
              </w:rPr>
            </w:pPr>
            <w:r>
              <w:rPr>
                <w:rFonts w:ascii="Arial" w:hAnsi="Arial"/>
                <w:sz w:val="20"/>
                <w:lang w:val="en-CA"/>
              </w:rPr>
              <w:t>Subordinate Voting Shares</w:t>
            </w:r>
          </w:p>
          <w:p w14:paraId="6A24086A" w14:textId="77777777" w:rsidR="007D1632" w:rsidRDefault="00862BC1">
            <w:pPr>
              <w:pStyle w:val="BodyText"/>
              <w:keepNext/>
              <w:keepLines/>
              <w:spacing w:before="0"/>
              <w:rPr>
                <w:rFonts w:ascii="Arial" w:hAnsi="Arial"/>
                <w:sz w:val="20"/>
                <w:lang w:val="en-CA"/>
              </w:rPr>
            </w:pPr>
            <w:r>
              <w:rPr>
                <w:rFonts w:ascii="Arial" w:hAnsi="Arial"/>
                <w:sz w:val="20"/>
                <w:lang w:val="en-CA"/>
              </w:rPr>
              <w:t xml:space="preserve">issued upon </w:t>
            </w:r>
            <w:r>
              <w:rPr>
                <w:rFonts w:ascii="Arial" w:hAnsi="Arial"/>
                <w:sz w:val="20"/>
                <w:lang w:val="en-CA"/>
              </w:rPr>
              <w:t>consummation of the Acquisition and as partial payment for the Earn-Out.</w:t>
            </w:r>
          </w:p>
          <w:p w14:paraId="0363B6DC" w14:textId="77777777" w:rsidR="007D1632" w:rsidRDefault="007D1632">
            <w:pPr>
              <w:pStyle w:val="BodyText"/>
              <w:keepNext/>
              <w:keepLines/>
              <w:spacing w:before="0"/>
              <w:jc w:val="both"/>
              <w:rPr>
                <w:rFonts w:ascii="Arial" w:hAnsi="Arial"/>
                <w:sz w:val="20"/>
                <w:lang w:val="en-CA"/>
              </w:rPr>
            </w:pPr>
          </w:p>
          <w:p w14:paraId="236ABC10" w14:textId="77777777" w:rsidR="007D1632" w:rsidRDefault="007D1632">
            <w:pPr>
              <w:pStyle w:val="BodyText"/>
              <w:keepNext/>
              <w:keepLines/>
              <w:jc w:val="both"/>
              <w:rPr>
                <w:rFonts w:ascii="Arial" w:hAnsi="Arial"/>
                <w:sz w:val="20"/>
                <w:lang w:val="en-CA"/>
              </w:rPr>
            </w:pPr>
          </w:p>
        </w:tc>
        <w:tc>
          <w:tcPr>
            <w:tcW w:w="1350" w:type="dxa"/>
          </w:tcPr>
          <w:p w14:paraId="50BD76BF" w14:textId="77777777" w:rsidR="007D1632" w:rsidRDefault="007D1632">
            <w:pPr>
              <w:pStyle w:val="BodyText"/>
              <w:keepNext/>
              <w:keepLines/>
              <w:spacing w:before="0"/>
              <w:jc w:val="both"/>
              <w:rPr>
                <w:rFonts w:ascii="Arial" w:hAnsi="Arial"/>
                <w:sz w:val="20"/>
                <w:lang w:val="en-CA"/>
              </w:rPr>
            </w:pPr>
          </w:p>
          <w:p w14:paraId="0F815B6D" w14:textId="77777777" w:rsidR="007D1632" w:rsidRDefault="00862BC1">
            <w:pPr>
              <w:pStyle w:val="BodyText"/>
              <w:keepNext/>
              <w:keepLines/>
              <w:spacing w:before="0"/>
              <w:rPr>
                <w:rFonts w:ascii="Arial" w:hAnsi="Arial"/>
                <w:sz w:val="20"/>
                <w:lang w:val="en-CA"/>
              </w:rPr>
            </w:pPr>
            <w:r>
              <w:rPr>
                <w:rFonts w:ascii="Arial" w:hAnsi="Arial"/>
                <w:sz w:val="20"/>
                <w:lang w:val="en-CA"/>
              </w:rPr>
              <w:t>Not a related</w:t>
            </w:r>
          </w:p>
          <w:p w14:paraId="709D167F" w14:textId="77777777" w:rsidR="007D1632" w:rsidRDefault="00862BC1">
            <w:pPr>
              <w:pStyle w:val="BodyText"/>
              <w:keepNext/>
              <w:keepLines/>
              <w:spacing w:before="0"/>
              <w:rPr>
                <w:rFonts w:ascii="Arial" w:hAnsi="Arial"/>
                <w:sz w:val="20"/>
                <w:lang w:val="en-CA"/>
              </w:rPr>
            </w:pPr>
            <w:r>
              <w:rPr>
                <w:rFonts w:ascii="Arial" w:hAnsi="Arial"/>
                <w:sz w:val="20"/>
                <w:lang w:val="en-CA"/>
              </w:rPr>
              <w:t xml:space="preserve">person.  </w:t>
            </w:r>
          </w:p>
        </w:tc>
      </w:tr>
    </w:tbl>
    <w:p w14:paraId="0558CB2B" w14:textId="77777777" w:rsidR="007D1632" w:rsidRDefault="00862BC1">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3A76D796" w14:textId="77777777" w:rsidR="007D1632" w:rsidRDefault="007D1632">
      <w:pPr>
        <w:pStyle w:val="BodyText"/>
        <w:rPr>
          <w:rFonts w:ascii="Arial" w:hAnsi="Arial"/>
          <w:sz w:val="20"/>
        </w:rPr>
      </w:pPr>
    </w:p>
    <w:p w14:paraId="7C395A59" w14:textId="77777777" w:rsidR="007D1632" w:rsidRDefault="00862BC1">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 xml:space="preserve">Details of the steps taken by the Issuer to ensure that the vendor has good title to the assets being acquired: </w:t>
      </w:r>
    </w:p>
    <w:p w14:paraId="3F4C05C3" w14:textId="77777777" w:rsidR="007D1632" w:rsidRDefault="00862BC1">
      <w:pPr>
        <w:pStyle w:val="List"/>
        <w:tabs>
          <w:tab w:val="left" w:pos="9180"/>
        </w:tabs>
        <w:jc w:val="both"/>
        <w:rPr>
          <w:rFonts w:ascii="Arial" w:hAnsi="Arial"/>
          <w:i/>
          <w:iCs/>
          <w:color w:val="000000"/>
        </w:rPr>
      </w:pPr>
      <w:r>
        <w:rPr>
          <w:rFonts w:ascii="Arial" w:hAnsi="Arial"/>
          <w:i/>
          <w:iCs/>
          <w:color w:val="000000"/>
        </w:rPr>
        <w:tab/>
        <w:t>The Company received representations and warranties in the Agreement and ancillary documents regarding the Sellers’ title to the membership in</w:t>
      </w:r>
      <w:r>
        <w:rPr>
          <w:rFonts w:ascii="Arial" w:hAnsi="Arial"/>
          <w:i/>
          <w:iCs/>
          <w:color w:val="000000"/>
        </w:rPr>
        <w:t>terests of the Company and the Company’s title to its assets.</w:t>
      </w:r>
    </w:p>
    <w:p w14:paraId="6285E660" w14:textId="77777777" w:rsidR="007D1632" w:rsidRDefault="00862BC1">
      <w:pPr>
        <w:pStyle w:val="List"/>
        <w:numPr>
          <w:ilvl w:val="0"/>
          <w:numId w:val="14"/>
        </w:numPr>
        <w:tabs>
          <w:tab w:val="clear" w:pos="360"/>
          <w:tab w:val="num" w:pos="1080"/>
          <w:tab w:val="left" w:pos="9180"/>
        </w:tabs>
        <w:ind w:left="1080" w:hanging="1080"/>
        <w:jc w:val="both"/>
        <w:rPr>
          <w:rFonts w:ascii="Arial" w:hAnsi="Arial"/>
          <w:b/>
          <w:bCs/>
        </w:rPr>
      </w:pPr>
      <w:r>
        <w:rPr>
          <w:rFonts w:ascii="Arial" w:hAnsi="Arial"/>
        </w:rPr>
        <w:t xml:space="preserve">Provide the following information for any agent’s fee, commission, bonus or finder’s fee, or other compensation paid or to be paid in connection with the acquisition (including warrants, options, etc.): </w:t>
      </w:r>
      <w:r>
        <w:t xml:space="preserve"> </w:t>
      </w:r>
      <w:r>
        <w:rPr>
          <w:rFonts w:ascii="Arial" w:hAnsi="Arial"/>
          <w:i/>
          <w:iCs/>
        </w:rPr>
        <w:t>N/A</w:t>
      </w:r>
    </w:p>
    <w:p w14:paraId="45E3D73A" w14:textId="77777777" w:rsidR="007D1632" w:rsidRDefault="00862BC1">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w:t>
      </w:r>
      <w:r>
        <w:rPr>
          <w:rFonts w:ascii="Arial" w:hAnsi="Arial"/>
        </w:rPr>
        <w:t xml:space="preserve">r person receiving compensation in connection with the acquisition (name, and if a corporation, identify persons owning or exercising voting control over 20% or more of the voting shares if known to the Issuer): </w:t>
      </w:r>
      <w:r>
        <w:rPr>
          <w:rFonts w:ascii="Arial" w:hAnsi="Arial"/>
          <w:i/>
          <w:iCs/>
        </w:rPr>
        <w:t>N/A</w:t>
      </w:r>
    </w:p>
    <w:p w14:paraId="50C4AA8E" w14:textId="77777777" w:rsidR="007D1632" w:rsidRDefault="00862BC1">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i/>
          <w:iCs/>
        </w:rPr>
        <w:t>N/A</w:t>
      </w:r>
    </w:p>
    <w:p w14:paraId="23CFE54D" w14:textId="77777777" w:rsidR="007D1632" w:rsidRDefault="00862BC1">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i/>
          <w:iCs/>
        </w:rPr>
        <w:t>N/A</w:t>
      </w:r>
    </w:p>
    <w:p w14:paraId="799C7B08" w14:textId="77777777" w:rsidR="007D1632" w:rsidRDefault="00862BC1">
      <w:pPr>
        <w:pStyle w:val="List"/>
        <w:tabs>
          <w:tab w:val="left" w:pos="2160"/>
          <w:tab w:val="left" w:pos="9180"/>
        </w:tabs>
        <w:ind w:left="2160"/>
        <w:rPr>
          <w:rFonts w:ascii="Arial" w:hAnsi="Arial"/>
        </w:rPr>
      </w:pPr>
      <w:r>
        <w:rPr>
          <w:rFonts w:ascii="Arial" w:hAnsi="Arial"/>
        </w:rPr>
        <w:t>(d)</w:t>
      </w:r>
      <w:r>
        <w:rPr>
          <w:rFonts w:ascii="Arial" w:hAnsi="Arial"/>
        </w:rPr>
        <w:tab/>
      </w:r>
      <w:r>
        <w:rPr>
          <w:rFonts w:ascii="Arial" w:hAnsi="Arial"/>
        </w:rPr>
        <w:t xml:space="preserve">Other   </w:t>
      </w:r>
      <w:r>
        <w:rPr>
          <w:rFonts w:ascii="Arial" w:hAnsi="Arial"/>
          <w:i/>
          <w:iCs/>
        </w:rPr>
        <w:t>N/A</w:t>
      </w:r>
    </w:p>
    <w:p w14:paraId="0328EDBA" w14:textId="77777777" w:rsidR="007D1632" w:rsidRDefault="00862BC1">
      <w:pPr>
        <w:pStyle w:val="List"/>
        <w:numPr>
          <w:ilvl w:val="0"/>
          <w:numId w:val="15"/>
        </w:numPr>
        <w:tabs>
          <w:tab w:val="left" w:pos="9180"/>
        </w:tabs>
        <w:rPr>
          <w:rFonts w:ascii="Arial" w:hAnsi="Arial"/>
        </w:rPr>
      </w:pPr>
      <w:r>
        <w:rPr>
          <w:rFonts w:ascii="Arial" w:hAnsi="Arial"/>
        </w:rPr>
        <w:lastRenderedPageBreak/>
        <w:t xml:space="preserve">Expiry date of any options, warrants etc.   </w:t>
      </w:r>
      <w:r>
        <w:rPr>
          <w:rFonts w:ascii="Arial" w:hAnsi="Arial"/>
          <w:i/>
          <w:iCs/>
        </w:rPr>
        <w:t>N/A</w:t>
      </w:r>
    </w:p>
    <w:p w14:paraId="5434A9F2" w14:textId="77777777" w:rsidR="007D1632" w:rsidRDefault="00862BC1">
      <w:pPr>
        <w:pStyle w:val="List"/>
        <w:numPr>
          <w:ilvl w:val="0"/>
          <w:numId w:val="15"/>
        </w:numPr>
        <w:tabs>
          <w:tab w:val="left" w:pos="2160"/>
          <w:tab w:val="left" w:pos="9180"/>
        </w:tabs>
        <w:ind w:left="1350" w:hanging="270"/>
        <w:rPr>
          <w:rFonts w:ascii="Arial" w:hAnsi="Arial"/>
          <w:color w:val="000000"/>
        </w:rPr>
      </w:pPr>
      <w:r>
        <w:rPr>
          <w:rFonts w:ascii="Arial" w:hAnsi="Arial"/>
        </w:rPr>
        <w:tab/>
        <w:t xml:space="preserve">Exercise price of any options, warrants etc.   </w:t>
      </w:r>
      <w:r>
        <w:rPr>
          <w:rFonts w:ascii="Arial" w:hAnsi="Arial"/>
          <w:i/>
          <w:iCs/>
        </w:rPr>
        <w:t>N/A</w:t>
      </w:r>
    </w:p>
    <w:p w14:paraId="03689DA9" w14:textId="77777777" w:rsidR="007D1632" w:rsidRDefault="00862BC1">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State whether the sales agent, broker or other person receiving compensation in connection with the acquisition is a Related Person or has any o</w:t>
      </w:r>
      <w:r>
        <w:rPr>
          <w:rFonts w:ascii="Arial" w:hAnsi="Arial"/>
          <w:color w:val="000000"/>
        </w:rPr>
        <w:t xml:space="preserve">ther relationship with the Issuer and provide details of the relationship.    </w:t>
      </w:r>
    </w:p>
    <w:p w14:paraId="5F75005C" w14:textId="77777777" w:rsidR="007D1632" w:rsidRDefault="00862BC1">
      <w:pPr>
        <w:pStyle w:val="List"/>
        <w:tabs>
          <w:tab w:val="left" w:pos="9180"/>
        </w:tabs>
        <w:ind w:firstLine="0"/>
        <w:jc w:val="both"/>
        <w:rPr>
          <w:rFonts w:ascii="Arial" w:hAnsi="Arial"/>
          <w:i/>
          <w:iCs/>
          <w:color w:val="000000"/>
        </w:rPr>
      </w:pPr>
      <w:r>
        <w:rPr>
          <w:rFonts w:ascii="Arial" w:hAnsi="Arial"/>
          <w:i/>
          <w:iCs/>
          <w:color w:val="000000"/>
        </w:rPr>
        <w:t>The persons receiving the Make-Whole Payment received Subordinate Voting Shares upon the consummation of the Acquisition in July 2021, and received Earn-Out Shares in January 20</w:t>
      </w:r>
      <w:r>
        <w:rPr>
          <w:rFonts w:ascii="Arial" w:hAnsi="Arial"/>
          <w:i/>
          <w:iCs/>
          <w:color w:val="000000"/>
        </w:rPr>
        <w:t>22, and therefore became shareholders of the Issuer at such time.</w:t>
      </w:r>
    </w:p>
    <w:p w14:paraId="269BAA75" w14:textId="77777777" w:rsidR="007D1632" w:rsidRDefault="00862BC1">
      <w:pPr>
        <w:pStyle w:val="List"/>
        <w:numPr>
          <w:ilvl w:val="0"/>
          <w:numId w:val="14"/>
        </w:numPr>
        <w:tabs>
          <w:tab w:val="clear" w:pos="360"/>
          <w:tab w:val="num" w:pos="1080"/>
          <w:tab w:val="left" w:pos="9180"/>
        </w:tabs>
        <w:ind w:left="1080" w:hanging="1080"/>
        <w:jc w:val="both"/>
        <w:rPr>
          <w:rFonts w:ascii="Arial" w:hAnsi="Arial"/>
          <w:b/>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i/>
          <w:iCs/>
          <w:color w:val="000000"/>
          <w:lang w:val="en-US"/>
        </w:rPr>
        <w:t>N/A</w:t>
      </w:r>
    </w:p>
    <w:p w14:paraId="3CE70699" w14:textId="77777777" w:rsidR="007D1632" w:rsidRDefault="00862BC1">
      <w:pPr>
        <w:pStyle w:val="List"/>
        <w:tabs>
          <w:tab w:val="left" w:pos="9180"/>
        </w:tabs>
        <w:jc w:val="both"/>
        <w:rPr>
          <w:rFonts w:ascii="Arial" w:hAnsi="Arial"/>
          <w:b/>
        </w:rPr>
      </w:pPr>
      <w:r>
        <w:rPr>
          <w:rFonts w:ascii="Arial" w:hAnsi="Arial"/>
          <w:b/>
        </w:rPr>
        <w:t>Forw</w:t>
      </w:r>
      <w:r>
        <w:rPr>
          <w:rFonts w:ascii="Arial" w:hAnsi="Arial"/>
          <w:b/>
        </w:rPr>
        <w:t>ard Looking Statements</w:t>
      </w:r>
    </w:p>
    <w:p w14:paraId="05F4E8FD" w14:textId="77777777" w:rsidR="007D1632" w:rsidRDefault="00862BC1">
      <w:pPr>
        <w:pStyle w:val="List"/>
        <w:tabs>
          <w:tab w:val="left" w:pos="9180"/>
        </w:tabs>
        <w:ind w:left="0" w:firstLine="0"/>
        <w:jc w:val="both"/>
        <w:rPr>
          <w:rFonts w:ascii="Arial" w:hAnsi="Arial"/>
          <w:bCs/>
          <w:i/>
          <w:iCs/>
        </w:rPr>
      </w:pPr>
      <w:r>
        <w:rPr>
          <w:rFonts w:ascii="Arial" w:hAnsi="Arial"/>
          <w:bCs/>
          <w:i/>
          <w:iCs/>
        </w:rPr>
        <w:t>This document contains certain “forward-looking information” within the meaning of applicable Canadian securities legislation. Such forward-looking information and forward-looking statements are not representative of historical facts or information or curr</w:t>
      </w:r>
      <w:r>
        <w:rPr>
          <w:rFonts w:ascii="Arial" w:hAnsi="Arial"/>
          <w:bCs/>
          <w:i/>
          <w:iCs/>
        </w:rPr>
        <w:t>ent condition, but instead represent only the Issuer’s beliefs regarding future events, plans or objectives, many of which, by their nature, are inherently uncertain and outside of the Issuer’s control. Generally, such forward-looking information or forwar</w:t>
      </w:r>
      <w:r>
        <w:rPr>
          <w:rFonts w:ascii="Arial" w:hAnsi="Arial"/>
          <w:bCs/>
          <w:i/>
          <w:iCs/>
        </w:rPr>
        <w:t>d-looking statements can be identified by the use of forward-looking terminology such as “plans”, “expects” or “does not expect”, “is expected”, “budget”, “scheduled”, “estimates”, “forecasts”, “intends”, “anticipates” or “does not anticipate”, or “believe</w:t>
      </w:r>
      <w:r>
        <w:rPr>
          <w:rFonts w:ascii="Arial" w:hAnsi="Arial"/>
          <w:bCs/>
          <w:i/>
          <w:iCs/>
        </w:rPr>
        <w:t>s”, or variations of such words and phrases or may contain statements that certain actions, events or results “may”, “could”, “would”, “might” or “will be taken”, “will continue”, “will occur” or “will be achieved”. The forward-looking information and forw</w:t>
      </w:r>
      <w:r>
        <w:rPr>
          <w:rFonts w:ascii="Arial" w:hAnsi="Arial"/>
          <w:bCs/>
          <w:i/>
          <w:iCs/>
        </w:rPr>
        <w:t>ard-looking statements contained herein include, but are not limited to statements or information with respect to the future contingent consideration payable pursuant to the terms of the Agreement. Such forward-looking information and statements reflect ma</w:t>
      </w:r>
      <w:r>
        <w:rPr>
          <w:rFonts w:ascii="Arial" w:hAnsi="Arial"/>
          <w:bCs/>
          <w:i/>
          <w:iCs/>
        </w:rPr>
        <w:t>nagement’s current beliefs and are based on assumptions made by and information currently available to the Issuer with respect to the matters described in this document. Such information, statements and assumptions involve and are subject to a number of kn</w:t>
      </w:r>
      <w:r>
        <w:rPr>
          <w:rFonts w:ascii="Arial" w:hAnsi="Arial"/>
          <w:bCs/>
          <w:i/>
          <w:iCs/>
        </w:rPr>
        <w:t>own and unknown risks, uncertainties and other factors which may cause actual events, results, performance or achievements of the Issuer to be materially different from future events, results, performance, and achievements expressed or implied by forward-l</w:t>
      </w:r>
      <w:r>
        <w:rPr>
          <w:rFonts w:ascii="Arial" w:hAnsi="Arial"/>
          <w:bCs/>
          <w:i/>
          <w:iCs/>
        </w:rPr>
        <w:t>ooking information and statements herein, risks relating to fluctuations in the Issuer’s share price, receipt of necessary regulatory approvals, and other economic conditions, and the risk factors discussed in the Issuer’s filings including the financial s</w:t>
      </w:r>
      <w:r>
        <w:rPr>
          <w:rFonts w:ascii="Arial" w:hAnsi="Arial"/>
          <w:bCs/>
          <w:i/>
          <w:iCs/>
        </w:rPr>
        <w:t>tatements and MD&amp;A for the fiscal year ending December 31, 2020 and the financial statements and MD&amp;A for the three and nine months ended September 30, 2021 on SEDAR at www.sedar.com. The forward-looking information and forward-looking statements contained</w:t>
      </w:r>
      <w:r>
        <w:rPr>
          <w:rFonts w:ascii="Arial" w:hAnsi="Arial"/>
          <w:bCs/>
          <w:i/>
          <w:iCs/>
        </w:rPr>
        <w:t xml:space="preserve"> in this document are made as of the date of this document, and the Issuer does not undertake to update any forward-</w:t>
      </w:r>
      <w:r>
        <w:rPr>
          <w:rFonts w:ascii="Arial" w:hAnsi="Arial"/>
          <w:bCs/>
          <w:i/>
          <w:iCs/>
        </w:rPr>
        <w:lastRenderedPageBreak/>
        <w:t>looking information or forward-looking statements that are contained or referenced herein, except as may be required in accordance with appl</w:t>
      </w:r>
      <w:r>
        <w:rPr>
          <w:rFonts w:ascii="Arial" w:hAnsi="Arial"/>
          <w:bCs/>
          <w:i/>
          <w:iCs/>
        </w:rPr>
        <w:t xml:space="preserve">icable securities laws. We caution investors not to place considerable reliance on the forward-looking statements contained in this document. </w:t>
      </w:r>
      <w:r>
        <w:rPr>
          <w:rFonts w:ascii="Arial" w:hAnsi="Arial"/>
          <w:bCs/>
          <w:i/>
          <w:iCs/>
        </w:rPr>
        <w:br w:type="page"/>
      </w:r>
    </w:p>
    <w:p w14:paraId="1F9AD760" w14:textId="77777777" w:rsidR="007D1632" w:rsidRDefault="00862BC1">
      <w:pPr>
        <w:pStyle w:val="List"/>
        <w:tabs>
          <w:tab w:val="left" w:pos="1080"/>
        </w:tabs>
        <w:ind w:left="0" w:firstLine="0"/>
        <w:rPr>
          <w:rFonts w:ascii="Arial" w:hAnsi="Arial"/>
        </w:rPr>
      </w:pPr>
      <w:r>
        <w:rPr>
          <w:rFonts w:ascii="Arial" w:hAnsi="Arial"/>
          <w:b/>
        </w:rPr>
        <w:lastRenderedPageBreak/>
        <w:t>Certificate Of Compliance</w:t>
      </w:r>
    </w:p>
    <w:p w14:paraId="124550D3" w14:textId="77777777" w:rsidR="007D1632" w:rsidRDefault="00862BC1">
      <w:pPr>
        <w:pStyle w:val="BodyText"/>
        <w:rPr>
          <w:rFonts w:ascii="Arial" w:hAnsi="Arial"/>
        </w:rPr>
      </w:pPr>
      <w:r>
        <w:rPr>
          <w:rFonts w:ascii="Arial" w:hAnsi="Arial"/>
        </w:rPr>
        <w:t>The undersigned hereby certifies that:</w:t>
      </w:r>
    </w:p>
    <w:p w14:paraId="083A650E" w14:textId="77777777" w:rsidR="007D1632" w:rsidRDefault="00862BC1">
      <w:pPr>
        <w:pStyle w:val="List"/>
        <w:jc w:val="both"/>
        <w:rPr>
          <w:rFonts w:ascii="Arial" w:hAnsi="Arial"/>
        </w:rPr>
      </w:pPr>
      <w:r>
        <w:rPr>
          <w:rFonts w:ascii="Arial" w:hAnsi="Arial"/>
        </w:rPr>
        <w:t>1.</w:t>
      </w:r>
      <w:r>
        <w:rPr>
          <w:rFonts w:ascii="Arial" w:hAnsi="Arial"/>
        </w:rPr>
        <w:tab/>
        <w:t xml:space="preserve">The undersigned is a director and/or senior </w:t>
      </w:r>
      <w:r>
        <w:rPr>
          <w:rFonts w:ascii="Arial" w:hAnsi="Arial"/>
        </w:rPr>
        <w:t>officer of the Issuer and has been duly authorized by a resolution of the board of directors of the Issuer to sign this Certificate of Compliance on behalf of the Issuer.</w:t>
      </w:r>
    </w:p>
    <w:p w14:paraId="4343789E" w14:textId="77777777" w:rsidR="007D1632" w:rsidRDefault="00862BC1">
      <w:pPr>
        <w:pStyle w:val="List"/>
        <w:numPr>
          <w:ilvl w:val="0"/>
          <w:numId w:val="7"/>
        </w:numPr>
        <w:jc w:val="both"/>
        <w:rPr>
          <w:rFonts w:ascii="Arial" w:hAnsi="Arial"/>
        </w:rPr>
      </w:pPr>
      <w:r>
        <w:rPr>
          <w:rFonts w:ascii="Arial" w:hAnsi="Arial"/>
        </w:rPr>
        <w:t>As of the date hereof there is not material information concerning the Issuer which h</w:t>
      </w:r>
      <w:r>
        <w:rPr>
          <w:rFonts w:ascii="Arial" w:hAnsi="Arial"/>
        </w:rPr>
        <w:t>as not been publicly disclosed.</w:t>
      </w:r>
    </w:p>
    <w:p w14:paraId="0E771786" w14:textId="77777777" w:rsidR="007D1632" w:rsidRDefault="007D1632">
      <w:pPr>
        <w:pStyle w:val="List"/>
        <w:ind w:firstLine="0"/>
        <w:jc w:val="both"/>
        <w:rPr>
          <w:rFonts w:ascii="Arial" w:hAnsi="Arial"/>
        </w:rPr>
      </w:pPr>
    </w:p>
    <w:p w14:paraId="09CE2628" w14:textId="77777777" w:rsidR="007D1632" w:rsidRDefault="00862BC1">
      <w:pPr>
        <w:pStyle w:val="ListParagraph"/>
        <w:numPr>
          <w:ilvl w:val="0"/>
          <w:numId w:val="7"/>
        </w:numPr>
        <w:rPr>
          <w:rFonts w:ascii="Arial" w:hAnsi="Arial" w:cs="Arial"/>
          <w:sz w:val="24"/>
          <w:szCs w:val="24"/>
        </w:rPr>
      </w:pPr>
      <w:r>
        <w:rPr>
          <w:rFonts w:ascii="Arial" w:hAnsi="Arial" w:cs="Arial"/>
          <w:sz w:val="24"/>
          <w:szCs w:val="24"/>
        </w:rPr>
        <w:t>the Issuer has obtained the express written consent of each applicable individual to:</w:t>
      </w:r>
    </w:p>
    <w:p w14:paraId="449A8208" w14:textId="77777777" w:rsidR="007D1632" w:rsidRDefault="007D1632">
      <w:pPr>
        <w:pStyle w:val="ListParagraph"/>
        <w:rPr>
          <w:rFonts w:ascii="Arial" w:hAnsi="Arial" w:cs="Arial"/>
          <w:sz w:val="24"/>
          <w:szCs w:val="24"/>
        </w:rPr>
      </w:pPr>
    </w:p>
    <w:p w14:paraId="767B3AE7" w14:textId="77777777" w:rsidR="007D1632" w:rsidRDefault="00862BC1">
      <w:pPr>
        <w:pStyle w:val="ListParagraph"/>
        <w:ind w:left="1440" w:hanging="360"/>
        <w:rPr>
          <w:rFonts w:ascii="Arial" w:hAnsi="Arial" w:cs="Arial"/>
          <w:sz w:val="24"/>
          <w:szCs w:val="24"/>
        </w:rPr>
      </w:pPr>
      <w:r>
        <w:rPr>
          <w:rFonts w:ascii="Arial" w:hAnsi="Arial" w:cs="Arial"/>
          <w:sz w:val="24"/>
          <w:szCs w:val="24"/>
        </w:rPr>
        <w:t>(a)</w:t>
      </w:r>
      <w:r>
        <w:rPr>
          <w:rFonts w:ascii="Arial" w:hAnsi="Arial" w:cs="Arial"/>
          <w:sz w:val="24"/>
          <w:szCs w:val="24"/>
        </w:rPr>
        <w:tab/>
        <w:t>the disclosure of their information to the Exchange pursuant to this Form or otherwise pursuant to this filing; and</w:t>
      </w:r>
    </w:p>
    <w:p w14:paraId="708FB37D" w14:textId="77777777" w:rsidR="007D1632" w:rsidRDefault="00862BC1">
      <w:pPr>
        <w:pStyle w:val="List"/>
        <w:ind w:left="1440" w:hanging="360"/>
        <w:jc w:val="both"/>
        <w:rPr>
          <w:rFonts w:ascii="Arial" w:hAnsi="Arial"/>
        </w:rPr>
      </w:pPr>
      <w:r>
        <w:rPr>
          <w:rFonts w:ascii="Arial" w:hAnsi="Arial" w:cs="Arial"/>
          <w:szCs w:val="24"/>
        </w:rPr>
        <w:t>(b)</w:t>
      </w:r>
      <w:r>
        <w:rPr>
          <w:rFonts w:ascii="Arial" w:hAnsi="Arial" w:cs="Arial"/>
          <w:szCs w:val="24"/>
        </w:rPr>
        <w:tab/>
        <w:t xml:space="preserve">the </w:t>
      </w:r>
      <w:r>
        <w:rPr>
          <w:rFonts w:ascii="Arial" w:hAnsi="Arial" w:cs="Arial"/>
          <w:szCs w:val="24"/>
        </w:rPr>
        <w:t>collection, use and disclosure of their information by the Exchange in the manner and for the purposes described in Appendix A or as otherwise identified by the Exchange, from time to time</w:t>
      </w:r>
    </w:p>
    <w:p w14:paraId="53E5C11D" w14:textId="77777777" w:rsidR="007D1632" w:rsidRDefault="00862BC1">
      <w:pPr>
        <w:pStyle w:val="List"/>
        <w:numPr>
          <w:ilvl w:val="0"/>
          <w:numId w:val="7"/>
        </w:numPr>
        <w:jc w:val="both"/>
        <w:rPr>
          <w:rFonts w:ascii="Arial" w:hAnsi="Arial"/>
        </w:rPr>
      </w:pPr>
      <w:r>
        <w:rPr>
          <w:rFonts w:ascii="Arial" w:hAnsi="Arial"/>
        </w:rPr>
        <w:t>The undersigned hereby certifies to the Exchange that the Issuer is</w:t>
      </w:r>
      <w:r>
        <w:rPr>
          <w:rFonts w:ascii="Arial" w:hAnsi="Arial"/>
        </w:rPr>
        <w:t xml:space="preserve"> in compliance with the requirements of applicable securities legislation (as such term is defined in National Instrument 14-101) and all Exchange Requirements (as defined in CSE Policy 1).</w:t>
      </w:r>
    </w:p>
    <w:p w14:paraId="302E555F" w14:textId="77777777" w:rsidR="007D1632" w:rsidRDefault="00862BC1">
      <w:pPr>
        <w:pStyle w:val="List"/>
        <w:numPr>
          <w:ilvl w:val="0"/>
          <w:numId w:val="7"/>
        </w:numPr>
        <w:jc w:val="both"/>
        <w:rPr>
          <w:rFonts w:ascii="Arial" w:hAnsi="Arial"/>
        </w:rPr>
      </w:pPr>
      <w:r>
        <w:rPr>
          <w:rFonts w:ascii="Arial" w:hAnsi="Arial"/>
        </w:rPr>
        <w:t>All of the information in this Form 9 Notice of Issuance of Securi</w:t>
      </w:r>
      <w:r>
        <w:rPr>
          <w:rFonts w:ascii="Arial" w:hAnsi="Arial"/>
        </w:rPr>
        <w:t>ties is true.</w:t>
      </w:r>
    </w:p>
    <w:p w14:paraId="7C8DDD33" w14:textId="77777777" w:rsidR="007D1632" w:rsidRDefault="00862BC1">
      <w:pPr>
        <w:pStyle w:val="BodyText"/>
        <w:tabs>
          <w:tab w:val="left" w:pos="4680"/>
        </w:tabs>
        <w:spacing w:before="480"/>
        <w:jc w:val="both"/>
        <w:rPr>
          <w:rFonts w:ascii="Arial" w:hAnsi="Arial"/>
        </w:rPr>
      </w:pPr>
      <w:r>
        <w:rPr>
          <w:rFonts w:ascii="Arial" w:hAnsi="Arial"/>
        </w:rPr>
        <w:t>Dated February 22, 2022</w:t>
      </w:r>
    </w:p>
    <w:p w14:paraId="696BD680" w14:textId="77777777" w:rsidR="007D1632" w:rsidRDefault="00862BC1">
      <w:pPr>
        <w:pStyle w:val="List"/>
        <w:tabs>
          <w:tab w:val="left" w:pos="9180"/>
        </w:tabs>
        <w:spacing w:before="0"/>
        <w:ind w:left="5040" w:hanging="5040"/>
        <w:rPr>
          <w:rFonts w:ascii="Arial" w:hAnsi="Arial"/>
          <w:u w:val="single"/>
        </w:rPr>
      </w:pPr>
      <w:r>
        <w:rPr>
          <w:rFonts w:ascii="Arial" w:hAnsi="Arial"/>
        </w:rPr>
        <w:tab/>
      </w:r>
      <w:r>
        <w:rPr>
          <w:rFonts w:ascii="Arial" w:hAnsi="Arial"/>
          <w:u w:val="single"/>
        </w:rPr>
        <w:t>Darren Weiss</w:t>
      </w:r>
    </w:p>
    <w:p w14:paraId="6910D8C5" w14:textId="77777777" w:rsidR="007D1632" w:rsidRDefault="00862BC1">
      <w:pPr>
        <w:pStyle w:val="List"/>
        <w:tabs>
          <w:tab w:val="left" w:pos="9180"/>
        </w:tabs>
        <w:spacing w:before="0"/>
        <w:ind w:left="5040" w:hanging="5040"/>
        <w:rPr>
          <w:rFonts w:ascii="Arial" w:hAnsi="Arial"/>
        </w:rPr>
      </w:pPr>
      <w:r>
        <w:rPr>
          <w:rFonts w:ascii="Arial" w:hAnsi="Arial"/>
        </w:rPr>
        <w:tab/>
        <w:t>Name of Director or Senior Officer</w:t>
      </w:r>
    </w:p>
    <w:p w14:paraId="4658E977" w14:textId="77777777" w:rsidR="007D1632" w:rsidRDefault="00862BC1">
      <w:pPr>
        <w:pStyle w:val="List"/>
        <w:tabs>
          <w:tab w:val="left" w:pos="9180"/>
          <w:tab w:val="left" w:pos="9360"/>
        </w:tabs>
        <w:spacing w:before="0"/>
        <w:ind w:left="5040" w:hanging="5040"/>
        <w:rPr>
          <w:rFonts w:ascii="Arial" w:hAnsi="Arial"/>
          <w:i/>
          <w:iCs/>
          <w:u w:val="single"/>
        </w:rPr>
      </w:pPr>
      <w:r>
        <w:rPr>
          <w:rFonts w:ascii="Arial" w:hAnsi="Arial"/>
        </w:rPr>
        <w:tab/>
      </w:r>
      <w:r>
        <w:rPr>
          <w:rFonts w:ascii="Arial" w:hAnsi="Arial"/>
          <w:i/>
          <w:iCs/>
          <w:u w:val="single"/>
        </w:rPr>
        <w:t>/s/ Darren Weiss</w:t>
      </w:r>
    </w:p>
    <w:p w14:paraId="5C014349" w14:textId="77777777" w:rsidR="007D1632" w:rsidRDefault="00862BC1">
      <w:pPr>
        <w:pStyle w:val="List"/>
        <w:tabs>
          <w:tab w:val="left" w:pos="9180"/>
          <w:tab w:val="left" w:pos="9360"/>
        </w:tabs>
        <w:spacing w:before="0"/>
        <w:ind w:left="5040" w:hanging="5040"/>
        <w:rPr>
          <w:rFonts w:ascii="Arial" w:hAnsi="Arial"/>
        </w:rPr>
      </w:pPr>
      <w:r>
        <w:rPr>
          <w:rFonts w:ascii="Arial" w:hAnsi="Arial"/>
        </w:rPr>
        <w:tab/>
        <w:t>Signature</w:t>
      </w:r>
    </w:p>
    <w:p w14:paraId="377F252E" w14:textId="77777777" w:rsidR="007D1632" w:rsidRDefault="00862BC1">
      <w:pPr>
        <w:pStyle w:val="List"/>
        <w:tabs>
          <w:tab w:val="left" w:pos="9180"/>
          <w:tab w:val="left" w:pos="9360"/>
        </w:tabs>
        <w:spacing w:before="0"/>
        <w:ind w:left="5040" w:hanging="5040"/>
        <w:rPr>
          <w:rFonts w:ascii="Arial" w:hAnsi="Arial"/>
          <w:u w:val="single"/>
        </w:rPr>
      </w:pPr>
      <w:r>
        <w:rPr>
          <w:rFonts w:ascii="Arial" w:hAnsi="Arial"/>
        </w:rPr>
        <w:tab/>
      </w:r>
      <w:r>
        <w:rPr>
          <w:rFonts w:ascii="Arial" w:hAnsi="Arial"/>
          <w:u w:val="single"/>
        </w:rPr>
        <w:t>Chief Operating Officer, Chief Legal Officer &amp; General Counsel</w:t>
      </w:r>
    </w:p>
    <w:p w14:paraId="23C23180" w14:textId="77777777" w:rsidR="007D1632" w:rsidRDefault="00862BC1">
      <w:pPr>
        <w:pStyle w:val="List"/>
        <w:tabs>
          <w:tab w:val="left" w:pos="9180"/>
          <w:tab w:val="left" w:pos="9360"/>
        </w:tabs>
        <w:spacing w:before="0"/>
        <w:ind w:left="5040" w:hanging="5040"/>
        <w:rPr>
          <w:rFonts w:ascii="Arial" w:hAnsi="Arial"/>
        </w:rPr>
      </w:pPr>
      <w:r>
        <w:rPr>
          <w:rFonts w:ascii="Arial" w:hAnsi="Arial"/>
        </w:rPr>
        <w:tab/>
        <w:t>Official Title</w:t>
      </w:r>
      <w:r>
        <w:rPr>
          <w:rFonts w:ascii="Arial" w:hAnsi="Arial"/>
        </w:rPr>
        <w:tab/>
      </w:r>
    </w:p>
    <w:p w14:paraId="6BF1C288" w14:textId="77777777" w:rsidR="007D1632" w:rsidRDefault="00862BC1">
      <w:pPr>
        <w:pStyle w:val="List"/>
        <w:tabs>
          <w:tab w:val="left" w:pos="9180"/>
          <w:tab w:val="left" w:pos="9360"/>
        </w:tabs>
        <w:ind w:left="5760" w:hanging="5760"/>
        <w:rPr>
          <w:rFonts w:ascii="Arial" w:hAnsi="Arial"/>
        </w:rPr>
      </w:pPr>
      <w:r>
        <w:rPr>
          <w:rFonts w:ascii="Arial" w:hAnsi="Arial"/>
        </w:rPr>
        <w:tab/>
        <w:t xml:space="preserve"> </w:t>
      </w:r>
    </w:p>
    <w:p w14:paraId="34C0BCBD" w14:textId="77777777" w:rsidR="007D1632" w:rsidRDefault="007D1632">
      <w:pPr>
        <w:pStyle w:val="List"/>
        <w:tabs>
          <w:tab w:val="left" w:pos="9180"/>
          <w:tab w:val="left" w:pos="9360"/>
        </w:tabs>
        <w:ind w:left="5760" w:hanging="5760"/>
        <w:rPr>
          <w:rFonts w:ascii="Arial" w:hAnsi="Arial"/>
        </w:rPr>
      </w:pPr>
    </w:p>
    <w:p w14:paraId="611576B3" w14:textId="77777777" w:rsidR="007D1632" w:rsidRDefault="007D1632">
      <w:pPr>
        <w:pStyle w:val="List"/>
        <w:tabs>
          <w:tab w:val="left" w:pos="9180"/>
          <w:tab w:val="left" w:pos="9360"/>
        </w:tabs>
        <w:ind w:left="5760" w:hanging="5760"/>
        <w:rPr>
          <w:rFonts w:ascii="Arial" w:hAnsi="Arial"/>
        </w:rPr>
      </w:pPr>
    </w:p>
    <w:p w14:paraId="0F779B47" w14:textId="77777777" w:rsidR="007D1632" w:rsidRDefault="007D1632">
      <w:pPr>
        <w:pStyle w:val="List"/>
        <w:tabs>
          <w:tab w:val="left" w:pos="9180"/>
          <w:tab w:val="left" w:pos="9360"/>
        </w:tabs>
        <w:ind w:left="5760" w:hanging="5760"/>
        <w:rPr>
          <w:rFonts w:ascii="Arial" w:hAnsi="Arial"/>
        </w:rPr>
      </w:pPr>
    </w:p>
    <w:p w14:paraId="7A8CBBFF" w14:textId="77777777" w:rsidR="007D1632" w:rsidRDefault="007D1632">
      <w:pPr>
        <w:pStyle w:val="List"/>
        <w:tabs>
          <w:tab w:val="left" w:pos="9180"/>
          <w:tab w:val="left" w:pos="9360"/>
        </w:tabs>
        <w:ind w:left="5760" w:hanging="5760"/>
        <w:rPr>
          <w:rFonts w:ascii="Arial" w:eastAsia="Calibri" w:hAnsi="Arial" w:cs="Arial"/>
          <w:b/>
          <w:szCs w:val="24"/>
        </w:rPr>
      </w:pPr>
    </w:p>
    <w:p w14:paraId="0415113D" w14:textId="77777777" w:rsidR="007D1632" w:rsidRDefault="00862BC1">
      <w:pPr>
        <w:spacing w:before="120"/>
        <w:ind w:left="720"/>
        <w:jc w:val="center"/>
        <w:rPr>
          <w:rFonts w:ascii="Arial" w:eastAsia="Calibri" w:hAnsi="Arial" w:cs="Arial"/>
          <w:b/>
          <w:sz w:val="24"/>
          <w:szCs w:val="24"/>
        </w:rPr>
      </w:pPr>
      <w:r>
        <w:rPr>
          <w:rFonts w:ascii="Arial" w:eastAsia="Calibri" w:hAnsi="Arial" w:cs="Arial"/>
          <w:b/>
          <w:sz w:val="24"/>
          <w:szCs w:val="24"/>
        </w:rPr>
        <w:lastRenderedPageBreak/>
        <w:t>Appendix A</w:t>
      </w:r>
    </w:p>
    <w:p w14:paraId="3742FE58" w14:textId="77777777" w:rsidR="007D1632" w:rsidRDefault="00862BC1">
      <w:pPr>
        <w:spacing w:before="120"/>
        <w:ind w:left="720"/>
        <w:jc w:val="center"/>
        <w:rPr>
          <w:rFonts w:ascii="Arial" w:eastAsia="Calibri" w:hAnsi="Arial" w:cs="Arial"/>
          <w:b/>
          <w:sz w:val="24"/>
          <w:szCs w:val="24"/>
        </w:rPr>
      </w:pPr>
      <w:r>
        <w:rPr>
          <w:rFonts w:ascii="Arial" w:eastAsia="Calibri" w:hAnsi="Arial" w:cs="Arial"/>
          <w:b/>
          <w:sz w:val="24"/>
          <w:szCs w:val="24"/>
        </w:rPr>
        <w:t xml:space="preserve">PERSONAL INFORMATION </w:t>
      </w:r>
      <w:r>
        <w:rPr>
          <w:rFonts w:ascii="Arial" w:eastAsia="Calibri" w:hAnsi="Arial" w:cs="Arial"/>
          <w:b/>
          <w:sz w:val="24"/>
          <w:szCs w:val="24"/>
        </w:rPr>
        <w:t>COLLECTION POLICY REGARDING FORM 9</w:t>
      </w:r>
    </w:p>
    <w:p w14:paraId="20243DC1" w14:textId="77777777" w:rsidR="007D1632" w:rsidRDefault="00862BC1">
      <w:pPr>
        <w:spacing w:before="120"/>
        <w:ind w:left="720"/>
        <w:jc w:val="both"/>
        <w:rPr>
          <w:rFonts w:ascii="Arial" w:eastAsia="Calibri" w:hAnsi="Arial" w:cs="Arial"/>
          <w:sz w:val="24"/>
          <w:szCs w:val="24"/>
        </w:rPr>
      </w:pPr>
      <w:r>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w:t>
      </w:r>
      <w:r>
        <w:rPr>
          <w:rFonts w:ascii="Arial" w:eastAsia="Calibri" w:hAnsi="Arial" w:cs="Arial"/>
          <w:sz w:val="24"/>
          <w:szCs w:val="24"/>
        </w:rPr>
        <w:t>een provided in Form 9 for the following purposes:</w:t>
      </w:r>
    </w:p>
    <w:p w14:paraId="2961C90A" w14:textId="77777777" w:rsidR="007D1632" w:rsidRDefault="00862BC1">
      <w:pPr>
        <w:spacing w:before="120"/>
        <w:ind w:left="1854" w:hanging="567"/>
        <w:jc w:val="both"/>
        <w:rPr>
          <w:rFonts w:ascii="Arial" w:eastAsia="Calibri" w:hAnsi="Arial" w:cs="Arial"/>
          <w:sz w:val="24"/>
          <w:szCs w:val="24"/>
        </w:rPr>
      </w:pPr>
      <w:r>
        <w:rPr>
          <w:rFonts w:ascii="Arial" w:eastAsia="Calibri" w:hAnsi="Arial" w:cs="Arial"/>
          <w:sz w:val="24"/>
          <w:szCs w:val="24"/>
        </w:rPr>
        <w:tab/>
      </w:r>
    </w:p>
    <w:p w14:paraId="276A59C1" w14:textId="77777777" w:rsidR="007D1632" w:rsidRDefault="00862BC1">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individual is suitable to be associated with a Listed Issuer;</w:t>
      </w:r>
    </w:p>
    <w:p w14:paraId="360201C7" w14:textId="77777777" w:rsidR="007D1632" w:rsidRDefault="00862BC1">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issuer is suitable for listing;</w:t>
      </w:r>
    </w:p>
    <w:p w14:paraId="060AFFC5" w14:textId="77777777" w:rsidR="007D1632" w:rsidRDefault="00862BC1">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determine whether allowing an issuer to be </w:t>
      </w:r>
      <w:r>
        <w:rPr>
          <w:rFonts w:ascii="Arial" w:eastAsia="Calibri" w:hAnsi="Arial" w:cs="Arial"/>
          <w:sz w:val="24"/>
          <w:szCs w:val="24"/>
        </w:rPr>
        <w:t>listed or allowing an individual to be associated with a Listed Issuer could give rise to investor protection concerns or could bring the Exchange into disrepute;</w:t>
      </w:r>
    </w:p>
    <w:p w14:paraId="6F02DF30" w14:textId="77777777" w:rsidR="007D1632" w:rsidRDefault="00862BC1">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conduct enforcement proceedings; </w:t>
      </w:r>
    </w:p>
    <w:p w14:paraId="5C391E3C" w14:textId="77777777" w:rsidR="007D1632" w:rsidRDefault="00862BC1">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ensure compliance with Exchange Requirements and </w:t>
      </w:r>
      <w:r>
        <w:rPr>
          <w:rFonts w:ascii="Arial" w:eastAsia="Calibri" w:hAnsi="Arial" w:cs="Arial"/>
          <w:sz w:val="24"/>
          <w:szCs w:val="24"/>
        </w:rPr>
        <w:t>applicable securities legislation; and</w:t>
      </w:r>
    </w:p>
    <w:p w14:paraId="1649CFEC" w14:textId="77777777" w:rsidR="007D1632" w:rsidRDefault="00862BC1">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fulfil the Exchange’s obligation to regulate its marketplace.</w:t>
      </w:r>
    </w:p>
    <w:p w14:paraId="28BA4855" w14:textId="77777777" w:rsidR="007D1632" w:rsidRDefault="00862BC1">
      <w:pPr>
        <w:spacing w:before="120"/>
        <w:ind w:left="720"/>
        <w:jc w:val="both"/>
        <w:rPr>
          <w:rFonts w:ascii="Arial" w:eastAsia="Calibri" w:hAnsi="Arial" w:cs="Arial"/>
          <w:sz w:val="24"/>
          <w:szCs w:val="24"/>
        </w:rPr>
      </w:pPr>
      <w:r>
        <w:rPr>
          <w:rFonts w:ascii="Arial" w:eastAsia="Calibri" w:hAnsi="Arial" w:cs="Arial"/>
          <w:sz w:val="24"/>
          <w:szCs w:val="24"/>
        </w:rPr>
        <w:t>The CSE also collects information, including personal information, from other sources, including but not limited to securities regulatory authorities,</w:t>
      </w:r>
      <w:r>
        <w:rPr>
          <w:rFonts w:ascii="Arial" w:eastAsia="Calibri" w:hAnsi="Arial" w:cs="Arial"/>
          <w:sz w:val="24"/>
          <w:szCs w:val="24"/>
        </w:rPr>
        <w:t xml:space="preserve"> law enforcement and self-regulatory authorities, regulation service providers and their subsidiaries, affiliates, regulators and agents. The Exchange may disclose personal information to these entities or otherwise as provided by law and they may use it f</w:t>
      </w:r>
      <w:r>
        <w:rPr>
          <w:rFonts w:ascii="Arial" w:eastAsia="Calibri" w:hAnsi="Arial" w:cs="Arial"/>
          <w:sz w:val="24"/>
          <w:szCs w:val="24"/>
        </w:rPr>
        <w:t>or their own investigations.</w:t>
      </w:r>
    </w:p>
    <w:p w14:paraId="0D75B62E" w14:textId="77777777" w:rsidR="007D1632" w:rsidRDefault="00862BC1">
      <w:pPr>
        <w:spacing w:before="120"/>
        <w:ind w:left="720"/>
        <w:jc w:val="both"/>
        <w:rPr>
          <w:rFonts w:ascii="Arial" w:eastAsia="Calibri" w:hAnsi="Arial" w:cs="Arial"/>
          <w:sz w:val="24"/>
          <w:szCs w:val="24"/>
        </w:rPr>
      </w:pPr>
      <w:r>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77DAB941" w14:textId="77777777" w:rsidR="007D1632" w:rsidRDefault="00862BC1">
      <w:pPr>
        <w:spacing w:before="120"/>
        <w:ind w:left="720"/>
        <w:jc w:val="both"/>
        <w:rPr>
          <w:rFonts w:ascii="Arial" w:eastAsia="Calibri" w:hAnsi="Arial" w:cs="Arial"/>
          <w:sz w:val="24"/>
          <w:szCs w:val="24"/>
        </w:rPr>
      </w:pPr>
      <w:r>
        <w:rPr>
          <w:rFonts w:ascii="Arial" w:eastAsia="Calibri" w:hAnsi="Arial" w:cs="Arial"/>
          <w:sz w:val="24"/>
          <w:szCs w:val="24"/>
        </w:rPr>
        <w:t xml:space="preserve">All </w:t>
      </w:r>
      <w:r>
        <w:rPr>
          <w:rFonts w:ascii="Arial" w:eastAsia="Calibri" w:hAnsi="Arial" w:cs="Arial"/>
          <w:sz w:val="24"/>
          <w:szCs w:val="24"/>
        </w:rPr>
        <w:t xml:space="preserve">personal information provided to or collected by or on behalf of The Exchange and that is retained by The Exchange is kept in a secure environment. Only those employees who need to know the information for the purposes listed above are permitted access to </w:t>
      </w:r>
      <w:r>
        <w:rPr>
          <w:rFonts w:ascii="Arial" w:eastAsia="Calibri" w:hAnsi="Arial" w:cs="Arial"/>
          <w:sz w:val="24"/>
          <w:szCs w:val="24"/>
        </w:rPr>
        <w:t>the information or any summary thereof. Employees are instructed to keep the information confidential at all times.</w:t>
      </w:r>
    </w:p>
    <w:p w14:paraId="1D01FBCF" w14:textId="77777777" w:rsidR="007D1632" w:rsidRDefault="00862BC1">
      <w:pPr>
        <w:spacing w:before="120"/>
        <w:ind w:left="720"/>
        <w:jc w:val="both"/>
        <w:rPr>
          <w:rFonts w:ascii="Arial" w:eastAsia="Calibri" w:hAnsi="Arial" w:cs="Arial"/>
          <w:sz w:val="24"/>
          <w:szCs w:val="24"/>
        </w:rPr>
      </w:pPr>
      <w:r>
        <w:rPr>
          <w:rFonts w:ascii="Arial" w:eastAsia="Calibri" w:hAnsi="Arial" w:cs="Arial"/>
          <w:sz w:val="24"/>
          <w:szCs w:val="24"/>
        </w:rPr>
        <w:t>Information about you that is retained by the Exchange and that you have identified as inaccurate or obsolete will be corrected or removed.</w:t>
      </w:r>
    </w:p>
    <w:p w14:paraId="7025FE27" w14:textId="77777777" w:rsidR="007D1632" w:rsidRDefault="00862BC1">
      <w:pPr>
        <w:spacing w:before="120"/>
        <w:ind w:left="720"/>
        <w:jc w:val="both"/>
        <w:rPr>
          <w:rFonts w:ascii="Arial" w:eastAsia="Calibri" w:hAnsi="Arial" w:cs="Arial"/>
          <w:sz w:val="24"/>
          <w:szCs w:val="24"/>
        </w:rPr>
      </w:pPr>
      <w:r>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C9402B8" w14:textId="77777777" w:rsidR="007D1632" w:rsidRDefault="007D1632">
      <w:pPr>
        <w:pStyle w:val="List"/>
        <w:tabs>
          <w:tab w:val="left" w:pos="9180"/>
          <w:tab w:val="left" w:pos="9360"/>
        </w:tabs>
        <w:ind w:left="5760" w:hanging="5760"/>
        <w:jc w:val="both"/>
        <w:rPr>
          <w:rFonts w:ascii="Arial" w:hAnsi="Arial"/>
          <w:szCs w:val="24"/>
        </w:rPr>
      </w:pPr>
    </w:p>
    <w:sectPr w:rsidR="007D1632">
      <w:footerReference w:type="even" r:id="rId8"/>
      <w:footerReference w:type="default" r:id="rId9"/>
      <w:footerReference w:type="first" r:id="rId10"/>
      <w:pgSz w:w="12240" w:h="15840" w:code="1"/>
      <w:pgMar w:top="1152" w:right="1440" w:bottom="1152" w:left="1440" w:header="720" w:footer="75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2E8D" w14:textId="77777777" w:rsidR="00862BC1" w:rsidRDefault="00862BC1">
      <w:r>
        <w:separator/>
      </w:r>
    </w:p>
  </w:endnote>
  <w:endnote w:type="continuationSeparator" w:id="0">
    <w:p w14:paraId="1CA22734" w14:textId="77777777" w:rsidR="00862BC1" w:rsidRDefault="0086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B80B" w14:textId="77777777" w:rsidR="007D1632" w:rsidRDefault="00862BC1">
    <w:pPr>
      <w:pStyle w:val="DocID"/>
    </w:pPr>
    <w:r>
      <w:t>315663.00006/111465692.12</w:t>
    </w:r>
  </w:p>
  <w:p w14:paraId="61FD707C" w14:textId="77777777" w:rsidR="007D1632" w:rsidRDefault="00862BC1">
    <w:pPr>
      <w:pStyle w:val="DocID"/>
    </w:pPr>
    <w:r>
      <w:t>315663.00006/1114</w:t>
    </w:r>
    <w:r>
      <w:t>65692.13</w:t>
    </w:r>
  </w:p>
  <w:bookmarkStart w:id="5" w:name="_iDocIDFieldb6b13a2c-e77f-4ddd-ac12-e15f"/>
  <w:p w14:paraId="52D133DD" w14:textId="77777777" w:rsidR="007D1632" w:rsidRDefault="00862BC1">
    <w:pPr>
      <w:pStyle w:val="DocID"/>
    </w:pPr>
    <w:r>
      <w:fldChar w:fldCharType="begin"/>
    </w:r>
    <w:r>
      <w:instrText xml:space="preserve">  DOCPROPERTY "CUS_DocIDChunk0" </w:instrText>
    </w:r>
    <w:r>
      <w:fldChar w:fldCharType="separate"/>
    </w:r>
    <w:r>
      <w:rPr>
        <w:noProof/>
      </w:rPr>
      <w:t>NATDOCS\61324718\V-1</w:t>
    </w:r>
    <w:r>
      <w:fldChar w:fldCharType="end"/>
    </w:r>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357D" w14:textId="77777777" w:rsidR="007D1632" w:rsidRDefault="00862BC1">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9264" behindDoc="0" locked="0" layoutInCell="1" allowOverlap="1" wp14:anchorId="1ED50ACA" wp14:editId="6E0BACB0">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Pr>
        <w:rFonts w:ascii="Arial" w:hAnsi="Arial" w:cs="Arial"/>
        <w:b/>
      </w:rPr>
      <w:t>FORM 9 – NOTICE OF ISSUANCE OR PROPOSED ISSUANCE OF</w:t>
    </w:r>
  </w:p>
  <w:p w14:paraId="08F4E6D0" w14:textId="77777777" w:rsidR="007D1632" w:rsidRDefault="00862BC1">
    <w:pPr>
      <w:tabs>
        <w:tab w:val="center" w:pos="4674"/>
        <w:tab w:val="left" w:pos="8460"/>
      </w:tabs>
      <w:jc w:val="center"/>
      <w:rPr>
        <w:rStyle w:val="PageNumber"/>
        <w:rFonts w:ascii="Arial" w:hAnsi="Arial" w:cs="Arial"/>
        <w:b/>
      </w:rPr>
    </w:pPr>
    <w:r>
      <w:rPr>
        <w:rFonts w:ascii="Arial" w:hAnsi="Arial" w:cs="Arial"/>
        <w:b/>
      </w:rPr>
      <w:t>LISTED SECURITIES</w:t>
    </w:r>
  </w:p>
  <w:p w14:paraId="36476A57" w14:textId="77777777" w:rsidR="007D1632" w:rsidRDefault="00862BC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6CC76EF5" w14:textId="77777777" w:rsidR="007D1632" w:rsidRDefault="00862BC1">
    <w:pPr>
      <w:pStyle w:val="Footer"/>
      <w:jc w:val="center"/>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sz w:val="16"/>
        <w:szCs w:val="16"/>
      </w:rPr>
      <w:t>1</w:t>
    </w:r>
    <w:r>
      <w:rPr>
        <w:rStyle w:val="PageNumber"/>
        <w:rFonts w:ascii="Arial" w:hAnsi="Arial" w:cs="Arial"/>
        <w:sz w:val="16"/>
        <w:szCs w:val="16"/>
      </w:rPr>
      <w:fldChar w:fldCharType="end"/>
    </w:r>
  </w:p>
  <w:bookmarkStart w:id="6" w:name="_iDocIDFielda34d0cef-65ee-4545-8862-ae45"/>
  <w:p w14:paraId="39F8A7AA" w14:textId="77777777" w:rsidR="007D1632" w:rsidRDefault="00862BC1">
    <w:pPr>
      <w:pStyle w:val="DocID"/>
    </w:pPr>
    <w:r>
      <w:fldChar w:fldCharType="begin"/>
    </w:r>
    <w:r>
      <w:instrText xml:space="preserve">  DOCPROPERTY "CUS_DocIDChunk0" </w:instrText>
    </w:r>
    <w:r>
      <w:fldChar w:fldCharType="separate"/>
    </w:r>
    <w:r>
      <w:rPr>
        <w:noProof/>
      </w:rPr>
      <w:t>NATDOCS\61324718\V-1</w:t>
    </w:r>
    <w:r>
      <w:fldChar w:fldCharType="end"/>
    </w:r>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F073" w14:textId="77777777" w:rsidR="007D1632" w:rsidRDefault="00862BC1">
    <w:pPr>
      <w:pStyle w:val="Footer"/>
    </w:pPr>
    <w:r>
      <w:t>3214.001\0180</w:t>
    </w:r>
  </w:p>
  <w:p w14:paraId="78404085" w14:textId="77777777" w:rsidR="007D1632" w:rsidRDefault="00862BC1">
    <w:pPr>
      <w:pStyle w:val="DocID"/>
    </w:pPr>
    <w:r>
      <w:t>315663.00006/111465692.12</w:t>
    </w:r>
  </w:p>
  <w:p w14:paraId="53F818DD" w14:textId="77777777" w:rsidR="007D1632" w:rsidRDefault="00862BC1">
    <w:pPr>
      <w:pStyle w:val="DocID"/>
    </w:pPr>
    <w:r>
      <w:t>315663.00006/111465692.13</w:t>
    </w:r>
  </w:p>
  <w:bookmarkStart w:id="7" w:name="_iDocIDField70e07f9a-0917-49bd-9b20-0f23"/>
  <w:p w14:paraId="6FDEBB83" w14:textId="77777777" w:rsidR="007D1632" w:rsidRDefault="00862BC1">
    <w:pPr>
      <w:pStyle w:val="DocID"/>
    </w:pPr>
    <w:r>
      <w:fldChar w:fldCharType="begin"/>
    </w:r>
    <w:r>
      <w:instrText xml:space="preserve">  DOCPROPERTY "CUS_DocIDChunk0" </w:instrText>
    </w:r>
    <w:r>
      <w:fldChar w:fldCharType="separate"/>
    </w:r>
    <w:r>
      <w:rPr>
        <w:noProof/>
      </w:rPr>
      <w:t>NATDOCS\61324718\V-1</w:t>
    </w:r>
    <w: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E2BC" w14:textId="77777777" w:rsidR="00862BC1" w:rsidRDefault="00862BC1">
      <w:r>
        <w:separator/>
      </w:r>
    </w:p>
  </w:footnote>
  <w:footnote w:type="continuationSeparator" w:id="0">
    <w:p w14:paraId="5983F2A8" w14:textId="77777777" w:rsidR="00862BC1" w:rsidRDefault="00862BC1">
      <w:r>
        <w:continuationSeparator/>
      </w:r>
    </w:p>
  </w:footnote>
  <w:footnote w:id="1">
    <w:p w14:paraId="50ECDCD0" w14:textId="77777777" w:rsidR="007D1632" w:rsidRDefault="00862BC1">
      <w:pPr>
        <w:pStyle w:val="FootnoteText"/>
        <w:rPr>
          <w:lang w:val="en-CA"/>
        </w:rPr>
      </w:pPr>
      <w:r>
        <w:rPr>
          <w:rStyle w:val="FootnoteReference"/>
        </w:rPr>
        <w:footnoteRef/>
      </w:r>
      <w:r>
        <w:t xml:space="preserve"> </w:t>
      </w:r>
      <w:bookmarkStart w:id="2" w:name="_Hlk64743682"/>
      <w:r>
        <w:rPr>
          <w:lang w:val="en-CA"/>
        </w:rPr>
        <w:t>Unless stated otherwise, exchange rates in this Form 9 are based on the exchange rate posted by the Bank of Canada on July 7, 2021 for illustr</w:t>
      </w:r>
      <w:r>
        <w:rPr>
          <w:lang w:val="en-CA"/>
        </w:rPr>
        <w:t>ative purposes</w:t>
      </w:r>
      <w:r>
        <w:t>.</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CD7C9C78"/>
    <w:lvl w:ilvl="0">
      <w:start w:val="1"/>
      <w:numFmt w:val="decimal"/>
      <w:lvlText w:val="%1."/>
      <w:lvlJc w:val="left"/>
      <w:pPr>
        <w:tabs>
          <w:tab w:val="num" w:pos="360"/>
        </w:tabs>
        <w:ind w:left="360" w:hanging="360"/>
      </w:pPr>
      <w:rPr>
        <w:b w:val="0"/>
        <w:bCs w:val="0"/>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54-3528-8840, v. 1"/>
    <w:docVar w:name="ndGeneratedStampLocation" w:val="EachPage"/>
  </w:docVars>
  <w:rsids>
    <w:rsidRoot w:val="007D1632"/>
    <w:rsid w:val="007D1632"/>
    <w:rsid w:val="00862BC1"/>
    <w:rsid w:val="00AC6E9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47A21"/>
  <w15:docId w15:val="{CD8A7ED9-0921-46FD-9058-DB2DD239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link w:val="ListChar"/>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DocID">
    <w:name w:val="DocID"/>
    <w:basedOn w:val="Normal"/>
    <w:link w:val="DocIDChar"/>
    <w:pPr>
      <w:tabs>
        <w:tab w:val="center" w:pos="4522"/>
        <w:tab w:val="right" w:pos="9029"/>
      </w:tabs>
    </w:pPr>
    <w:rPr>
      <w:rFonts w:eastAsia="Calibri"/>
      <w:sz w:val="16"/>
      <w:szCs w:val="22"/>
      <w:lang w:val="en-CA"/>
    </w:rPr>
  </w:style>
  <w:style w:type="character" w:customStyle="1" w:styleId="DocIDChar">
    <w:name w:val="DocID Char"/>
    <w:basedOn w:val="DefaultParagraphFont"/>
    <w:link w:val="DocID"/>
    <w:rPr>
      <w:rFonts w:eastAsia="Calibri"/>
      <w:sz w:val="16"/>
      <w:szCs w:val="22"/>
      <w:lang w:val="en-CA"/>
    </w:rPr>
  </w:style>
  <w:style w:type="character" w:customStyle="1" w:styleId="BodyTextChar">
    <w:name w:val="Body Text Char"/>
    <w:basedOn w:val="DefaultParagraphFont"/>
    <w:link w:val="BodyText"/>
    <w:rPr>
      <w:sz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ListChar">
    <w:name w:val="List Char"/>
    <w:basedOn w:val="BodyTextChar"/>
    <w:link w:val="List"/>
    <w:rPr>
      <w:sz w:val="24"/>
      <w:lang w:val="en-GB"/>
    </w:rPr>
  </w:style>
  <w:style w:type="character" w:customStyle="1" w:styleId="FootnoteTextChar">
    <w:name w:val="Footnote Text Char"/>
    <w:basedOn w:val="DefaultParagraphFont"/>
    <w:link w:val="FootnoteText"/>
    <w:semiHidden/>
  </w:style>
  <w:style w:type="paragraph" w:styleId="Revision">
    <w:name w:val="Revision"/>
    <w:hidden/>
    <w:uiPriority w:val="99"/>
    <w:semiHidden/>
  </w:style>
  <w:style w:type="character" w:customStyle="1" w:styleId="Prompt">
    <w:name w:val="Prompt"/>
    <w:basedOn w:val="DefaultParagraphFont"/>
    <w:rPr>
      <w:rFonts w:ascii="Arial" w:hAnsi="Arial"/>
      <w:color w:val="0000F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1935">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Darren Weiss</cp:lastModifiedBy>
  <cp:revision>2</cp:revision>
  <cp:lastPrinted>1900-01-01T07:00:00Z</cp:lastPrinted>
  <dcterms:created xsi:type="dcterms:W3CDTF">2022-02-23T20:57:00Z</dcterms:created>
  <dcterms:modified xsi:type="dcterms:W3CDTF">2022-02-23T20:57:00Z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NATDOCS\61324718\V-1</vt:lpwstr>
  </property>
  <property fmtid="{D5CDD505-2E9C-101B-9397-08002B2CF9AE}" pid="3" name="CUS_DocIDChunk0">
    <vt:lpwstr>NATDOCS\61324718\V-1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ies>
</file>